
<file path=[Content_Types].xml><?xml version="1.0" encoding="utf-8"?>
<Types xmlns="http://schemas.openxmlformats.org/package/2006/content-types">
  <Override PartName="/word/charts/chart10.xml" ContentType="application/vnd.openxmlformats-officedocument.drawingml.chart+xml"/>
  <Override PartName="/word/theme/themeOverride5.xml" ContentType="application/vnd.openxmlformats-officedocument.themeOverride+xml"/>
  <Override PartName="/word/theme/themeOverride15.xml" ContentType="application/vnd.openxmlformats-officedocument.themeOverride+xml"/>
  <Override PartName="/word/charts/chart59.xml" ContentType="application/vnd.openxmlformats-officedocument.drawingml.chart+xml"/>
  <Override PartName="/word/footer7.xml" ContentType="application/vnd.openxmlformats-officedocument.wordprocessingml.footer+xml"/>
  <Override PartName="/word/header14.xml" ContentType="application/vnd.openxmlformats-officedocument.wordprocessingml.header+xml"/>
  <Override PartName="/word/footer19.xml" ContentType="application/vnd.openxmlformats-officedocument.wordprocessingml.footer+xml"/>
  <Override PartName="/word/footer55.xml" ContentType="application/vnd.openxmlformats-officedocument.wordprocessingml.footer+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charts/chart9.xml" ContentType="application/vnd.openxmlformats-officedocument.drawingml.chart+xml"/>
  <Override PartName="/word/charts/chart48.xml" ContentType="application/vnd.openxmlformats-officedocument.drawingml.chart+xml"/>
  <Override PartName="/word/header8.xml" ContentType="application/vnd.openxmlformats-officedocument.wordprocessingml.header+xml"/>
  <Override PartName="/word/charts/chart95.xml" ContentType="application/vnd.openxmlformats-officedocument.drawingml.chart+xml"/>
  <Override PartName="/word/footer44.xml" ContentType="application/vnd.openxmlformats-officedocument.wordprocessingml.footer+xml"/>
  <Override PartName="/word/stylesWithEffects.xml" ContentType="application/vnd.ms-word.stylesWithEffects+xml"/>
  <Override PartName="/word/charts/chart26.xml" ContentType="application/vnd.openxmlformats-officedocument.drawingml.chart+xml"/>
  <Override PartName="/word/charts/chart37.xml" ContentType="application/vnd.openxmlformats-officedocument.drawingml.chart+xml"/>
  <Override PartName="/word/charts/chart73.xml" ContentType="application/vnd.openxmlformats-officedocument.drawingml.chart+xml"/>
  <Override PartName="/word/charts/chart84.xml" ContentType="application/vnd.openxmlformats-officedocument.drawingml.chart+xml"/>
  <Override PartName="/word/footer33.xml" ContentType="application/vnd.openxmlformats-officedocument.wordprocessingml.footer+xml"/>
  <Override PartName="/word/charts/chart5.xml" ContentType="application/vnd.openxmlformats-officedocument.drawingml.chart+xml"/>
  <Override PartName="/word/charts/chart15.xml" ContentType="application/vnd.openxmlformats-officedocument.drawingml.chart+xml"/>
  <Override PartName="/word/header4.xml" ContentType="application/vnd.openxmlformats-officedocument.wordprocessingml.header+xml"/>
  <Override PartName="/word/charts/chart44.xml" ContentType="application/vnd.openxmlformats-officedocument.drawingml.chart+xml"/>
  <Override PartName="/word/charts/chart62.xml" ContentType="application/vnd.openxmlformats-officedocument.drawingml.chart+xml"/>
  <Override PartName="/word/charts/chart91.xml" ContentType="application/vnd.openxmlformats-officedocument.drawingml.chart+xml"/>
  <Override PartName="/word/footer11.xml" ContentType="application/vnd.openxmlformats-officedocument.wordprocessingml.footer+xml"/>
  <Override PartName="/word/footer22.xml" ContentType="application/vnd.openxmlformats-officedocument.wordprocessingml.footer+xml"/>
  <Override PartName="/word/footer40.xml" ContentType="application/vnd.openxmlformats-officedocument.wordprocessingml.footer+xml"/>
  <Override PartName="/word/charts/chart22.xml" ContentType="application/vnd.openxmlformats-officedocument.drawingml.chart+xml"/>
  <Override PartName="/word/charts/chart33.xml" ContentType="application/vnd.openxmlformats-officedocument.drawingml.chart+xml"/>
  <Override PartName="/word/charts/chart51.xml" ContentType="application/vnd.openxmlformats-officedocument.drawingml.chart+xml"/>
  <Override PartName="/word/charts/chart80.xml" ContentType="application/vnd.openxmlformats-officedocument.drawingml.chart+xml"/>
  <Override PartName="/word/charts/chart1.xml" ContentType="application/vnd.openxmlformats-officedocument.drawingml.chart+xml"/>
  <Override PartName="/word/charts/chart11.xml" ContentType="application/vnd.openxmlformats-officedocument.drawingml.chart+xml"/>
  <Override PartName="/word/theme/themeOverride6.xml" ContentType="application/vnd.openxmlformats-officedocument.themeOverride+xml"/>
  <Override PartName="/word/charts/chart40.xml" ContentType="application/vnd.openxmlformats-officedocument.drawingml.chart+xml"/>
  <Default Extension="png" ContentType="image/png"/>
  <Override PartName="/word/theme/themeOverride16.xml" ContentType="application/vnd.openxmlformats-officedocument.themeOverride+xml"/>
  <Override PartName="/word/theme/themeOverride2.xml" ContentType="application/vnd.openxmlformats-officedocument.themeOverride+xml"/>
  <Override PartName="/word/charts/chart89.xml" ContentType="application/vnd.openxmlformats-officedocument.drawingml.chart+xml"/>
  <Override PartName="/word/footer8.xml" ContentType="application/vnd.openxmlformats-officedocument.wordprocessingml.footer+xml"/>
  <Override PartName="/word/footer49.xml" ContentType="application/vnd.openxmlformats-officedocument.wordprocessingml.footer+xml"/>
  <Override PartName="/word/theme/themeOverride12.xml" ContentType="application/vnd.openxmlformats-officedocument.themeOverride+xml"/>
  <Override PartName="/word/charts/chart49.xml" ContentType="application/vnd.openxmlformats-officedocument.drawingml.chart+xml"/>
  <Override PartName="/word/charts/chart78.xml" ContentType="application/vnd.openxmlformats-officedocument.drawingml.chart+xml"/>
  <Override PartName="/word/charts/chart96.xml" ContentType="application/vnd.openxmlformats-officedocument.drawingml.chart+xml"/>
  <Override PartName="/word/header15.xml" ContentType="application/vnd.openxmlformats-officedocument.wordprocessingml.header+xml"/>
  <Override PartName="/word/footer27.xml" ContentType="application/vnd.openxmlformats-officedocument.wordprocessingml.footer+xml"/>
  <Override PartName="/word/footer38.xml" ContentType="application/vnd.openxmlformats-officedocument.wordprocessingml.footer+xml"/>
  <Override PartName="/word/footer56.xml" ContentType="application/vnd.openxmlformats-officedocument.wordprocessingml.footer+xml"/>
  <Override PartName="/word/footer4.xml" ContentType="application/vnd.openxmlformats-officedocument.wordprocessingml.footer+xml"/>
  <Override PartName="/word/charts/chart38.xml" ContentType="application/vnd.openxmlformats-officedocument.drawingml.chart+xml"/>
  <Override PartName="/word/charts/chart67.xml" ContentType="application/vnd.openxmlformats-officedocument.drawingml.chart+xml"/>
  <Override PartName="/word/charts/chart85.xml" ContentType="application/vnd.openxmlformats-officedocument.drawingml.chart+xml"/>
  <Override PartName="/word/header9.xml" ContentType="application/vnd.openxmlformats-officedocument.wordprocessingml.header+xml"/>
  <Override PartName="/word/footer16.xml" ContentType="application/vnd.openxmlformats-officedocument.wordprocessingml.footer+xml"/>
  <Override PartName="/word/footer34.xml" ContentType="application/vnd.openxmlformats-officedocument.wordprocessingml.footer+xml"/>
  <Override PartName="/word/footer45.xml" ContentType="application/vnd.openxmlformats-officedocument.wordprocessingml.footer+xml"/>
  <Override PartName="/word/footer63.xml" ContentType="application/vnd.openxmlformats-officedocument.wordprocessingml.footer+xml"/>
  <Override PartName="/docProps/app.xml" ContentType="application/vnd.openxmlformats-officedocument.extended-properties+xml"/>
  <Override PartName="/word/charts/chart6.xml" ContentType="application/vnd.openxmlformats-officedocument.drawingml.chart+xml"/>
  <Override PartName="/word/charts/chart27.xml" ContentType="application/vnd.openxmlformats-officedocument.drawingml.chart+xml"/>
  <Override PartName="/word/charts/chart45.xml" ContentType="application/vnd.openxmlformats-officedocument.drawingml.chart+xml"/>
  <Override PartName="/word/charts/chart56.xml" ContentType="application/vnd.openxmlformats-officedocument.drawingml.chart+xml"/>
  <Override PartName="/word/charts/chart74.xml" ContentType="application/vnd.openxmlformats-officedocument.drawingml.chart+xml"/>
  <Override PartName="/word/charts/chart92.xml" ContentType="application/vnd.openxmlformats-officedocument.drawingml.chart+xml"/>
  <Override PartName="/word/header11.xml" ContentType="application/vnd.openxmlformats-officedocument.wordprocessingml.header+xml"/>
  <Override PartName="/word/footer23.xml" ContentType="application/vnd.openxmlformats-officedocument.wordprocessingml.footer+xml"/>
  <Override PartName="/word/footer52.xml" ContentType="application/vnd.openxmlformats-officedocument.wordprocessingml.footer+xml"/>
  <Override PartName="/word/charts/chart16.xml" ContentType="application/vnd.openxmlformats-officedocument.drawingml.chart+xml"/>
  <Override PartName="/word/header5.xml" ContentType="application/vnd.openxmlformats-officedocument.wordprocessingml.header+xml"/>
  <Override PartName="/word/charts/chart34.xml" ContentType="application/vnd.openxmlformats-officedocument.drawingml.chart+xml"/>
  <Override PartName="/word/charts/chart52.xml" ContentType="application/vnd.openxmlformats-officedocument.drawingml.chart+xml"/>
  <Override PartName="/word/charts/chart63.xml" ContentType="application/vnd.openxmlformats-officedocument.drawingml.chart+xml"/>
  <Override PartName="/word/charts/chart81.xml" ContentType="application/vnd.openxmlformats-officedocument.drawingml.chart+xml"/>
  <Override PartName="/word/footer12.xml" ContentType="application/vnd.openxmlformats-officedocument.wordprocessingml.footer+xml"/>
  <Override PartName="/word/footer30.xml" ContentType="application/vnd.openxmlformats-officedocument.wordprocessingml.footer+xml"/>
  <Override PartName="/word/footer41.xml" ContentType="application/vnd.openxmlformats-officedocument.wordprocessingml.footer+xml"/>
  <Override PartName="/word/charts/chart2.xml" ContentType="application/vnd.openxmlformats-officedocument.drawingml.chart+xml"/>
  <Override PartName="/word/charts/chart23.xml" ContentType="application/vnd.openxmlformats-officedocument.drawingml.chart+xml"/>
  <Override PartName="/word/charts/chart41.xml" ContentType="application/vnd.openxmlformats-officedocument.drawingml.chart+xml"/>
  <Override PartName="/word/charts/chart70.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2.xml" ContentType="application/vnd.openxmlformats-officedocument.drawingml.chart+xml"/>
  <Override PartName="/word/charts/chart30.xml" ContentType="application/vnd.openxmlformats-officedocument.drawingml.chart+xml"/>
  <Override PartName="/word/theme/themeOverride7.xml" ContentType="application/vnd.openxmlformats-officedocument.themeOverride+xml"/>
  <Override PartName="/word/theme/themeOverride17.xml" ContentType="application/vnd.openxmlformats-officedocument.themeOverride+xml"/>
  <Override PartName="/docProps/core.xml" ContentType="application/vnd.openxmlformats-package.core-properties+xml"/>
  <Override PartName="/word/footnotes.xml" ContentType="application/vnd.openxmlformats-officedocument.wordprocessingml.footnotes+xml"/>
  <Override PartName="/word/theme/themeOverride3.xml" ContentType="application/vnd.openxmlformats-officedocument.themeOverride+xml"/>
  <Override PartName="/word/theme/themeOverride13.xml" ContentType="application/vnd.openxmlformats-officedocument.themeOverride+xml"/>
  <Override PartName="/word/footer9.xml" ContentType="application/vnd.openxmlformats-officedocument.wordprocessingml.footer+xml"/>
  <Override PartName="/word/header16.xml" ContentType="application/vnd.openxmlformats-officedocument.wordprocessingml.header+xml"/>
  <Override PartName="/word/footer39.xml" ContentType="application/vnd.openxmlformats-officedocument.wordprocessingml.footer+xml"/>
  <Override PartName="/word/footer57.xml" ContentType="application/vnd.openxmlformats-officedocument.wordprocessingml.footer+xml"/>
  <Override PartName="/word/charts/chart68.xml" ContentType="application/vnd.openxmlformats-officedocument.drawingml.chart+xml"/>
  <Override PartName="/word/charts/chart79.xml" ContentType="application/vnd.openxmlformats-officedocument.drawingml.chart+xml"/>
  <Override PartName="/word/charts/chart97.xml" ContentType="application/vnd.openxmlformats-officedocument.drawingml.chart+xml"/>
  <Override PartName="/word/footer28.xml" ContentType="application/vnd.openxmlformats-officedocument.wordprocessingml.footer+xml"/>
  <Override PartName="/word/footer46.xml" ContentType="application/vnd.openxmlformats-officedocument.wordprocessingml.footer+xml"/>
  <Default Extension="rels" ContentType="application/vnd.openxmlformats-package.relationships+xml"/>
  <Override PartName="/word/charts/chart28.xml" ContentType="application/vnd.openxmlformats-officedocument.drawingml.chart+xml"/>
  <Override PartName="/word/charts/chart39.xml" ContentType="application/vnd.openxmlformats-officedocument.drawingml.chart+xml"/>
  <Override PartName="/word/charts/chart57.xml" ContentType="application/vnd.openxmlformats-officedocument.drawingml.chart+xml"/>
  <Override PartName="/word/charts/chart75.xml" ContentType="application/vnd.openxmlformats-officedocument.drawingml.chart+xml"/>
  <Override PartName="/word/footer5.xml" ContentType="application/vnd.openxmlformats-officedocument.wordprocessingml.footer+xml"/>
  <Override PartName="/word/charts/chart86.xml" ContentType="application/vnd.openxmlformats-officedocument.drawingml.chart+xml"/>
  <Override PartName="/word/header12.xml" ContentType="application/vnd.openxmlformats-officedocument.wordprocessingml.header+xml"/>
  <Override PartName="/word/footer17.xml" ContentType="application/vnd.openxmlformats-officedocument.wordprocessingml.footer+xml"/>
  <Override PartName="/word/footer35.xml" ContentType="application/vnd.openxmlformats-officedocument.wordprocessingml.footer+xml"/>
  <Override PartName="/word/footer53.xml" ContentType="application/vnd.openxmlformats-officedocument.wordprocessingml.footer+xml"/>
  <Override PartName="/word/footer64.xml" ContentType="application/vnd.openxmlformats-officedocument.wordprocessingml.footer+xml"/>
  <Override PartName="/word/charts/chart7.xml" ContentType="application/vnd.openxmlformats-officedocument.drawingml.chart+xml"/>
  <Override PartName="/word/charts/chart17.xml" ContentType="application/vnd.openxmlformats-officedocument.drawingml.chart+xml"/>
  <Override PartName="/word/header6.xml" ContentType="application/vnd.openxmlformats-officedocument.wordprocessingml.header+xml"/>
  <Override PartName="/word/charts/chart46.xml" ContentType="application/vnd.openxmlformats-officedocument.drawingml.chart+xml"/>
  <Override PartName="/word/charts/chart64.xml" ContentType="application/vnd.openxmlformats-officedocument.drawingml.chart+xml"/>
  <Override PartName="/word/charts/chart93.xml" ContentType="application/vnd.openxmlformats-officedocument.drawingml.chart+xml"/>
  <Override PartName="/word/footer13.xml" ContentType="application/vnd.openxmlformats-officedocument.wordprocessingml.footer+xml"/>
  <Override PartName="/word/footer24.xml" ContentType="application/vnd.openxmlformats-officedocument.wordprocessingml.footer+xml"/>
  <Override PartName="/word/footer42.xml" ContentType="application/vnd.openxmlformats-officedocument.wordprocessingml.footer+xml"/>
  <Override PartName="/word/footer60.xml" ContentType="application/vnd.openxmlformats-officedocument.wordprocessingml.footer+xml"/>
  <Override PartName="/word/footer1.xml" ContentType="application/vnd.openxmlformats-officedocument.wordprocessingml.footer+xml"/>
  <Override PartName="/word/charts/chart24.xml" ContentType="application/vnd.openxmlformats-officedocument.drawingml.chart+xml"/>
  <Override PartName="/word/charts/chart35.xml" ContentType="application/vnd.openxmlformats-officedocument.drawingml.chart+xml"/>
  <Override PartName="/word/charts/chart53.xml" ContentType="application/vnd.openxmlformats-officedocument.drawingml.chart+xml"/>
  <Override PartName="/word/charts/chart71.xml" ContentType="application/vnd.openxmlformats-officedocument.drawingml.chart+xml"/>
  <Override PartName="/word/charts/chart82.xml" ContentType="application/vnd.openxmlformats-officedocument.drawingml.chart+xml"/>
  <Override PartName="/word/footer31.xml" ContentType="application/vnd.openxmlformats-officedocument.wordprocessingml.footer+xml"/>
  <Override PartName="/word/header2.xml" ContentType="application/vnd.openxmlformats-officedocument.wordprocessingml.header+xml"/>
  <Override PartName="/word/charts/chart3.xml" ContentType="application/vnd.openxmlformats-officedocument.drawingml.chart+xml"/>
  <Override PartName="/word/charts/chart13.xml" ContentType="application/vnd.openxmlformats-officedocument.drawingml.chart+xml"/>
  <Override PartName="/word/charts/chart31.xml" ContentType="application/vnd.openxmlformats-officedocument.drawingml.chart+xml"/>
  <Override PartName="/word/theme/themeOverride8.xml" ContentType="application/vnd.openxmlformats-officedocument.themeOverride+xml"/>
  <Override PartName="/word/charts/chart42.xml" ContentType="application/vnd.openxmlformats-officedocument.drawingml.chart+xml"/>
  <Override PartName="/word/charts/chart60.xml" ContentType="application/vnd.openxmlformats-officedocument.drawingml.chart+xml"/>
  <Override PartName="/word/footer20.xml" ContentType="application/vnd.openxmlformats-officedocument.wordprocessingml.footer+xml"/>
  <Override PartName="/word/charts/chart20.xml" ContentType="application/vnd.openxmlformats-officedocument.drawingml.chart+xml"/>
  <Override PartName="/word/theme/themeOverride18.xml" ContentType="application/vnd.openxmlformats-officedocument.themeOverride+xml"/>
  <Override PartName="/word/theme/themeOverride4.xml" ContentType="application/vnd.openxmlformats-officedocument.themeOverride+xml"/>
  <Override PartName="/word/theme/themeOverride14.xml" ContentType="application/vnd.openxmlformats-officedocument.themeOverride+xml"/>
  <Override PartName="/word/charts/chart98.xml" ContentType="application/vnd.openxmlformats-officedocument.drawingml.chart+xml"/>
  <Override PartName="/word/footer29.xml" ContentType="application/vnd.openxmlformats-officedocument.wordprocessingml.footer+xml"/>
  <Override PartName="/word/header17.xml" ContentType="application/vnd.openxmlformats-officedocument.wordprocessingml.header+xml"/>
  <Override PartName="/word/footer58.xml" ContentType="application/vnd.openxmlformats-officedocument.wordprocessingml.footer+xml"/>
  <Default Extension="jpeg" ContentType="image/jpeg"/>
  <Override PartName="/word/charts/chart69.xml" ContentType="application/vnd.openxmlformats-officedocument.drawingml.chart+xml"/>
  <Override PartName="/word/charts/chart87.xml" ContentType="application/vnd.openxmlformats-officedocument.drawingml.chart+xml"/>
  <Override PartName="/word/footer6.xml" ContentType="application/vnd.openxmlformats-officedocument.wordprocessingml.footer+xml"/>
  <Override PartName="/word/footer18.xml" ContentType="application/vnd.openxmlformats-officedocument.wordprocessingml.footer+xml"/>
  <Override PartName="/word/footer36.xml" ContentType="application/vnd.openxmlformats-officedocument.wordprocessingml.footer+xml"/>
  <Override PartName="/word/footer47.xml" ContentType="application/vnd.openxmlformats-officedocument.wordprocessingml.footer+xml"/>
  <Override PartName="/word/footer65.xml" ContentType="application/vnd.openxmlformats-officedocument.wordprocessingml.footer+xml"/>
  <Override PartName="/word/numbering.xml" ContentType="application/vnd.openxmlformats-officedocument.wordprocessingml.numbering+xml"/>
  <Override PartName="/word/endnotes.xml" ContentType="application/vnd.openxmlformats-officedocument.wordprocessingml.endnotes+xml"/>
  <Override PartName="/word/charts/chart8.xml" ContentType="application/vnd.openxmlformats-officedocument.drawingml.chart+xml"/>
  <Override PartName="/word/charts/chart29.xml" ContentType="application/vnd.openxmlformats-officedocument.drawingml.chart+xml"/>
  <Override PartName="/word/theme/themeOverride10.xml" ContentType="application/vnd.openxmlformats-officedocument.themeOverride+xml"/>
  <Override PartName="/word/charts/chart47.xml" ContentType="application/vnd.openxmlformats-officedocument.drawingml.chart+xml"/>
  <Override PartName="/word/charts/chart58.xml" ContentType="application/vnd.openxmlformats-officedocument.drawingml.chart+xml"/>
  <Override PartName="/word/charts/chart76.xml" ContentType="application/vnd.openxmlformats-officedocument.drawingml.chart+xml"/>
  <Override PartName="/word/charts/chart94.xml" ContentType="application/vnd.openxmlformats-officedocument.drawingml.chart+xml"/>
  <Override PartName="/word/header13.xml" ContentType="application/vnd.openxmlformats-officedocument.wordprocessingml.header+xml"/>
  <Override PartName="/word/footer25.xml" ContentType="application/vnd.openxmlformats-officedocument.wordprocessingml.footer+xml"/>
  <Override PartName="/word/footer54.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header7.xml" ContentType="application/vnd.openxmlformats-officedocument.wordprocessingml.header+xml"/>
  <Override PartName="/word/charts/chart18.xml" ContentType="application/vnd.openxmlformats-officedocument.drawingml.chart+xml"/>
  <Override PartName="/word/charts/chart36.xml" ContentType="application/vnd.openxmlformats-officedocument.drawingml.chart+xml"/>
  <Override PartName="/word/charts/chart54.xml" ContentType="application/vnd.openxmlformats-officedocument.drawingml.chart+xml"/>
  <Override PartName="/word/charts/chart65.xml" ContentType="application/vnd.openxmlformats-officedocument.drawingml.chart+xml"/>
  <Override PartName="/word/charts/chart83.xml" ContentType="application/vnd.openxmlformats-officedocument.drawingml.chart+xml"/>
  <Override PartName="/word/footer14.xml" ContentType="application/vnd.openxmlformats-officedocument.wordprocessingml.footer+xml"/>
  <Override PartName="/word/footer32.xml" ContentType="application/vnd.openxmlformats-officedocument.wordprocessingml.footer+xml"/>
  <Override PartName="/word/footer43.xml" ContentType="application/vnd.openxmlformats-officedocument.wordprocessingml.footer+xml"/>
  <Override PartName="/word/footer61.xml" ContentType="application/vnd.openxmlformats-officedocument.wordprocessingml.footer+xml"/>
  <Override PartName="/word/charts/chart4.xml" ContentType="application/vnd.openxmlformats-officedocument.drawingml.chart+xml"/>
  <Override PartName="/word/charts/chart25.xml" ContentType="application/vnd.openxmlformats-officedocument.drawingml.chart+xml"/>
  <Override PartName="/word/charts/chart43.xml" ContentType="application/vnd.openxmlformats-officedocument.drawingml.chart+xml"/>
  <Override PartName="/word/charts/chart72.xml" ContentType="application/vnd.openxmlformats-officedocument.drawingml.chart+xml"/>
  <Override PartName="/word/charts/chart90.xml" ContentType="application/vnd.openxmlformats-officedocument.drawingml.chart+xml"/>
  <Override PartName="/word/footer21.xml" ContentType="application/vnd.openxmlformats-officedocument.wordprocessingml.footer+xml"/>
  <Override PartName="/word/footer50.xml" ContentType="application/vnd.openxmlformats-officedocument.wordprocessingml.footer+xml"/>
  <Override PartName="/word/theme/theme1.xml" ContentType="application/vnd.openxmlformats-officedocument.theme+xml"/>
  <Override PartName="/word/header3.xml" ContentType="application/vnd.openxmlformats-officedocument.wordprocessingml.header+xml"/>
  <Override PartName="/word/charts/chart14.xml" ContentType="application/vnd.openxmlformats-officedocument.drawingml.chart+xml"/>
  <Override PartName="/word/charts/chart32.xml" ContentType="application/vnd.openxmlformats-officedocument.drawingml.chart+xml"/>
  <Override PartName="/word/theme/themeOverride9.xml" ContentType="application/vnd.openxmlformats-officedocument.themeOverride+xml"/>
  <Override PartName="/word/charts/chart50.xml" ContentType="application/vnd.openxmlformats-officedocument.drawingml.chart+xml"/>
  <Override PartName="/word/charts/chart61.xml" ContentType="application/vnd.openxmlformats-officedocument.drawingml.chart+xml"/>
  <Override PartName="/word/footer10.xml" ContentType="application/vnd.openxmlformats-officedocument.wordprocessingml.footer+xml"/>
  <Override PartName="/word/charts/chart21.xml" ContentType="application/vnd.openxmlformats-officedocument.drawingml.chart+xml"/>
  <Override PartName="/word/charts/chart100.xml" ContentType="application/vnd.openxmlformats-officedocument.drawingml.chart+xml"/>
  <Override PartName="/word/footer59.xml" ContentType="application/vnd.openxmlformats-officedocument.wordprocessingml.footer+xml"/>
  <Override PartName="/customXml/itemProps1.xml" ContentType="application/vnd.openxmlformats-officedocument.customXmlProperties+xml"/>
  <Override PartName="/word/charts/chart99.xml" ContentType="application/vnd.openxmlformats-officedocument.drawingml.chart+xml"/>
  <Override PartName="/word/footer48.xml" ContentType="application/vnd.openxmlformats-officedocument.wordprocessingml.footer+xml"/>
  <Override PartName="/word/theme/themeOverride1.xml" ContentType="application/vnd.openxmlformats-officedocument.themeOverride+xml"/>
  <Override PartName="/word/theme/themeOverride11.xml" ContentType="application/vnd.openxmlformats-officedocument.themeOverride+xml"/>
  <Override PartName="/word/charts/chart77.xml" ContentType="application/vnd.openxmlformats-officedocument.drawingml.chart+xml"/>
  <Override PartName="/word/charts/chart88.xml" ContentType="application/vnd.openxmlformats-officedocument.drawingml.chart+xml"/>
  <Override PartName="/word/footer37.xml" ContentType="application/vnd.openxmlformats-officedocument.wordprocessingml.footer+xml"/>
  <Override PartName="/word/charts/chart19.xml" ContentType="application/vnd.openxmlformats-officedocument.drawingml.chart+xml"/>
  <Override PartName="/word/charts/chart66.xml" ContentType="application/vnd.openxmlformats-officedocument.drawingml.chart+xml"/>
  <Override PartName="/word/footer26.xml" ContentType="application/vnd.openxmlformats-officedocument.wordprocessingml.footer+xml"/>
  <Override PartName="/word/footer3.xml" ContentType="application/vnd.openxmlformats-officedocument.wordprocessingml.footer+xml"/>
  <Override PartName="/word/charts/chart55.xml" ContentType="application/vnd.openxmlformats-officedocument.drawingml.chart+xml"/>
  <Override PartName="/word/header10.xml" ContentType="application/vnd.openxmlformats-officedocument.wordprocessingml.header+xml"/>
  <Override PartName="/word/footer15.xml" ContentType="application/vnd.openxmlformats-officedocument.wordprocessingml.footer+xml"/>
  <Override PartName="/word/footer51.xml" ContentType="application/vnd.openxmlformats-officedocument.wordprocessingml.footer+xml"/>
  <Override PartName="/word/footer6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131" w:rsidRPr="00CC7883" w:rsidRDefault="00043131" w:rsidP="00047411">
      <w:pPr>
        <w:widowControl w:val="0"/>
        <w:spacing w:after="0"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НАЦІОНАЛЬНА АКАДЕМІЯ АГРАРНИХ НАУК УКРАЇНИ</w:t>
      </w:r>
    </w:p>
    <w:p w:rsidR="00043131" w:rsidRPr="00CC7883" w:rsidRDefault="00043131" w:rsidP="00047411">
      <w:pPr>
        <w:widowControl w:val="0"/>
        <w:spacing w:after="0"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Національний науковий центр</w:t>
      </w:r>
    </w:p>
    <w:p w:rsidR="00043131" w:rsidRPr="00CC7883" w:rsidRDefault="00043131" w:rsidP="00047411">
      <w:pPr>
        <w:widowControl w:val="0"/>
        <w:spacing w:after="0"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«Інститут виноградарства і виноробства імені В.</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Є.</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Таїрова»</w:t>
      </w:r>
    </w:p>
    <w:p w:rsidR="00043131" w:rsidRPr="00CC7883" w:rsidRDefault="00043131" w:rsidP="00047411">
      <w:pPr>
        <w:widowControl w:val="0"/>
        <w:spacing w:after="0" w:line="360" w:lineRule="auto"/>
        <w:jc w:val="center"/>
        <w:rPr>
          <w:rFonts w:ascii="Times New Roman" w:hAnsi="Times New Roman" w:cs="Times New Roman"/>
          <w:color w:val="000000" w:themeColor="text1"/>
          <w:sz w:val="28"/>
          <w:szCs w:val="28"/>
        </w:rPr>
      </w:pPr>
    </w:p>
    <w:p w:rsidR="00043131" w:rsidRPr="00CC7883" w:rsidRDefault="00043131" w:rsidP="00047411">
      <w:pPr>
        <w:widowControl w:val="0"/>
        <w:spacing w:after="0" w:line="360" w:lineRule="auto"/>
        <w:jc w:val="right"/>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 Кваліфікаційна наукова</w:t>
      </w:r>
    </w:p>
    <w:p w:rsidR="00043131" w:rsidRPr="00CC7883" w:rsidRDefault="00043131" w:rsidP="00047411">
      <w:pPr>
        <w:widowControl w:val="0"/>
        <w:spacing w:after="0" w:line="360" w:lineRule="auto"/>
        <w:jc w:val="right"/>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 праця на правах рукопису</w:t>
      </w:r>
    </w:p>
    <w:p w:rsidR="00043131" w:rsidRPr="00CC7883" w:rsidRDefault="00043131" w:rsidP="00047411">
      <w:pPr>
        <w:widowControl w:val="0"/>
        <w:spacing w:after="0" w:line="360" w:lineRule="auto"/>
        <w:jc w:val="right"/>
        <w:rPr>
          <w:rFonts w:ascii="Times New Roman" w:hAnsi="Times New Roman" w:cs="Times New Roman"/>
          <w:color w:val="000000" w:themeColor="text1"/>
          <w:sz w:val="28"/>
          <w:szCs w:val="28"/>
        </w:rPr>
      </w:pPr>
    </w:p>
    <w:p w:rsidR="00043131" w:rsidRPr="00CC7883" w:rsidRDefault="00043131" w:rsidP="00047411">
      <w:pPr>
        <w:widowControl w:val="0"/>
        <w:spacing w:after="0" w:line="360" w:lineRule="auto"/>
        <w:jc w:val="center"/>
        <w:rPr>
          <w:rFonts w:ascii="Times New Roman" w:hAnsi="Times New Roman" w:cs="Times New Roman"/>
          <w:b/>
          <w:color w:val="000000" w:themeColor="text1"/>
          <w:sz w:val="28"/>
          <w:szCs w:val="28"/>
        </w:rPr>
      </w:pPr>
      <w:r w:rsidRPr="00CC7883">
        <w:rPr>
          <w:rFonts w:ascii="Times New Roman" w:hAnsi="Times New Roman" w:cs="Times New Roman"/>
          <w:b/>
          <w:color w:val="000000" w:themeColor="text1"/>
          <w:sz w:val="28"/>
          <w:szCs w:val="28"/>
        </w:rPr>
        <w:t>Самофалов Михайло Олександрович</w:t>
      </w:r>
    </w:p>
    <w:p w:rsidR="00043131" w:rsidRPr="00CC7883" w:rsidRDefault="00043131" w:rsidP="00047411">
      <w:pPr>
        <w:widowControl w:val="0"/>
        <w:spacing w:after="0" w:line="360" w:lineRule="auto"/>
        <w:jc w:val="center"/>
        <w:rPr>
          <w:rFonts w:ascii="Times New Roman" w:hAnsi="Times New Roman" w:cs="Times New Roman"/>
          <w:color w:val="000000" w:themeColor="text1"/>
          <w:sz w:val="28"/>
          <w:szCs w:val="28"/>
        </w:rPr>
      </w:pPr>
    </w:p>
    <w:p w:rsidR="00043131" w:rsidRPr="00CC7883" w:rsidRDefault="00043131" w:rsidP="00047411">
      <w:pPr>
        <w:widowControl w:val="0"/>
        <w:spacing w:after="0" w:line="360" w:lineRule="auto"/>
        <w:jc w:val="right"/>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УДК 634.836.1:631.532:581.522.4</w:t>
      </w:r>
    </w:p>
    <w:p w:rsidR="00043131" w:rsidRPr="00CC7883" w:rsidRDefault="00043131" w:rsidP="00047411">
      <w:pPr>
        <w:widowControl w:val="0"/>
        <w:spacing w:after="0" w:line="360" w:lineRule="auto"/>
        <w:rPr>
          <w:rFonts w:ascii="Times New Roman" w:hAnsi="Times New Roman" w:cs="Times New Roman"/>
          <w:color w:val="000000" w:themeColor="text1"/>
          <w:sz w:val="28"/>
          <w:szCs w:val="28"/>
        </w:rPr>
      </w:pPr>
    </w:p>
    <w:p w:rsidR="00043131" w:rsidRPr="00CC7883" w:rsidRDefault="00043131" w:rsidP="00047411">
      <w:pPr>
        <w:widowControl w:val="0"/>
        <w:spacing w:after="0" w:line="360" w:lineRule="auto"/>
        <w:jc w:val="center"/>
        <w:rPr>
          <w:rFonts w:ascii="Times New Roman" w:hAnsi="Times New Roman" w:cs="Times New Roman"/>
          <w:b/>
          <w:bCs/>
          <w:color w:val="000000" w:themeColor="text1"/>
          <w:sz w:val="28"/>
          <w:szCs w:val="28"/>
        </w:rPr>
      </w:pPr>
      <w:r w:rsidRPr="00CC7883">
        <w:rPr>
          <w:rFonts w:ascii="Times New Roman" w:hAnsi="Times New Roman" w:cs="Times New Roman"/>
          <w:b/>
          <w:bCs/>
          <w:color w:val="000000" w:themeColor="text1"/>
          <w:sz w:val="28"/>
          <w:szCs w:val="28"/>
        </w:rPr>
        <w:t>ДИСЕРТАЦІЯ</w:t>
      </w:r>
    </w:p>
    <w:p w:rsidR="00043131" w:rsidRPr="00CC7883" w:rsidRDefault="00043131" w:rsidP="00047411">
      <w:pPr>
        <w:widowControl w:val="0"/>
        <w:spacing w:after="0" w:line="360" w:lineRule="auto"/>
        <w:jc w:val="center"/>
        <w:rPr>
          <w:rFonts w:ascii="Times New Roman" w:hAnsi="Times New Roman" w:cs="Times New Roman"/>
          <w:b/>
          <w:bCs/>
          <w:color w:val="000000" w:themeColor="text1"/>
          <w:sz w:val="28"/>
          <w:szCs w:val="28"/>
        </w:rPr>
      </w:pPr>
      <w:r w:rsidRPr="00CC7883">
        <w:rPr>
          <w:rFonts w:ascii="Times New Roman" w:hAnsi="Times New Roman" w:cs="Times New Roman"/>
          <w:b/>
          <w:bCs/>
          <w:color w:val="000000" w:themeColor="text1"/>
          <w:sz w:val="28"/>
          <w:szCs w:val="28"/>
        </w:rPr>
        <w:t xml:space="preserve">ТЕОРЕТИЧНЕ ОБҐРУНТУВАННЯ ТА РОЗРОБКА ПРИЙОМІВ АДАПТАЦІЇ МІКРОКЛОНІВ ВИНОГРАДУ ДО УМОВ </w:t>
      </w:r>
      <w:r w:rsidRPr="00CC7883">
        <w:rPr>
          <w:rFonts w:ascii="Times New Roman" w:hAnsi="Times New Roman" w:cs="Times New Roman"/>
          <w:b/>
          <w:bCs/>
          <w:i/>
          <w:iCs/>
          <w:color w:val="000000" w:themeColor="text1"/>
          <w:sz w:val="28"/>
          <w:szCs w:val="28"/>
        </w:rPr>
        <w:t>IN</w:t>
      </w:r>
      <w:r w:rsidR="001221F9" w:rsidRPr="00CC7883">
        <w:rPr>
          <w:rFonts w:ascii="Times New Roman" w:hAnsi="Times New Roman" w:cs="Times New Roman"/>
          <w:b/>
          <w:bCs/>
          <w:i/>
          <w:iCs/>
          <w:color w:val="000000" w:themeColor="text1"/>
          <w:sz w:val="28"/>
          <w:szCs w:val="28"/>
        </w:rPr>
        <w:t> </w:t>
      </w:r>
      <w:r w:rsidRPr="00CC7883">
        <w:rPr>
          <w:rFonts w:ascii="Times New Roman" w:hAnsi="Times New Roman" w:cs="Times New Roman"/>
          <w:b/>
          <w:bCs/>
          <w:i/>
          <w:iCs/>
          <w:color w:val="000000" w:themeColor="text1"/>
          <w:sz w:val="28"/>
          <w:szCs w:val="28"/>
        </w:rPr>
        <w:t>VIVO</w:t>
      </w:r>
    </w:p>
    <w:p w:rsidR="00043131" w:rsidRPr="00CC7883" w:rsidRDefault="00043131" w:rsidP="00047411">
      <w:pPr>
        <w:widowControl w:val="0"/>
        <w:spacing w:after="0" w:line="360" w:lineRule="auto"/>
        <w:jc w:val="center"/>
        <w:rPr>
          <w:rFonts w:ascii="Times New Roman" w:hAnsi="Times New Roman" w:cs="Times New Roman"/>
          <w:color w:val="000000" w:themeColor="text1"/>
          <w:sz w:val="28"/>
          <w:szCs w:val="28"/>
        </w:rPr>
      </w:pPr>
    </w:p>
    <w:p w:rsidR="00043131" w:rsidRPr="00CC7883" w:rsidRDefault="0004313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203 – Садівництво</w:t>
      </w:r>
      <w:r w:rsidR="00C16DDD" w:rsidRPr="00CC7883">
        <w:rPr>
          <w:rFonts w:ascii="Times New Roman" w:hAnsi="Times New Roman" w:cs="Times New Roman"/>
          <w:color w:val="000000" w:themeColor="text1"/>
          <w:sz w:val="28"/>
          <w:szCs w:val="28"/>
        </w:rPr>
        <w:t xml:space="preserve"> </w:t>
      </w:r>
      <w:r w:rsidR="006D2536" w:rsidRPr="00CC7883">
        <w:rPr>
          <w:rFonts w:ascii="Times New Roman" w:hAnsi="Times New Roman" w:cs="Times New Roman"/>
          <w:color w:val="000000" w:themeColor="text1"/>
          <w:sz w:val="28"/>
          <w:szCs w:val="28"/>
        </w:rPr>
        <w:t>т</w:t>
      </w:r>
      <w:r w:rsidRPr="00CC7883">
        <w:rPr>
          <w:rFonts w:ascii="Times New Roman" w:hAnsi="Times New Roman" w:cs="Times New Roman"/>
          <w:color w:val="000000" w:themeColor="text1"/>
          <w:sz w:val="28"/>
          <w:szCs w:val="28"/>
        </w:rPr>
        <w:t>а виноградарство</w:t>
      </w:r>
    </w:p>
    <w:p w:rsidR="00043131" w:rsidRPr="00CC7883" w:rsidRDefault="0004313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 – Аграрні науки та продовольство</w:t>
      </w:r>
    </w:p>
    <w:p w:rsidR="00043131" w:rsidRPr="00CC7883" w:rsidRDefault="00043131" w:rsidP="00047411">
      <w:pPr>
        <w:widowControl w:val="0"/>
        <w:spacing w:after="0" w:line="360" w:lineRule="auto"/>
        <w:rPr>
          <w:rFonts w:ascii="Times New Roman" w:hAnsi="Times New Roman" w:cs="Times New Roman"/>
          <w:color w:val="000000" w:themeColor="text1"/>
          <w:sz w:val="28"/>
          <w:szCs w:val="28"/>
        </w:rPr>
      </w:pPr>
    </w:p>
    <w:p w:rsidR="00043131" w:rsidRPr="00CC7883" w:rsidRDefault="00043131" w:rsidP="00047411">
      <w:pPr>
        <w:widowControl w:val="0"/>
        <w:spacing w:after="0" w:line="360" w:lineRule="auto"/>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Подається на здобуття наукового ступеня доктора філософії</w:t>
      </w:r>
    </w:p>
    <w:p w:rsidR="00043131" w:rsidRPr="00CC7883" w:rsidRDefault="00043131" w:rsidP="00047411">
      <w:pPr>
        <w:widowControl w:val="0"/>
        <w:spacing w:after="0" w:line="360" w:lineRule="auto"/>
        <w:jc w:val="center"/>
        <w:rPr>
          <w:rFonts w:ascii="Times New Roman" w:hAnsi="Times New Roman" w:cs="Times New Roman"/>
          <w:color w:val="000000" w:themeColor="text1"/>
          <w:sz w:val="28"/>
          <w:szCs w:val="28"/>
        </w:rPr>
      </w:pPr>
    </w:p>
    <w:p w:rsidR="00043131" w:rsidRPr="00CC7883" w:rsidRDefault="0004313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Дисертація містить результати власних досліджень. Використання ідей, результатів і текстів інших авторів має посилання на відповідне джерело ____________ М.</w:t>
      </w:r>
      <w:r w:rsidR="001D2B09">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О. Самофалов</w:t>
      </w:r>
    </w:p>
    <w:p w:rsidR="00043131" w:rsidRPr="00CC7883" w:rsidRDefault="00043131" w:rsidP="00047411">
      <w:pPr>
        <w:widowControl w:val="0"/>
        <w:spacing w:after="0" w:line="360" w:lineRule="auto"/>
        <w:rPr>
          <w:rFonts w:ascii="Times New Roman" w:hAnsi="Times New Roman" w:cs="Times New Roman"/>
          <w:color w:val="000000" w:themeColor="text1"/>
          <w:sz w:val="28"/>
          <w:szCs w:val="28"/>
        </w:rPr>
      </w:pPr>
    </w:p>
    <w:p w:rsidR="00043131" w:rsidRPr="00CC7883" w:rsidRDefault="00043131" w:rsidP="00047411">
      <w:pPr>
        <w:widowControl w:val="0"/>
        <w:spacing w:after="0" w:line="360" w:lineRule="auto"/>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Науковий керівник: Зеленянська Наталя Миколаївна</w:t>
      </w:r>
    </w:p>
    <w:p w:rsidR="00043131" w:rsidRPr="00CC7883" w:rsidRDefault="00043131" w:rsidP="00047411">
      <w:pPr>
        <w:widowControl w:val="0"/>
        <w:spacing w:after="0" w:line="360" w:lineRule="auto"/>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доктор сільськогосподарських наук, старший науковий співробітник</w:t>
      </w:r>
    </w:p>
    <w:p w:rsidR="00043131" w:rsidRPr="00CC7883" w:rsidRDefault="00043131" w:rsidP="00047411">
      <w:pPr>
        <w:widowControl w:val="0"/>
        <w:spacing w:after="0" w:line="360" w:lineRule="auto"/>
        <w:rPr>
          <w:rFonts w:ascii="Times New Roman" w:hAnsi="Times New Roman" w:cs="Times New Roman"/>
          <w:color w:val="000000" w:themeColor="text1"/>
          <w:sz w:val="28"/>
          <w:szCs w:val="28"/>
        </w:rPr>
      </w:pPr>
    </w:p>
    <w:p w:rsidR="00043131" w:rsidRPr="00CC7883" w:rsidRDefault="00043131" w:rsidP="00047411">
      <w:pPr>
        <w:widowControl w:val="0"/>
        <w:spacing w:after="0" w:line="360" w:lineRule="auto"/>
        <w:rPr>
          <w:rFonts w:ascii="Times New Roman" w:hAnsi="Times New Roman" w:cs="Times New Roman"/>
          <w:color w:val="000000" w:themeColor="text1"/>
          <w:sz w:val="28"/>
          <w:szCs w:val="28"/>
        </w:rPr>
      </w:pPr>
    </w:p>
    <w:p w:rsidR="00043131" w:rsidRPr="00CC7883" w:rsidRDefault="00043131" w:rsidP="00047411">
      <w:pPr>
        <w:widowControl w:val="0"/>
        <w:spacing w:after="0" w:line="360" w:lineRule="auto"/>
        <w:rPr>
          <w:rFonts w:ascii="Times New Roman" w:hAnsi="Times New Roman" w:cs="Times New Roman"/>
          <w:color w:val="000000" w:themeColor="text1"/>
          <w:sz w:val="28"/>
          <w:szCs w:val="28"/>
        </w:rPr>
      </w:pPr>
    </w:p>
    <w:p w:rsidR="00192B2C" w:rsidRPr="00CC7883" w:rsidRDefault="00043131" w:rsidP="00047411">
      <w:pPr>
        <w:widowControl w:val="0"/>
        <w:spacing w:after="0" w:line="360" w:lineRule="auto"/>
        <w:jc w:val="center"/>
        <w:rPr>
          <w:rFonts w:ascii="Times New Roman" w:hAnsi="Times New Roman" w:cs="Times New Roman"/>
          <w:color w:val="000000" w:themeColor="text1"/>
          <w:sz w:val="28"/>
          <w:szCs w:val="28"/>
        </w:rPr>
        <w:sectPr w:rsidR="00192B2C" w:rsidRPr="00CC7883" w:rsidSect="00CB3048">
          <w:headerReference w:type="default" r:id="rId8"/>
          <w:pgSz w:w="11905" w:h="16837"/>
          <w:pgMar w:top="1134" w:right="851" w:bottom="1134" w:left="1701" w:header="709" w:footer="709" w:gutter="0"/>
          <w:cols w:space="720"/>
        </w:sectPr>
      </w:pPr>
      <w:r w:rsidRPr="00CC7883">
        <w:rPr>
          <w:rFonts w:ascii="Times New Roman" w:hAnsi="Times New Roman" w:cs="Times New Roman"/>
          <w:color w:val="000000" w:themeColor="text1"/>
          <w:sz w:val="28"/>
          <w:szCs w:val="28"/>
        </w:rPr>
        <w:t>Одеса – 2026</w:t>
      </w:r>
    </w:p>
    <w:p w:rsidR="00043131" w:rsidRPr="00CC7883" w:rsidRDefault="00043131" w:rsidP="00047411">
      <w:pPr>
        <w:widowControl w:val="0"/>
        <w:spacing w:after="0" w:line="360" w:lineRule="auto"/>
        <w:jc w:val="center"/>
        <w:rPr>
          <w:rFonts w:ascii="Times New Roman" w:eastAsia="Calibri" w:hAnsi="Times New Roman" w:cs="Times New Roman"/>
          <w:b/>
          <w:color w:val="000000" w:themeColor="text1"/>
          <w:kern w:val="0"/>
          <w:sz w:val="28"/>
          <w:szCs w:val="28"/>
        </w:rPr>
      </w:pPr>
      <w:bookmarkStart w:id="0" w:name="_Hlk217994093"/>
      <w:r w:rsidRPr="00CC7883">
        <w:rPr>
          <w:rFonts w:ascii="Times New Roman" w:eastAsia="Calibri" w:hAnsi="Times New Roman" w:cs="Times New Roman"/>
          <w:b/>
          <w:color w:val="000000" w:themeColor="text1"/>
          <w:kern w:val="0"/>
          <w:sz w:val="28"/>
          <w:szCs w:val="28"/>
        </w:rPr>
        <w:lastRenderedPageBreak/>
        <w:t>АНОТАЦІЯ</w:t>
      </w:r>
    </w:p>
    <w:p w:rsidR="00043131" w:rsidRPr="00CC7883" w:rsidRDefault="00043131" w:rsidP="00047411">
      <w:pPr>
        <w:widowControl w:val="0"/>
        <w:spacing w:after="0" w:line="360" w:lineRule="auto"/>
        <w:ind w:firstLine="709"/>
        <w:jc w:val="both"/>
        <w:rPr>
          <w:rFonts w:ascii="Times New Roman" w:eastAsia="Calibri" w:hAnsi="Times New Roman" w:cs="Times New Roman"/>
          <w:b/>
          <w:color w:val="000000" w:themeColor="text1"/>
          <w:kern w:val="0"/>
          <w:sz w:val="28"/>
          <w:szCs w:val="28"/>
        </w:rPr>
      </w:pPr>
    </w:p>
    <w:bookmarkEnd w:id="0"/>
    <w:p w:rsidR="004842DF" w:rsidRPr="00CC7883" w:rsidRDefault="004842DF"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b/>
          <w:color w:val="000000" w:themeColor="text1"/>
          <w:sz w:val="28"/>
          <w:szCs w:val="28"/>
        </w:rPr>
        <w:t>Самофалов М.</w:t>
      </w:r>
      <w:r w:rsidR="00B85BAF">
        <w:rPr>
          <w:rFonts w:ascii="Times New Roman" w:hAnsi="Times New Roman" w:cs="Times New Roman"/>
          <w:b/>
          <w:color w:val="000000" w:themeColor="text1"/>
          <w:sz w:val="28"/>
          <w:szCs w:val="28"/>
        </w:rPr>
        <w:t xml:space="preserve"> </w:t>
      </w:r>
      <w:r w:rsidRPr="00CC7883">
        <w:rPr>
          <w:rFonts w:ascii="Times New Roman" w:hAnsi="Times New Roman" w:cs="Times New Roman"/>
          <w:b/>
          <w:color w:val="000000" w:themeColor="text1"/>
          <w:sz w:val="28"/>
          <w:szCs w:val="28"/>
        </w:rPr>
        <w:t xml:space="preserve">О. Теоретичне обґрунтування та розробка прийомів адаптації мікроклонів винограду до умов </w:t>
      </w:r>
      <w:r w:rsidRPr="00CC7883">
        <w:rPr>
          <w:rFonts w:ascii="Times New Roman" w:hAnsi="Times New Roman" w:cs="Times New Roman"/>
          <w:b/>
          <w:i/>
          <w:color w:val="000000" w:themeColor="text1"/>
          <w:sz w:val="28"/>
          <w:szCs w:val="28"/>
        </w:rPr>
        <w:t>in</w:t>
      </w:r>
      <w:r w:rsidR="008B5203" w:rsidRPr="00CC7883">
        <w:rPr>
          <w:rFonts w:ascii="Times New Roman" w:hAnsi="Times New Roman" w:cs="Times New Roman"/>
          <w:b/>
          <w:i/>
          <w:color w:val="000000" w:themeColor="text1"/>
          <w:sz w:val="28"/>
          <w:szCs w:val="28"/>
        </w:rPr>
        <w:t> </w:t>
      </w:r>
      <w:r w:rsidRPr="00CC7883">
        <w:rPr>
          <w:rFonts w:ascii="Times New Roman" w:hAnsi="Times New Roman" w:cs="Times New Roman"/>
          <w:b/>
          <w:i/>
          <w:color w:val="000000" w:themeColor="text1"/>
          <w:sz w:val="28"/>
          <w:szCs w:val="28"/>
        </w:rPr>
        <w:t>vivo</w:t>
      </w:r>
      <w:r w:rsidRPr="00CC7883">
        <w:rPr>
          <w:rFonts w:ascii="Times New Roman" w:hAnsi="Times New Roman" w:cs="Times New Roman"/>
          <w:b/>
          <w:color w:val="000000" w:themeColor="text1"/>
          <w:sz w:val="28"/>
          <w:szCs w:val="28"/>
        </w:rPr>
        <w:t>.</w:t>
      </w:r>
      <w:r w:rsidRPr="00CC7883">
        <w:rPr>
          <w:rFonts w:ascii="Times New Roman" w:hAnsi="Times New Roman" w:cs="Times New Roman"/>
          <w:color w:val="000000" w:themeColor="text1"/>
          <w:sz w:val="28"/>
          <w:szCs w:val="28"/>
        </w:rPr>
        <w:t xml:space="preserve"> – Кваліфікаційна наукова праця на правах рукопису.</w:t>
      </w:r>
    </w:p>
    <w:p w:rsidR="004842DF" w:rsidRPr="00CC7883" w:rsidRDefault="004842DF"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Дисертаційна робота на здобуття наукового ступеня доктора філософії за </w:t>
      </w:r>
      <w:r w:rsidR="009626F9" w:rsidRPr="00CC7883">
        <w:rPr>
          <w:rFonts w:ascii="Times New Roman" w:hAnsi="Times New Roman" w:cs="Times New Roman"/>
          <w:color w:val="000000" w:themeColor="text1"/>
          <w:sz w:val="28"/>
          <w:szCs w:val="28"/>
        </w:rPr>
        <w:t>спеціальністю 203</w:t>
      </w:r>
      <w:r w:rsidR="004B7F24">
        <w:rPr>
          <w:rFonts w:ascii="Times New Roman" w:hAnsi="Times New Roman" w:cs="Times New Roman"/>
          <w:color w:val="000000" w:themeColor="text1"/>
          <w:sz w:val="28"/>
          <w:szCs w:val="28"/>
        </w:rPr>
        <w:t> </w:t>
      </w:r>
      <w:r w:rsidR="009626F9" w:rsidRPr="00CC7883">
        <w:rPr>
          <w:rFonts w:ascii="Times New Roman" w:hAnsi="Times New Roman" w:cs="Times New Roman"/>
          <w:color w:val="000000" w:themeColor="text1"/>
          <w:sz w:val="28"/>
          <w:szCs w:val="28"/>
        </w:rPr>
        <w:t xml:space="preserve">«Садівництво </w:t>
      </w:r>
      <w:r w:rsidRPr="00CC7883">
        <w:rPr>
          <w:rFonts w:ascii="Times New Roman" w:hAnsi="Times New Roman" w:cs="Times New Roman"/>
          <w:color w:val="000000" w:themeColor="text1"/>
          <w:sz w:val="28"/>
          <w:szCs w:val="28"/>
        </w:rPr>
        <w:t>та виноградарство». Галузь знань 20</w:t>
      </w:r>
      <w:r w:rsidR="004B7F24">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w:t>
      </w:r>
      <w:r w:rsidR="004B7F24">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Аграрні науки та продовольство. – Національний науковий центр «Інститут виноградарства і виноробства імені В.</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Є.</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Таїрова» НААН України, Одеса, 2026.</w:t>
      </w:r>
    </w:p>
    <w:p w:rsidR="004842DF" w:rsidRPr="00CC7883" w:rsidRDefault="004842DF"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Адаптація мікроклонів винограду є одним із найвідповідальніших етапів технології мікроклонального розмноження винограду. Мікроклони, вирощені в умовах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Pr="00CC7883">
        <w:rPr>
          <w:rFonts w:ascii="Times New Roman" w:hAnsi="Times New Roman" w:cs="Times New Roman"/>
          <w:color w:val="000000" w:themeColor="text1"/>
          <w:sz w:val="28"/>
          <w:szCs w:val="28"/>
        </w:rPr>
        <w:t>, характеризуються недосконалими фізіологічними характеристиками</w:t>
      </w:r>
      <w:r w:rsidR="00596734"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та зниженою стійкістю до факторів зовнішнього середовища – кутикула тонка або відсутня, продиховий апарат неактивний, система регуляції водного балансу порушена, а фотосинтетичний апарат реагує на зміну освітлення та вологості під впливом стресу. Через це навіть незначне зниження вологості чи зміна температури призводить до швидкої втрати тургору і в’янення рослин – до 70–80 %. Тому для успішної адаптації мікроклонів винограду до умов </w:t>
      </w:r>
      <w:r w:rsidRPr="00CC7883">
        <w:rPr>
          <w:rFonts w:ascii="Times New Roman" w:hAnsi="Times New Roman" w:cs="Times New Roman"/>
          <w:i/>
          <w:color w:val="000000" w:themeColor="text1"/>
          <w:sz w:val="28"/>
          <w:szCs w:val="28"/>
        </w:rPr>
        <w:t>in</w:t>
      </w:r>
      <w:r w:rsidR="001221F9"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vivo</w:t>
      </w:r>
      <w:r w:rsidR="001221F9"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 xml:space="preserve">ще у процесі їх культивування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008B5203"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 xml:space="preserve">необхідно, з одного боку, забезпечити оптимальні фізичні параметри – правильно дібране поживне середовище або субстрат, стабільну вологість та вентиляцію повітря, відповідний рН поживного середовища (субстрату) та фактори, що зменшують стресовий вплив різкого переходу рослин з контрольованих умов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00C82FCC"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в неконтрольовані умови</w:t>
      </w:r>
      <w:r w:rsidR="00C82FCC"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vivo</w:t>
      </w:r>
      <w:r w:rsidRPr="00CC7883">
        <w:rPr>
          <w:rFonts w:ascii="Times New Roman" w:hAnsi="Times New Roman" w:cs="Times New Roman"/>
          <w:color w:val="000000" w:themeColor="text1"/>
          <w:sz w:val="28"/>
          <w:szCs w:val="28"/>
        </w:rPr>
        <w:t>. З іншого боку, рослини повинні ще в умовах</w:t>
      </w:r>
      <w:r w:rsidR="00C82FCC"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00C82FCC"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сформувати такий фізіолого-біохімічний стан, який забезпечить їхню здатність реагувати на зміну вологості, освітлення та температури. Тобто, умови культивування</w:t>
      </w:r>
      <w:r w:rsidR="00596734"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color w:val="000000" w:themeColor="text1"/>
          <w:sz w:val="28"/>
          <w:szCs w:val="28"/>
        </w:rPr>
        <w:t>in</w:t>
      </w:r>
      <w:r w:rsidR="00596734"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00596734"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 xml:space="preserve">необхідно оптимізувати так, щоб мікроклональні рослини характеризувалися високою стійкістю до абіотичного стресу і без значних втрат проходили етап </w:t>
      </w:r>
      <w:r w:rsidRPr="00CC7883">
        <w:rPr>
          <w:rFonts w:ascii="Times New Roman" w:hAnsi="Times New Roman" w:cs="Times New Roman"/>
          <w:color w:val="000000" w:themeColor="text1"/>
          <w:sz w:val="28"/>
          <w:szCs w:val="28"/>
        </w:rPr>
        <w:lastRenderedPageBreak/>
        <w:t>адаптації.</w:t>
      </w:r>
    </w:p>
    <w:p w:rsidR="004842DF" w:rsidRPr="00CC7883" w:rsidRDefault="004842DF" w:rsidP="00047411">
      <w:pPr>
        <w:widowControl w:val="0"/>
        <w:spacing w:after="0" w:line="360" w:lineRule="auto"/>
        <w:ind w:firstLine="709"/>
        <w:jc w:val="both"/>
        <w:rPr>
          <w:rFonts w:ascii="Times New Roman" w:hAnsi="Times New Roman" w:cs="Times New Roman"/>
          <w:b/>
          <w:color w:val="000000" w:themeColor="text1"/>
          <w:sz w:val="28"/>
          <w:szCs w:val="28"/>
        </w:rPr>
      </w:pPr>
      <w:r w:rsidRPr="00CC7883">
        <w:rPr>
          <w:rFonts w:ascii="Times New Roman" w:hAnsi="Times New Roman" w:cs="Times New Roman"/>
          <w:color w:val="000000" w:themeColor="text1"/>
          <w:sz w:val="28"/>
          <w:szCs w:val="28"/>
        </w:rPr>
        <w:t xml:space="preserve">Метою дослідження було встановлення особливостей морфогенезу мікроклонів підщепних і технічних сортів винограду після культивування на різних типах поживних середовищ, мінеральних субстратів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Pr="00CC7883">
        <w:rPr>
          <w:rFonts w:ascii="Times New Roman" w:hAnsi="Times New Roman" w:cs="Times New Roman"/>
          <w:color w:val="000000" w:themeColor="text1"/>
          <w:sz w:val="28"/>
          <w:szCs w:val="28"/>
        </w:rPr>
        <w:t xml:space="preserve"> для підвищення їх адаптаційної здатності в умовах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vivo</w:t>
      </w:r>
      <w:r w:rsidRPr="00CC7883">
        <w:rPr>
          <w:rFonts w:ascii="Times New Roman" w:hAnsi="Times New Roman" w:cs="Times New Roman"/>
          <w:color w:val="000000" w:themeColor="text1"/>
          <w:sz w:val="28"/>
          <w:szCs w:val="28"/>
        </w:rPr>
        <w:t>.</w:t>
      </w:r>
    </w:p>
    <w:p w:rsidR="004842DF" w:rsidRPr="00CC7883" w:rsidRDefault="004842DF"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Експериментальні дослідження проводили протягом 2019–2022 рр.</w:t>
      </w:r>
      <w:r w:rsidR="00596734"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у відділі розсадництва, розмноження та біотехнології винограду Національного</w:t>
      </w:r>
      <w:r w:rsidR="00596734"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наукового центру «Інститут виноградарства і виноробства імені В.</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Є.</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Таїрова» НААН України.</w:t>
      </w:r>
    </w:p>
    <w:p w:rsidR="004842DF" w:rsidRPr="00CC7883" w:rsidRDefault="004842DF"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Роботу проводили на підщепних («Добриня», «Гарант») та технічних («Ярило», «Загрей»)</w:t>
      </w:r>
      <w:r w:rsidR="0088397A"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сортах винограду.</w:t>
      </w:r>
    </w:p>
    <w:p w:rsidR="004842DF" w:rsidRPr="00CC7883" w:rsidRDefault="004842DF"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Схема досліджен</w:t>
      </w:r>
      <w:r w:rsidR="00881C38">
        <w:rPr>
          <w:rFonts w:ascii="Times New Roman" w:hAnsi="Times New Roman" w:cs="Times New Roman"/>
          <w:color w:val="000000" w:themeColor="text1"/>
          <w:sz w:val="28"/>
          <w:szCs w:val="28"/>
        </w:rPr>
        <w:t>ня</w:t>
      </w:r>
      <w:r w:rsidRPr="00CC7883">
        <w:rPr>
          <w:rFonts w:ascii="Times New Roman" w:hAnsi="Times New Roman" w:cs="Times New Roman"/>
          <w:color w:val="000000" w:themeColor="text1"/>
          <w:sz w:val="28"/>
          <w:szCs w:val="28"/>
        </w:rPr>
        <w:t xml:space="preserve"> передбачала проведення двох дослідів. У першому досліді вивчали вплив складу поживних середовищ, у другому – вплив різних поживних субстратів на ріст, розвиток і фізіолого-біохімічний стан мікроклонів винограду. Контрольними були варіанти, де рослини культивували на стандартних поживних середовищах Мурасіге і Скуга (MS) з різним вмістом фітогормонів (0,3 мг/л ІОК, 0,2 мг/л 6-БАП – контроль 1; 0,6 мг/л ІОК, 0,5 мг/л 6-БАП – контроль 2).</w:t>
      </w:r>
    </w:p>
    <w:p w:rsidR="004842DF" w:rsidRPr="00CC7883" w:rsidRDefault="004842DF"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процесі виконання дослідження </w:t>
      </w:r>
      <w:r w:rsidR="004C5062">
        <w:rPr>
          <w:rFonts w:ascii="Times New Roman" w:hAnsi="Times New Roman" w:cs="Times New Roman"/>
          <w:color w:val="000000" w:themeColor="text1"/>
          <w:sz w:val="28"/>
          <w:szCs w:val="28"/>
        </w:rPr>
        <w:t>визначали</w:t>
      </w:r>
      <w:r w:rsidRPr="00CC7883">
        <w:rPr>
          <w:rFonts w:ascii="Times New Roman" w:hAnsi="Times New Roman" w:cs="Times New Roman"/>
          <w:color w:val="000000" w:themeColor="text1"/>
          <w:sz w:val="28"/>
          <w:szCs w:val="28"/>
        </w:rPr>
        <w:t>:</w:t>
      </w:r>
      <w:r w:rsidR="0088397A"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регенераційних показників ініціальних експлантів винограду, біометричних показників росту, розвитку вегетативної надземної маси та кореневої системи мікроклонів винограду, фізіолого-біохімічних показників тканин листків, пагонів та коренів мікроклонів винограду, показників формування продихового апарату нижнього епідермісу листкових пластинок. Для оцінки достовірності отриманих результатів застосовували багатофакторний дисперсійний аналіз. </w:t>
      </w:r>
    </w:p>
    <w:p w:rsidR="004842DF" w:rsidRPr="00CC7883" w:rsidRDefault="004842DF" w:rsidP="00047411">
      <w:pPr>
        <w:widowControl w:val="0"/>
        <w:tabs>
          <w:tab w:val="left" w:pos="0"/>
        </w:tabs>
        <w:autoSpaceDE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i/>
          <w:color w:val="000000" w:themeColor="text1"/>
          <w:sz w:val="28"/>
          <w:szCs w:val="28"/>
        </w:rPr>
        <w:t>Наукова новизна</w:t>
      </w:r>
      <w:r w:rsidRPr="00CC7883">
        <w:rPr>
          <w:rFonts w:ascii="Times New Roman" w:hAnsi="Times New Roman" w:cs="Times New Roman"/>
          <w:color w:val="000000" w:themeColor="text1"/>
          <w:sz w:val="28"/>
          <w:szCs w:val="28"/>
        </w:rPr>
        <w:t>.</w:t>
      </w:r>
      <w:r w:rsidR="008C6B76"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color w:val="000000" w:themeColor="text1"/>
          <w:sz w:val="28"/>
        </w:rPr>
        <w:t>Вперше</w:t>
      </w:r>
      <w:r w:rsidR="008C6B76" w:rsidRPr="00CC7883">
        <w:rPr>
          <w:rFonts w:ascii="Times New Roman" w:hAnsi="Times New Roman" w:cs="Times New Roman"/>
          <w:i/>
          <w:color w:val="000000" w:themeColor="text1"/>
          <w:sz w:val="28"/>
        </w:rPr>
        <w:t xml:space="preserve"> </w:t>
      </w:r>
      <w:r w:rsidRPr="00CC7883">
        <w:rPr>
          <w:rFonts w:ascii="Times New Roman" w:hAnsi="Times New Roman" w:cs="Times New Roman"/>
          <w:color w:val="000000" w:themeColor="text1"/>
          <w:sz w:val="28"/>
        </w:rPr>
        <w:t xml:space="preserve">встановлено вплив різних поживних середовищ і мінеральних субстратів на основні фізіолого-біохімічні показники листків, пагонів і коренів мікроклонів підщепних і технічних сортів винограду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vitro</w:t>
      </w:r>
      <w:r w:rsidRPr="00CC7883">
        <w:rPr>
          <w:rFonts w:ascii="Times New Roman" w:hAnsi="Times New Roman" w:cs="Times New Roman"/>
          <w:color w:val="000000" w:themeColor="text1"/>
          <w:sz w:val="28"/>
        </w:rPr>
        <w:t>;</w:t>
      </w:r>
      <w:r w:rsidR="008C6B76"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 xml:space="preserve">охарактеризовано формування продихового апарату мікроклонів винограду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vitro</w:t>
      </w:r>
      <w:r w:rsidRPr="00CC7883">
        <w:rPr>
          <w:rFonts w:ascii="Times New Roman" w:hAnsi="Times New Roman" w:cs="Times New Roman"/>
          <w:color w:val="000000" w:themeColor="text1"/>
          <w:sz w:val="28"/>
        </w:rPr>
        <w:t xml:space="preserve"> та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vivo</w:t>
      </w:r>
      <w:r w:rsidRPr="00CC7883">
        <w:rPr>
          <w:rFonts w:ascii="Times New Roman" w:hAnsi="Times New Roman" w:cs="Times New Roman"/>
          <w:color w:val="000000" w:themeColor="text1"/>
          <w:sz w:val="28"/>
        </w:rPr>
        <w:t xml:space="preserve"> і його роль </w:t>
      </w:r>
      <w:r w:rsidR="00824C8E">
        <w:rPr>
          <w:rFonts w:ascii="Times New Roman" w:hAnsi="Times New Roman" w:cs="Times New Roman"/>
          <w:color w:val="000000" w:themeColor="text1"/>
          <w:sz w:val="28"/>
        </w:rPr>
        <w:t>в</w:t>
      </w:r>
      <w:r w:rsidRPr="00CC7883">
        <w:rPr>
          <w:rFonts w:ascii="Times New Roman" w:hAnsi="Times New Roman" w:cs="Times New Roman"/>
          <w:color w:val="000000" w:themeColor="text1"/>
          <w:sz w:val="28"/>
        </w:rPr>
        <w:t xml:space="preserve"> адаптації рослин;</w:t>
      </w:r>
      <w:r w:rsidR="00936C70"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lastRenderedPageBreak/>
        <w:t>визначено взаємозв’язок між регенераційними, морфолого-анатомічними, біометричними та фізіолого-біохімічними характеристиками мікроклонів і умовами їх культивування;</w:t>
      </w:r>
      <w:r w:rsidR="00936C70"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доведено вплив модифікованих поживних середовищ і типів субстратів на формування морфогенетичних показників та подальшу життєздатність мікроклонів у процесі адаптації.</w:t>
      </w:r>
    </w:p>
    <w:p w:rsidR="004842DF" w:rsidRPr="00CC7883" w:rsidRDefault="004842DF" w:rsidP="00047411">
      <w:pPr>
        <w:widowControl w:val="0"/>
        <w:tabs>
          <w:tab w:val="left" w:pos="0"/>
        </w:tabs>
        <w:autoSpaceDE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i/>
          <w:color w:val="000000" w:themeColor="text1"/>
          <w:sz w:val="28"/>
        </w:rPr>
        <w:t xml:space="preserve">Удосконалено </w:t>
      </w:r>
      <w:r w:rsidRPr="00CC7883">
        <w:rPr>
          <w:rFonts w:ascii="Times New Roman" w:hAnsi="Times New Roman" w:cs="Times New Roman"/>
          <w:color w:val="000000" w:themeColor="text1"/>
          <w:sz w:val="28"/>
        </w:rPr>
        <w:t xml:space="preserve">етапи культивування мікроклонів винограду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vitro</w:t>
      </w:r>
      <w:r w:rsidRPr="00CC7883">
        <w:rPr>
          <w:rFonts w:ascii="Times New Roman" w:hAnsi="Times New Roman" w:cs="Times New Roman"/>
          <w:color w:val="000000" w:themeColor="text1"/>
          <w:sz w:val="28"/>
        </w:rPr>
        <w:t xml:space="preserve"> шляхом зміни фітогормонального складу середовищ MS, використання Радіфарму, Clonex gel та мінеральних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hAnsi="Times New Roman" w:cs="Times New Roman"/>
          <w:color w:val="000000" w:themeColor="text1"/>
          <w:sz w:val="28"/>
        </w:rPr>
        <w:t>их компонентів (агроперліт, вермикуліт, їх суміш);</w:t>
      </w:r>
      <w:r w:rsidR="006C73AF"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підхід до оцінювання адаптаційного потенціалу мікроклонів винограду на основі комплексу морфогенетичних і фізіолого-біохімічних показників.</w:t>
      </w:r>
    </w:p>
    <w:p w:rsidR="004842DF" w:rsidRPr="00CC7883" w:rsidRDefault="004842DF" w:rsidP="00047411">
      <w:pPr>
        <w:widowControl w:val="0"/>
        <w:tabs>
          <w:tab w:val="left" w:pos="0"/>
        </w:tabs>
        <w:autoSpaceDE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i/>
          <w:color w:val="000000" w:themeColor="text1"/>
          <w:sz w:val="28"/>
        </w:rPr>
        <w:t>Набули подальшого розвитку</w:t>
      </w:r>
      <w:r w:rsidRPr="00CC7883">
        <w:rPr>
          <w:rFonts w:ascii="Times New Roman" w:hAnsi="Times New Roman" w:cs="Times New Roman"/>
          <w:color w:val="000000" w:themeColor="text1"/>
          <w:sz w:val="28"/>
        </w:rPr>
        <w:t xml:space="preserve"> дослідження щодо впливу умов культивування на регенераційні властивості винограду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vitro</w:t>
      </w:r>
      <w:r w:rsidRPr="00CC7883">
        <w:rPr>
          <w:rFonts w:ascii="Times New Roman" w:hAnsi="Times New Roman" w:cs="Times New Roman"/>
          <w:color w:val="000000" w:themeColor="text1"/>
          <w:sz w:val="28"/>
        </w:rPr>
        <w:t xml:space="preserve"> та отримання мікроклонів з оптимальними біометричними характеристиками; обґрунтування економічної ефективності практичного застосування удосконалених технологічних прийомів культивування винограду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vitro</w:t>
      </w:r>
      <w:r w:rsidRPr="00CC7883">
        <w:rPr>
          <w:rFonts w:ascii="Times New Roman" w:hAnsi="Times New Roman" w:cs="Times New Roman"/>
          <w:color w:val="000000" w:themeColor="text1"/>
          <w:sz w:val="28"/>
        </w:rPr>
        <w:t>.</w:t>
      </w:r>
    </w:p>
    <w:p w:rsidR="004842DF" w:rsidRPr="00CC7883" w:rsidRDefault="004842DF" w:rsidP="00047411">
      <w:pPr>
        <w:widowControl w:val="0"/>
        <w:tabs>
          <w:tab w:val="left" w:pos="0"/>
        </w:tabs>
        <w:autoSpaceDE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На основі отриманих результатів встановлено закономірності формування регенераційної здатності, біометричних, фізіолого-біохімічних і анатомічних показників мікроклонів винограду на етапі культивування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Pr="00CC7883">
        <w:rPr>
          <w:rFonts w:ascii="Times New Roman" w:hAnsi="Times New Roman" w:cs="Times New Roman"/>
          <w:color w:val="000000" w:themeColor="text1"/>
          <w:sz w:val="28"/>
          <w:szCs w:val="28"/>
        </w:rPr>
        <w:t xml:space="preserve"> та їх вплив на адаптацію рослин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vivo</w:t>
      </w:r>
      <w:r w:rsidRPr="00CC7883">
        <w:rPr>
          <w:rFonts w:ascii="Times New Roman" w:hAnsi="Times New Roman" w:cs="Times New Roman"/>
          <w:color w:val="000000" w:themeColor="text1"/>
          <w:sz w:val="28"/>
          <w:szCs w:val="28"/>
        </w:rPr>
        <w:t>.</w:t>
      </w:r>
    </w:p>
    <w:p w:rsidR="004842DF" w:rsidRPr="00CC7883" w:rsidRDefault="004842DF" w:rsidP="00047411">
      <w:pPr>
        <w:widowControl w:val="0"/>
        <w:tabs>
          <w:tab w:val="left" w:pos="0"/>
        </w:tabs>
        <w:autoSpaceDE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Доведено, що застосування оптимізованих поживних середовищ на основі MS </w:t>
      </w:r>
      <w:r w:rsidR="00B85BAF">
        <w:rPr>
          <w:rFonts w:ascii="Times New Roman" w:hAnsi="Times New Roman" w:cs="Times New Roman"/>
          <w:color w:val="000000" w:themeColor="text1"/>
          <w:sz w:val="28"/>
          <w:szCs w:val="28"/>
        </w:rPr>
        <w:t>зі</w:t>
      </w:r>
      <w:r w:rsidRPr="00CC7883">
        <w:rPr>
          <w:rFonts w:ascii="Times New Roman" w:hAnsi="Times New Roman" w:cs="Times New Roman"/>
          <w:color w:val="000000" w:themeColor="text1"/>
          <w:sz w:val="28"/>
          <w:szCs w:val="28"/>
        </w:rPr>
        <w:t xml:space="preserve"> зменшеним вмістом фітогормонів (0,3 мг/л ІОК і 0,2 мг/л 6-БАП) та у поєднанні з біологічно активними препаратами (Радіфарм (2,5</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мл/л) і Clonex gel) і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hAnsi="Times New Roman" w:cs="Times New Roman"/>
          <w:color w:val="000000" w:themeColor="text1"/>
          <w:sz w:val="28"/>
          <w:szCs w:val="28"/>
        </w:rPr>
        <w:t>ими компонентами (агроперліт, вермикуліт та їх суміш) супроводжувалося інтенсифікацією регенераційної здатності ініціальних експлантів, покращенням водного режиму вегетативної надземної маси і кореневої системи, підвищенням вмісту сухих речовин</w:t>
      </w:r>
      <w:r w:rsidR="00936C7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і фотосинтетичних пігментів, збільшенням </w:t>
      </w:r>
      <w:r w:rsidR="00491666" w:rsidRPr="00CC7883">
        <w:rPr>
          <w:rFonts w:ascii="Times New Roman" w:hAnsi="Times New Roman" w:cs="Times New Roman"/>
          <w:color w:val="000000" w:themeColor="text1"/>
          <w:sz w:val="28"/>
          <w:szCs w:val="28"/>
        </w:rPr>
        <w:t>водо</w:t>
      </w:r>
      <w:r w:rsidR="00491666">
        <w:rPr>
          <w:rFonts w:ascii="Times New Roman" w:hAnsi="Times New Roman" w:cs="Times New Roman"/>
          <w:color w:val="000000" w:themeColor="text1"/>
          <w:sz w:val="28"/>
          <w:szCs w:val="28"/>
        </w:rPr>
        <w:t>у</w:t>
      </w:r>
      <w:r w:rsidR="00491666" w:rsidRPr="00CC7883">
        <w:rPr>
          <w:rFonts w:ascii="Times New Roman" w:hAnsi="Times New Roman" w:cs="Times New Roman"/>
          <w:color w:val="000000" w:themeColor="text1"/>
          <w:sz w:val="28"/>
          <w:szCs w:val="28"/>
        </w:rPr>
        <w:t>триму</w:t>
      </w:r>
      <w:r w:rsidR="00491666">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ої здатності тканин, зменшенням інтенсивності транспірації, перебудовою продихового апарату, інтенсивним розвитком вегетативної </w:t>
      </w:r>
      <w:r w:rsidRPr="00CC7883">
        <w:rPr>
          <w:rFonts w:ascii="Times New Roman" w:hAnsi="Times New Roman" w:cs="Times New Roman"/>
          <w:color w:val="000000" w:themeColor="text1"/>
          <w:sz w:val="28"/>
          <w:szCs w:val="28"/>
        </w:rPr>
        <w:lastRenderedPageBreak/>
        <w:t>надземної маси</w:t>
      </w:r>
      <w:r w:rsidR="00936C7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та формуванням розгалуженої кореневої системи мікроклонів винограду.</w:t>
      </w:r>
    </w:p>
    <w:p w:rsidR="004842DF" w:rsidRPr="00CC7883" w:rsidRDefault="00015EF0" w:rsidP="00047411">
      <w:pPr>
        <w:widowControl w:val="0"/>
        <w:tabs>
          <w:tab w:val="left" w:pos="0"/>
        </w:tabs>
        <w:autoSpaceDE w:val="0"/>
        <w:spacing w:after="0" w:line="36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Унаслідок цього</w:t>
      </w:r>
      <w:r w:rsidR="004842DF" w:rsidRPr="00CC7883">
        <w:rPr>
          <w:rFonts w:ascii="Times New Roman" w:hAnsi="Times New Roman" w:cs="Times New Roman"/>
          <w:color w:val="000000" w:themeColor="text1"/>
          <w:sz w:val="28"/>
          <w:szCs w:val="28"/>
        </w:rPr>
        <w:t xml:space="preserve"> приживлюваність таких мікроклонів винограду (дослід 1) через 30, 60 та 90 діб адаптації в умовах </w:t>
      </w:r>
      <w:r w:rsidR="004842DF"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004842DF" w:rsidRPr="00CC7883">
        <w:rPr>
          <w:rFonts w:ascii="Times New Roman" w:hAnsi="Times New Roman" w:cs="Times New Roman"/>
          <w:i/>
          <w:color w:val="000000" w:themeColor="text1"/>
          <w:sz w:val="28"/>
          <w:szCs w:val="28"/>
        </w:rPr>
        <w:t>vivo</w:t>
      </w:r>
      <w:r w:rsidR="004842DF" w:rsidRPr="00CC7883">
        <w:rPr>
          <w:rFonts w:ascii="Times New Roman" w:hAnsi="Times New Roman" w:cs="Times New Roman"/>
          <w:color w:val="000000" w:themeColor="text1"/>
          <w:sz w:val="28"/>
          <w:szCs w:val="28"/>
        </w:rPr>
        <w:t xml:space="preserve"> дорівнювала</w:t>
      </w:r>
      <w:r w:rsidR="00D541C2" w:rsidRPr="00CC7883">
        <w:rPr>
          <w:rFonts w:ascii="Times New Roman" w:hAnsi="Times New Roman" w:cs="Times New Roman"/>
          <w:color w:val="000000" w:themeColor="text1"/>
          <w:sz w:val="28"/>
          <w:szCs w:val="28"/>
        </w:rPr>
        <w:t xml:space="preserve"> в середньому</w:t>
      </w:r>
      <w:r w:rsidR="009D19AC" w:rsidRPr="00CC7883">
        <w:rPr>
          <w:rFonts w:ascii="Times New Roman" w:hAnsi="Times New Roman" w:cs="Times New Roman"/>
          <w:color w:val="000000" w:themeColor="text1"/>
          <w:sz w:val="28"/>
          <w:szCs w:val="28"/>
        </w:rPr>
        <w:t xml:space="preserve"> </w:t>
      </w:r>
      <w:r w:rsidR="00825822" w:rsidRPr="00CC7883">
        <w:rPr>
          <w:rFonts w:ascii="Times New Roman" w:hAnsi="Times New Roman" w:cs="Times New Roman"/>
          <w:bCs/>
          <w:color w:val="000000" w:themeColor="text1"/>
          <w:sz w:val="28"/>
          <w:szCs w:val="28"/>
        </w:rPr>
        <w:t>78,0</w:t>
      </w:r>
      <w:r w:rsidR="004842DF" w:rsidRPr="00CC7883">
        <w:rPr>
          <w:rFonts w:ascii="Times New Roman" w:hAnsi="Times New Roman" w:cs="Times New Roman"/>
          <w:bCs/>
          <w:color w:val="000000" w:themeColor="text1"/>
          <w:sz w:val="28"/>
          <w:szCs w:val="28"/>
        </w:rPr>
        <w:t xml:space="preserve"> %, </w:t>
      </w:r>
      <w:r w:rsidR="00D541C2" w:rsidRPr="00CC7883">
        <w:rPr>
          <w:rFonts w:ascii="Times New Roman" w:hAnsi="Times New Roman" w:cs="Times New Roman"/>
          <w:bCs/>
          <w:color w:val="000000" w:themeColor="text1"/>
          <w:sz w:val="28"/>
          <w:szCs w:val="28"/>
        </w:rPr>
        <w:t>66,</w:t>
      </w:r>
      <w:r w:rsidR="00825822" w:rsidRPr="00CC7883">
        <w:rPr>
          <w:rFonts w:ascii="Times New Roman" w:hAnsi="Times New Roman" w:cs="Times New Roman"/>
          <w:bCs/>
          <w:color w:val="000000" w:themeColor="text1"/>
          <w:sz w:val="28"/>
          <w:szCs w:val="28"/>
        </w:rPr>
        <w:t>5</w:t>
      </w:r>
      <w:r w:rsidR="004842DF" w:rsidRPr="00CC7883">
        <w:rPr>
          <w:rFonts w:ascii="Times New Roman" w:hAnsi="Times New Roman" w:cs="Times New Roman"/>
          <w:bCs/>
          <w:color w:val="000000" w:themeColor="text1"/>
          <w:sz w:val="28"/>
          <w:szCs w:val="28"/>
        </w:rPr>
        <w:t xml:space="preserve"> % та </w:t>
      </w:r>
      <w:r w:rsidR="00825822" w:rsidRPr="00CC7883">
        <w:rPr>
          <w:rFonts w:ascii="Times New Roman" w:hAnsi="Times New Roman" w:cs="Times New Roman"/>
          <w:bCs/>
          <w:color w:val="000000" w:themeColor="text1"/>
          <w:sz w:val="28"/>
          <w:szCs w:val="28"/>
        </w:rPr>
        <w:t>61,2</w:t>
      </w:r>
      <w:r w:rsidR="009D19AC" w:rsidRPr="00CC7883">
        <w:rPr>
          <w:rFonts w:ascii="Times New Roman" w:hAnsi="Times New Roman" w:cs="Times New Roman"/>
          <w:bCs/>
          <w:color w:val="000000" w:themeColor="text1"/>
          <w:sz w:val="28"/>
          <w:szCs w:val="28"/>
        </w:rPr>
        <w:t xml:space="preserve"> </w:t>
      </w:r>
      <w:r w:rsidR="004842DF" w:rsidRPr="00CC7883">
        <w:rPr>
          <w:rFonts w:ascii="Times New Roman" w:hAnsi="Times New Roman" w:cs="Times New Roman"/>
          <w:color w:val="000000" w:themeColor="text1"/>
          <w:sz w:val="28"/>
          <w:szCs w:val="28"/>
        </w:rPr>
        <w:t xml:space="preserve">%, </w:t>
      </w:r>
      <w:r w:rsidR="00825822" w:rsidRPr="00CC7883">
        <w:rPr>
          <w:rFonts w:ascii="Times New Roman" w:hAnsi="Times New Roman" w:cs="Times New Roman"/>
          <w:bCs/>
          <w:color w:val="000000" w:themeColor="text1"/>
          <w:sz w:val="28"/>
          <w:szCs w:val="28"/>
        </w:rPr>
        <w:t>що у 1,4</w:t>
      </w:r>
      <w:r w:rsidR="004842DF" w:rsidRPr="00CC7883">
        <w:rPr>
          <w:rFonts w:ascii="Times New Roman" w:hAnsi="Times New Roman" w:cs="Times New Roman"/>
          <w:bCs/>
          <w:color w:val="000000" w:themeColor="text1"/>
          <w:sz w:val="28"/>
          <w:szCs w:val="28"/>
        </w:rPr>
        <w:t>–</w:t>
      </w:r>
      <w:r w:rsidR="00825822" w:rsidRPr="00CC7883">
        <w:rPr>
          <w:rFonts w:ascii="Times New Roman" w:hAnsi="Times New Roman" w:cs="Times New Roman"/>
          <w:bCs/>
          <w:color w:val="000000" w:themeColor="text1"/>
          <w:sz w:val="28"/>
          <w:szCs w:val="28"/>
        </w:rPr>
        <w:t>2,0</w:t>
      </w:r>
      <w:r w:rsidR="004842DF" w:rsidRPr="00CC7883">
        <w:rPr>
          <w:rFonts w:ascii="Times New Roman" w:hAnsi="Times New Roman" w:cs="Times New Roman"/>
          <w:color w:val="000000" w:themeColor="text1"/>
          <w:sz w:val="28"/>
          <w:szCs w:val="28"/>
        </w:rPr>
        <w:t xml:space="preserve"> раз</w:t>
      </w:r>
      <w:r w:rsidR="000B4DB9">
        <w:rPr>
          <w:rFonts w:ascii="Times New Roman" w:hAnsi="Times New Roman" w:cs="Times New Roman"/>
          <w:color w:val="000000" w:themeColor="text1"/>
          <w:sz w:val="28"/>
          <w:szCs w:val="28"/>
        </w:rPr>
        <w:t>а</w:t>
      </w:r>
      <w:r w:rsidR="004842DF" w:rsidRPr="00CC7883">
        <w:rPr>
          <w:rFonts w:ascii="Times New Roman" w:hAnsi="Times New Roman" w:cs="Times New Roman"/>
          <w:color w:val="000000" w:themeColor="text1"/>
          <w:sz w:val="28"/>
          <w:szCs w:val="28"/>
        </w:rPr>
        <w:t xml:space="preserve"> перевищувало контрольні показники. </w:t>
      </w:r>
    </w:p>
    <w:p w:rsidR="004842DF" w:rsidRPr="00CC7883" w:rsidRDefault="004842DF"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Встановлено, що культивування мікроклонів винограду на чистих поживних мінеральних субстратах (агроперліт, вермикуліт та агроперліт + вермикуліт (1:1)</w:t>
      </w:r>
      <w:r w:rsidR="002F218E"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забезпечувало формування рослин із високим адаптаційним потенціалом, насамперед за рахунок інтенсивного розгалуження кореневої системи, оптимізації водного режиму, збільшення </w:t>
      </w:r>
      <w:r w:rsidR="007211E4" w:rsidRPr="00CC7883">
        <w:rPr>
          <w:rFonts w:ascii="Times New Roman" w:hAnsi="Times New Roman" w:cs="Times New Roman"/>
          <w:color w:val="000000" w:themeColor="text1"/>
          <w:sz w:val="28"/>
          <w:szCs w:val="28"/>
        </w:rPr>
        <w:t>водо</w:t>
      </w:r>
      <w:r w:rsidR="007211E4">
        <w:rPr>
          <w:rFonts w:ascii="Times New Roman" w:hAnsi="Times New Roman" w:cs="Times New Roman"/>
          <w:color w:val="000000" w:themeColor="text1"/>
          <w:sz w:val="28"/>
          <w:szCs w:val="28"/>
        </w:rPr>
        <w:t>у</w:t>
      </w:r>
      <w:r w:rsidR="007211E4" w:rsidRPr="00CC7883">
        <w:rPr>
          <w:rFonts w:ascii="Times New Roman" w:hAnsi="Times New Roman" w:cs="Times New Roman"/>
          <w:color w:val="000000" w:themeColor="text1"/>
          <w:sz w:val="28"/>
          <w:szCs w:val="28"/>
        </w:rPr>
        <w:t>триму</w:t>
      </w:r>
      <w:r w:rsidR="007211E4">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ої здатності, вмісту сухих речовин, фотосинтетичних пігментів, оптимізації роботи продихового апарату та зниження інтенсивності транспірації. </w:t>
      </w:r>
    </w:p>
    <w:p w:rsidR="004842DF" w:rsidRPr="00CC7883" w:rsidRDefault="001B7D0D" w:rsidP="00047411">
      <w:pPr>
        <w:widowControl w:val="0"/>
        <w:spacing w:after="0" w:line="360" w:lineRule="auto"/>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У результаті</w:t>
      </w:r>
      <w:r w:rsidR="00F704CB" w:rsidRPr="00CC7883">
        <w:rPr>
          <w:rFonts w:ascii="Times New Roman" w:hAnsi="Times New Roman" w:cs="Times New Roman"/>
          <w:color w:val="000000" w:themeColor="text1"/>
          <w:sz w:val="28"/>
          <w:szCs w:val="28"/>
        </w:rPr>
        <w:t>,</w:t>
      </w:r>
      <w:r w:rsidR="004842DF" w:rsidRPr="00CC7883">
        <w:rPr>
          <w:rFonts w:ascii="Times New Roman" w:hAnsi="Times New Roman" w:cs="Times New Roman"/>
          <w:color w:val="000000" w:themeColor="text1"/>
          <w:sz w:val="28"/>
          <w:szCs w:val="28"/>
        </w:rPr>
        <w:t xml:space="preserve"> приживлюваність таких мікроклонів винограду в умовах </w:t>
      </w:r>
      <w:r w:rsidR="004842DF"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004842DF" w:rsidRPr="00CC7883">
        <w:rPr>
          <w:rFonts w:ascii="Times New Roman" w:hAnsi="Times New Roman" w:cs="Times New Roman"/>
          <w:i/>
          <w:color w:val="000000" w:themeColor="text1"/>
          <w:sz w:val="28"/>
          <w:szCs w:val="28"/>
        </w:rPr>
        <w:t>vivo</w:t>
      </w:r>
      <w:r w:rsidR="004842DF" w:rsidRPr="00CC7883">
        <w:rPr>
          <w:rFonts w:ascii="Times New Roman" w:hAnsi="Times New Roman" w:cs="Times New Roman"/>
          <w:color w:val="000000" w:themeColor="text1"/>
          <w:sz w:val="28"/>
          <w:szCs w:val="28"/>
        </w:rPr>
        <w:t xml:space="preserve"> (дослід 2) через 30, 60 та 90 діб адаптації була найбільшою і дорівнювала</w:t>
      </w:r>
      <w:r w:rsidR="00D541C2" w:rsidRPr="00CC7883">
        <w:rPr>
          <w:rFonts w:ascii="Times New Roman" w:hAnsi="Times New Roman" w:cs="Times New Roman"/>
          <w:color w:val="000000" w:themeColor="text1"/>
          <w:sz w:val="28"/>
          <w:szCs w:val="28"/>
        </w:rPr>
        <w:t xml:space="preserve"> в середньому</w:t>
      </w:r>
      <w:r w:rsidR="007424EC" w:rsidRPr="00CC7883">
        <w:rPr>
          <w:rFonts w:ascii="Times New Roman" w:hAnsi="Times New Roman" w:cs="Times New Roman"/>
          <w:color w:val="000000" w:themeColor="text1"/>
          <w:sz w:val="28"/>
          <w:szCs w:val="28"/>
        </w:rPr>
        <w:t xml:space="preserve"> </w:t>
      </w:r>
      <w:r w:rsidR="00D541C2" w:rsidRPr="00CC7883">
        <w:rPr>
          <w:rFonts w:ascii="Times New Roman" w:hAnsi="Times New Roman" w:cs="Times New Roman"/>
          <w:color w:val="000000" w:themeColor="text1"/>
          <w:sz w:val="28"/>
          <w:szCs w:val="28"/>
        </w:rPr>
        <w:t>76,</w:t>
      </w:r>
      <w:r w:rsidR="00825822" w:rsidRPr="00CC7883">
        <w:rPr>
          <w:rFonts w:ascii="Times New Roman" w:hAnsi="Times New Roman" w:cs="Times New Roman"/>
          <w:color w:val="000000" w:themeColor="text1"/>
          <w:sz w:val="28"/>
          <w:szCs w:val="28"/>
        </w:rPr>
        <w:t>0</w:t>
      </w:r>
      <w:r w:rsidR="004842DF" w:rsidRPr="00CC7883">
        <w:rPr>
          <w:rFonts w:ascii="Times New Roman" w:hAnsi="Times New Roman" w:cs="Times New Roman"/>
          <w:color w:val="000000" w:themeColor="text1"/>
          <w:sz w:val="28"/>
          <w:szCs w:val="28"/>
        </w:rPr>
        <w:t xml:space="preserve"> %, </w:t>
      </w:r>
      <w:r w:rsidR="00D541C2" w:rsidRPr="00CC7883">
        <w:rPr>
          <w:rFonts w:ascii="Times New Roman" w:hAnsi="Times New Roman" w:cs="Times New Roman"/>
          <w:color w:val="000000" w:themeColor="text1"/>
          <w:sz w:val="28"/>
          <w:szCs w:val="28"/>
        </w:rPr>
        <w:t>6</w:t>
      </w:r>
      <w:r w:rsidR="00825822" w:rsidRPr="00CC7883">
        <w:rPr>
          <w:rFonts w:ascii="Times New Roman" w:hAnsi="Times New Roman" w:cs="Times New Roman"/>
          <w:color w:val="000000" w:themeColor="text1"/>
          <w:sz w:val="28"/>
          <w:szCs w:val="28"/>
        </w:rPr>
        <w:t>7,8</w:t>
      </w:r>
      <w:r w:rsidR="004842DF" w:rsidRPr="00CC7883">
        <w:rPr>
          <w:rFonts w:ascii="Times New Roman" w:hAnsi="Times New Roman" w:cs="Times New Roman"/>
          <w:color w:val="000000" w:themeColor="text1"/>
          <w:sz w:val="28"/>
          <w:szCs w:val="28"/>
        </w:rPr>
        <w:t xml:space="preserve"> % та </w:t>
      </w:r>
      <w:r w:rsidR="00825822" w:rsidRPr="00CC7883">
        <w:rPr>
          <w:rFonts w:ascii="Times New Roman" w:hAnsi="Times New Roman" w:cs="Times New Roman"/>
          <w:color w:val="000000" w:themeColor="text1"/>
          <w:sz w:val="28"/>
          <w:szCs w:val="28"/>
        </w:rPr>
        <w:t>64,1</w:t>
      </w:r>
      <w:r w:rsidR="004842DF" w:rsidRPr="00CC7883">
        <w:rPr>
          <w:rFonts w:ascii="Times New Roman" w:hAnsi="Times New Roman" w:cs="Times New Roman"/>
          <w:color w:val="000000" w:themeColor="text1"/>
          <w:sz w:val="28"/>
          <w:szCs w:val="28"/>
        </w:rPr>
        <w:t xml:space="preserve"> %, що у 1,</w:t>
      </w:r>
      <w:r w:rsidR="008D75B0" w:rsidRPr="00CC7883">
        <w:rPr>
          <w:rFonts w:ascii="Times New Roman" w:hAnsi="Times New Roman" w:cs="Times New Roman"/>
          <w:color w:val="000000" w:themeColor="text1"/>
          <w:sz w:val="28"/>
          <w:szCs w:val="28"/>
        </w:rPr>
        <w:t>5</w:t>
      </w:r>
      <w:r w:rsidR="004842DF" w:rsidRPr="00CC7883">
        <w:rPr>
          <w:rFonts w:ascii="Times New Roman" w:hAnsi="Times New Roman" w:cs="Times New Roman"/>
          <w:color w:val="000000" w:themeColor="text1"/>
          <w:sz w:val="28"/>
          <w:szCs w:val="28"/>
        </w:rPr>
        <w:t>–2,</w:t>
      </w:r>
      <w:r w:rsidR="008D75B0" w:rsidRPr="00CC7883">
        <w:rPr>
          <w:rFonts w:ascii="Times New Roman" w:hAnsi="Times New Roman" w:cs="Times New Roman"/>
          <w:color w:val="000000" w:themeColor="text1"/>
          <w:sz w:val="28"/>
          <w:szCs w:val="28"/>
        </w:rPr>
        <w:t>3</w:t>
      </w:r>
      <w:r w:rsidR="004842DF" w:rsidRPr="00CC7883">
        <w:rPr>
          <w:rFonts w:ascii="Times New Roman" w:hAnsi="Times New Roman" w:cs="Times New Roman"/>
          <w:color w:val="000000" w:themeColor="text1"/>
          <w:sz w:val="28"/>
          <w:szCs w:val="28"/>
        </w:rPr>
        <w:t xml:space="preserve"> раз</w:t>
      </w:r>
      <w:r w:rsidR="000B4DB9">
        <w:rPr>
          <w:rFonts w:ascii="Times New Roman" w:hAnsi="Times New Roman" w:cs="Times New Roman"/>
          <w:color w:val="000000" w:themeColor="text1"/>
          <w:sz w:val="28"/>
          <w:szCs w:val="28"/>
        </w:rPr>
        <w:t>а</w:t>
      </w:r>
      <w:r w:rsidR="004842DF" w:rsidRPr="00CC7883">
        <w:rPr>
          <w:rFonts w:ascii="Times New Roman" w:hAnsi="Times New Roman" w:cs="Times New Roman"/>
          <w:color w:val="000000" w:themeColor="text1"/>
          <w:sz w:val="28"/>
          <w:szCs w:val="28"/>
        </w:rPr>
        <w:t xml:space="preserve"> перевищувало контрольні показники.</w:t>
      </w:r>
    </w:p>
    <w:p w:rsidR="004842DF" w:rsidRPr="00CC7883" w:rsidRDefault="004842DF"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lang w:eastAsia="ru-RU"/>
        </w:rPr>
      </w:pPr>
      <w:r w:rsidRPr="00CC7883">
        <w:rPr>
          <w:rFonts w:ascii="Times New Roman" w:hAnsi="Times New Roman" w:cs="Times New Roman"/>
          <w:color w:val="000000" w:themeColor="text1"/>
          <w:sz w:val="28"/>
          <w:szCs w:val="28"/>
        </w:rPr>
        <w:t xml:space="preserve">Для оцінки достовірності отриманих результатів та визначення ключових факторів культивування мікроклонів винограду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 xml:space="preserve">vitro, </w:t>
      </w:r>
      <w:r w:rsidRPr="00CC7883">
        <w:rPr>
          <w:rFonts w:ascii="Times New Roman" w:hAnsi="Times New Roman" w:cs="Times New Roman"/>
          <w:color w:val="000000" w:themeColor="text1"/>
          <w:sz w:val="28"/>
          <w:szCs w:val="28"/>
        </w:rPr>
        <w:t>під впливом яких</w:t>
      </w:r>
      <w:r w:rsidR="0088397A"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формується адаптаційний потенціал рослин, було проведено статистичний аналіз. Згідно зі схемою дослідження, у першому досліді основними факторами, які впливали на показники, </w:t>
      </w:r>
      <w:r w:rsidR="00BA2655">
        <w:rPr>
          <w:rFonts w:ascii="Times New Roman" w:hAnsi="Times New Roman" w:cs="Times New Roman"/>
          <w:color w:val="000000" w:themeColor="text1"/>
          <w:sz w:val="28"/>
          <w:szCs w:val="28"/>
        </w:rPr>
        <w:t>які</w:t>
      </w:r>
      <w:r w:rsidRPr="00CC7883">
        <w:rPr>
          <w:rFonts w:ascii="Times New Roman" w:hAnsi="Times New Roman" w:cs="Times New Roman"/>
          <w:color w:val="000000" w:themeColor="text1"/>
          <w:sz w:val="28"/>
          <w:szCs w:val="28"/>
        </w:rPr>
        <w:t xml:space="preserve"> вивчали</w:t>
      </w:r>
      <w:r w:rsidR="00F704CB" w:rsidRPr="00CC7883">
        <w:rPr>
          <w:rFonts w:ascii="Times New Roman" w:hAnsi="Times New Roman" w:cs="Times New Roman"/>
          <w:color w:val="000000" w:themeColor="text1"/>
          <w:sz w:val="28"/>
          <w:szCs w:val="28"/>
        </w:rPr>
        <w:t>,</w:t>
      </w:r>
      <w:r w:rsidR="0067187F"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були: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(фактор 1), </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(ІОК і 6-БАП) (фактор 2) та додаткові компоненти поживного середовища (БАП, агроперліт, вермикуліт) (фактор 3). У другому досліді – це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(фактор 1), </w:t>
      </w:r>
      <w:r w:rsidR="0000298A">
        <w:rPr>
          <w:rFonts w:ascii="Times New Roman" w:hAnsi="Times New Roman" w:cs="Times New Roman"/>
          <w:color w:val="000000" w:themeColor="text1"/>
          <w:sz w:val="28"/>
          <w:szCs w:val="28"/>
        </w:rPr>
        <w:t>«</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(фактор 2).</w:t>
      </w:r>
    </w:p>
    <w:p w:rsidR="004842DF" w:rsidRPr="00CC7883" w:rsidRDefault="004842DF"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Дисперсійний аналіз експериментальних даних підтвердив</w:t>
      </w:r>
      <w:r w:rsidR="00F704CB" w:rsidRPr="00CC7883">
        <w:rPr>
          <w:rFonts w:ascii="Times New Roman" w:eastAsia="Times New Roman" w:hAnsi="Times New Roman" w:cs="Times New Roman"/>
          <w:color w:val="000000" w:themeColor="text1"/>
          <w:sz w:val="28"/>
          <w:szCs w:val="28"/>
          <w:lang w:eastAsia="ru-RU"/>
        </w:rPr>
        <w:t>,</w:t>
      </w:r>
      <w:r w:rsidR="0067187F"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що для культивування мікроклонів винограду на поживних середовищах основним фактором впливу для більшості показників були додаткові компоненти поживного середовища MS. Показник проліферації пазушних бруньок </w:t>
      </w:r>
      <w:r w:rsidRPr="00CC7883">
        <w:rPr>
          <w:rFonts w:ascii="Times New Roman" w:eastAsia="Times New Roman" w:hAnsi="Times New Roman" w:cs="Times New Roman"/>
          <w:color w:val="000000" w:themeColor="text1"/>
          <w:sz w:val="28"/>
          <w:szCs w:val="28"/>
          <w:lang w:eastAsia="ru-RU"/>
        </w:rPr>
        <w:lastRenderedPageBreak/>
        <w:t>залежав від цього фактор</w:t>
      </w:r>
      <w:r w:rsidR="00B85BAF">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на</w:t>
      </w:r>
      <w:r w:rsidR="0088397A"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74,62 %, ризогенез ініціальних експлантів – на 42,44 %, біометричні показники вегетативної надземної маси – на 23,20–62,90</w:t>
      </w:r>
      <w:r w:rsidR="00396E12">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 кореневої системи – на 53,43–87,58 %, водний режим</w:t>
      </w:r>
      <w:r w:rsidR="0088397A"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і вміст сухих речовин вегетативної маси</w:t>
      </w:r>
      <w:r w:rsidR="0088397A"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 на 50,01–88,66 %, </w:t>
      </w:r>
      <w:r w:rsidR="007211E4" w:rsidRPr="00CC7883">
        <w:rPr>
          <w:rFonts w:ascii="Times New Roman" w:hAnsi="Times New Roman" w:cs="Times New Roman"/>
          <w:color w:val="000000" w:themeColor="text1"/>
          <w:sz w:val="28"/>
          <w:szCs w:val="28"/>
        </w:rPr>
        <w:t>водо</w:t>
      </w:r>
      <w:r w:rsidR="007211E4">
        <w:rPr>
          <w:rFonts w:ascii="Times New Roman" w:hAnsi="Times New Roman" w:cs="Times New Roman"/>
          <w:color w:val="000000" w:themeColor="text1"/>
          <w:sz w:val="28"/>
          <w:szCs w:val="28"/>
        </w:rPr>
        <w:t>у</w:t>
      </w:r>
      <w:r w:rsidR="007211E4" w:rsidRPr="00CC7883">
        <w:rPr>
          <w:rFonts w:ascii="Times New Roman" w:hAnsi="Times New Roman" w:cs="Times New Roman"/>
          <w:color w:val="000000" w:themeColor="text1"/>
          <w:sz w:val="28"/>
          <w:szCs w:val="28"/>
        </w:rPr>
        <w:t>триму</w:t>
      </w:r>
      <w:r w:rsidR="007211E4">
        <w:rPr>
          <w:rFonts w:ascii="Times New Roman" w:hAnsi="Times New Roman" w:cs="Times New Roman"/>
          <w:color w:val="000000" w:themeColor="text1"/>
          <w:sz w:val="28"/>
          <w:szCs w:val="28"/>
        </w:rPr>
        <w:t>вальн</w:t>
      </w:r>
      <w:r w:rsidRPr="00CC7883">
        <w:rPr>
          <w:rFonts w:ascii="Times New Roman" w:eastAsia="Times New Roman" w:hAnsi="Times New Roman" w:cs="Times New Roman"/>
          <w:color w:val="000000" w:themeColor="text1"/>
          <w:sz w:val="28"/>
          <w:szCs w:val="28"/>
          <w:lang w:eastAsia="ru-RU"/>
        </w:rPr>
        <w:t>а здатність та інтенсивність транспірації – на 28,96–52,79 %, пігментний комплекс – на 79,11 %, анатомічні показники продихового апарату – на 33,10–88,86 %.</w:t>
      </w:r>
    </w:p>
    <w:p w:rsidR="004842DF" w:rsidRPr="00CC7883" w:rsidRDefault="004842DF" w:rsidP="00047411">
      <w:pPr>
        <w:pStyle w:val="a7"/>
        <w:widowControl w:val="0"/>
        <w:spacing w:after="0" w:line="360" w:lineRule="auto"/>
        <w:ind w:left="0" w:firstLine="72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Для культивування мікроклонів винограду на поживних мінеральних субстратах основним фактором впливу був </w:t>
      </w:r>
      <w:r w:rsidR="0000298A">
        <w:rPr>
          <w:rFonts w:ascii="Times New Roman" w:hAnsi="Times New Roman" w:cs="Times New Roman"/>
          <w:color w:val="000000" w:themeColor="text1"/>
          <w:sz w:val="28"/>
          <w:szCs w:val="28"/>
        </w:rPr>
        <w:t>фактор «</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lang w:eastAsia="ru-RU"/>
        </w:rPr>
        <w:t>, який оцінювався в межах 79,77–86,60 % (регенераційні показники ініціальних експлантів), 51,36–97,33 % (біометричні показники вегетативної маси), 43,07–91,86 % (показники водного режиму, вмісту сухих речовин</w:t>
      </w:r>
      <w:r w:rsidR="0088397A"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вегетативної маси), 28,78–81,20 % (фізіолого-біохімічні та анатомічні показники). Експериментальна похибка була низькою – 0,02–29,68 %, що підтверджує високу достовірність отриманих результатів.</w:t>
      </w:r>
    </w:p>
    <w:p w:rsidR="004842DF" w:rsidRPr="00CC7883" w:rsidRDefault="004842DF" w:rsidP="00047411">
      <w:pPr>
        <w:widowControl w:val="0"/>
        <w:spacing w:after="0" w:line="360" w:lineRule="auto"/>
        <w:ind w:firstLine="720"/>
        <w:jc w:val="both"/>
        <w:rPr>
          <w:rFonts w:ascii="Times New Roman" w:eastAsia="Times New Roman" w:hAnsi="Times New Roman" w:cs="Times New Roman"/>
          <w:color w:val="000000" w:themeColor="text1"/>
          <w:sz w:val="28"/>
          <w:szCs w:val="28"/>
          <w:lang w:eastAsia="ru-RU"/>
        </w:rPr>
      </w:pPr>
      <w:r w:rsidRPr="00CC7883">
        <w:rPr>
          <w:rFonts w:ascii="Times New Roman" w:hAnsi="Times New Roman" w:cs="Times New Roman"/>
          <w:color w:val="000000" w:themeColor="text1"/>
          <w:sz w:val="28"/>
        </w:rPr>
        <w:t>Економічна оцінка удосконалених прийомів</w:t>
      </w:r>
      <w:r w:rsidR="00B9680A"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культивування винограду</w:t>
      </w:r>
      <w:r w:rsidR="00B9680A" w:rsidRPr="00CC7883">
        <w:rPr>
          <w:rFonts w:ascii="Times New Roman" w:hAnsi="Times New Roman" w:cs="Times New Roman"/>
          <w:color w:val="000000" w:themeColor="text1"/>
          <w:sz w:val="28"/>
        </w:rPr>
        <w:t xml:space="preserve"> </w:t>
      </w:r>
      <w:r w:rsidRPr="00CC7883">
        <w:rPr>
          <w:rFonts w:ascii="Times New Roman" w:hAnsi="Times New Roman" w:cs="Times New Roman"/>
          <w:i/>
          <w:color w:val="000000" w:themeColor="text1"/>
          <w:sz w:val="28"/>
        </w:rPr>
        <w:t>in</w:t>
      </w:r>
      <w:r w:rsidR="00B9680A"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vitro</w:t>
      </w:r>
      <w:r w:rsidR="00B9680A" w:rsidRPr="00CC7883">
        <w:rPr>
          <w:rFonts w:ascii="Times New Roman" w:hAnsi="Times New Roman" w:cs="Times New Roman"/>
          <w:i/>
          <w:color w:val="000000" w:themeColor="text1"/>
          <w:sz w:val="28"/>
        </w:rPr>
        <w:t xml:space="preserve"> </w:t>
      </w:r>
      <w:r w:rsidRPr="00CC7883">
        <w:rPr>
          <w:rFonts w:ascii="Times New Roman" w:hAnsi="Times New Roman" w:cs="Times New Roman"/>
          <w:color w:val="000000" w:themeColor="text1"/>
          <w:sz w:val="28"/>
        </w:rPr>
        <w:t xml:space="preserve">є важливою складовою роботи, оскільки </w:t>
      </w:r>
      <w:r w:rsidR="006A794C">
        <w:rPr>
          <w:rFonts w:ascii="Times New Roman" w:hAnsi="Times New Roman" w:cs="Times New Roman"/>
          <w:color w:val="000000" w:themeColor="text1"/>
          <w:sz w:val="28"/>
        </w:rPr>
        <w:t>дає змогу не лише</w:t>
      </w:r>
      <w:r w:rsidRPr="00CC7883">
        <w:rPr>
          <w:rFonts w:ascii="Times New Roman" w:hAnsi="Times New Roman" w:cs="Times New Roman"/>
          <w:color w:val="000000" w:themeColor="text1"/>
          <w:sz w:val="28"/>
        </w:rPr>
        <w:t xml:space="preserve"> біологічний ефект, а й показати, наскільки ці рішення виправдані з </w:t>
      </w:r>
      <w:r w:rsidR="00BA2655">
        <w:rPr>
          <w:rFonts w:ascii="Times New Roman" w:hAnsi="Times New Roman" w:cs="Times New Roman"/>
          <w:color w:val="000000" w:themeColor="text1"/>
          <w:sz w:val="28"/>
        </w:rPr>
        <w:t>погляду на виробництво</w:t>
      </w:r>
      <w:r w:rsidRPr="00CC7883">
        <w:rPr>
          <w:rFonts w:ascii="Times New Roman" w:hAnsi="Times New Roman" w:cs="Times New Roman"/>
          <w:color w:val="000000" w:themeColor="text1"/>
          <w:sz w:val="28"/>
        </w:rPr>
        <w:t xml:space="preserve">. </w:t>
      </w:r>
      <w:r w:rsidRPr="00CC7883">
        <w:rPr>
          <w:rFonts w:ascii="Times New Roman" w:eastAsia="Times New Roman" w:hAnsi="Times New Roman" w:cs="Times New Roman"/>
          <w:color w:val="000000" w:themeColor="text1"/>
          <w:sz w:val="28"/>
          <w:szCs w:val="28"/>
          <w:lang w:eastAsia="ru-RU"/>
        </w:rPr>
        <w:t xml:space="preserve">Показано, що основні показники економічної ефективності розроблених, удосконалених прийомів культивування винограду </w:t>
      </w:r>
      <w:r w:rsidRPr="00CC7883">
        <w:rPr>
          <w:rFonts w:ascii="Times New Roman" w:eastAsia="Times New Roman" w:hAnsi="Times New Roman" w:cs="Times New Roman"/>
          <w:i/>
          <w:color w:val="000000" w:themeColor="text1"/>
          <w:sz w:val="28"/>
          <w:szCs w:val="28"/>
          <w:lang w:eastAsia="ru-RU"/>
        </w:rPr>
        <w:t>in</w:t>
      </w:r>
      <w:r w:rsidR="008B5203" w:rsidRPr="00CC7883">
        <w:rPr>
          <w:rFonts w:ascii="Times New Roman" w:eastAsia="Times New Roman" w:hAnsi="Times New Roman" w:cs="Times New Roman"/>
          <w:i/>
          <w:color w:val="000000" w:themeColor="text1"/>
          <w:sz w:val="28"/>
          <w:szCs w:val="28"/>
          <w:lang w:eastAsia="ru-RU"/>
        </w:rPr>
        <w:t> </w:t>
      </w:r>
      <w:r w:rsidRPr="00CC7883">
        <w:rPr>
          <w:rFonts w:ascii="Times New Roman" w:eastAsia="Times New Roman" w:hAnsi="Times New Roman" w:cs="Times New Roman"/>
          <w:i/>
          <w:color w:val="000000" w:themeColor="text1"/>
          <w:sz w:val="28"/>
          <w:szCs w:val="28"/>
          <w:lang w:eastAsia="ru-RU"/>
        </w:rPr>
        <w:t>vitro</w:t>
      </w:r>
      <w:r w:rsidRPr="00CC7883">
        <w:rPr>
          <w:rFonts w:ascii="Times New Roman" w:eastAsia="Times New Roman" w:hAnsi="Times New Roman" w:cs="Times New Roman"/>
          <w:color w:val="000000" w:themeColor="text1"/>
          <w:sz w:val="28"/>
          <w:szCs w:val="28"/>
          <w:lang w:eastAsia="ru-RU"/>
        </w:rPr>
        <w:t xml:space="preserve"> залежали від рівня приживлюваності мікроклонів винограду в умовах </w:t>
      </w:r>
      <w:r w:rsidR="001221F9" w:rsidRPr="00CC7883">
        <w:rPr>
          <w:rFonts w:ascii="Times New Roman" w:hAnsi="Times New Roman" w:cs="Times New Roman"/>
          <w:i/>
          <w:color w:val="000000" w:themeColor="text1"/>
          <w:sz w:val="28"/>
          <w:szCs w:val="28"/>
        </w:rPr>
        <w:t>in vivo</w:t>
      </w:r>
      <w:r w:rsidRPr="00CC7883">
        <w:rPr>
          <w:rFonts w:ascii="Times New Roman" w:eastAsia="Times New Roman" w:hAnsi="Times New Roman" w:cs="Times New Roman"/>
          <w:color w:val="000000" w:themeColor="text1"/>
          <w:sz w:val="28"/>
          <w:szCs w:val="28"/>
          <w:lang w:eastAsia="ru-RU"/>
        </w:rPr>
        <w:t>. Найбільший економічний ефект забезпечували протоколи з використанням структурованих поживних середовищ та мінеральних субстратів, де чистий прибуток дорівнював</w:t>
      </w:r>
      <w:r w:rsidR="00AD70BD" w:rsidRPr="00CC7883">
        <w:rPr>
          <w:rFonts w:ascii="Times New Roman" w:eastAsia="Times New Roman" w:hAnsi="Times New Roman" w:cs="Times New Roman"/>
          <w:color w:val="000000" w:themeColor="text1"/>
          <w:sz w:val="28"/>
          <w:szCs w:val="28"/>
          <w:lang w:eastAsia="ru-RU"/>
        </w:rPr>
        <w:t xml:space="preserve"> </w:t>
      </w:r>
      <w:r w:rsidR="007640A5">
        <w:rPr>
          <w:rFonts w:ascii="Times New Roman" w:eastAsia="Times New Roman" w:hAnsi="Times New Roman" w:cs="Times New Roman"/>
          <w:color w:val="000000" w:themeColor="text1"/>
          <w:sz w:val="28"/>
          <w:szCs w:val="28"/>
          <w:lang w:eastAsia="ru-RU"/>
        </w:rPr>
        <w:t>15871,0</w:t>
      </w:r>
      <w:r w:rsidRPr="00CC7883">
        <w:rPr>
          <w:rFonts w:ascii="Times New Roman" w:eastAsia="Times New Roman" w:hAnsi="Times New Roman" w:cs="Times New Roman"/>
          <w:color w:val="000000" w:themeColor="text1"/>
          <w:sz w:val="28"/>
          <w:szCs w:val="28"/>
          <w:lang w:eastAsia="ru-RU"/>
        </w:rPr>
        <w:t xml:space="preserve">–48840,4 грн на 1000 адаптованих мікроклонів, а рівень рентабельності – 75,0–145,7 %, що було суттєво більше за відповідні показники контрольних варіантів, які були малоефективними або збитковими. </w:t>
      </w:r>
    </w:p>
    <w:p w:rsidR="009A0B93" w:rsidRPr="00CC7883" w:rsidRDefault="0032121A" w:rsidP="00047411">
      <w:pPr>
        <w:widowControl w:val="0"/>
        <w:spacing w:after="0" w:line="360" w:lineRule="auto"/>
        <w:ind w:firstLine="708"/>
        <w:jc w:val="both"/>
        <w:rPr>
          <w:rFonts w:ascii="Times New Roman" w:eastAsia="Calibri" w:hAnsi="Times New Roman" w:cs="Times New Roman"/>
          <w:iCs/>
          <w:color w:val="000000" w:themeColor="text1"/>
          <w:kern w:val="0"/>
          <w:sz w:val="28"/>
          <w:szCs w:val="28"/>
        </w:rPr>
      </w:pPr>
      <w:r w:rsidRPr="00CC7883">
        <w:rPr>
          <w:rFonts w:ascii="Times New Roman" w:hAnsi="Times New Roman" w:cs="Times New Roman"/>
          <w:b/>
          <w:color w:val="000000" w:themeColor="text1"/>
          <w:sz w:val="28"/>
          <w:szCs w:val="28"/>
        </w:rPr>
        <w:t>Ключові слова:</w:t>
      </w:r>
      <w:r w:rsidRPr="00CC7883">
        <w:rPr>
          <w:rFonts w:ascii="Times New Roman" w:hAnsi="Times New Roman" w:cs="Times New Roman"/>
          <w:color w:val="000000" w:themeColor="text1"/>
          <w:sz w:val="28"/>
          <w:szCs w:val="28"/>
        </w:rPr>
        <w:t xml:space="preserve"> виноград,</w:t>
      </w:r>
      <w:r w:rsidR="00351EBA">
        <w:rPr>
          <w:rFonts w:ascii="Times New Roman" w:hAnsi="Times New Roman" w:cs="Times New Roman"/>
          <w:color w:val="000000" w:themeColor="text1"/>
          <w:sz w:val="28"/>
          <w:szCs w:val="28"/>
        </w:rPr>
        <w:t xml:space="preserve"> сорти винограду,</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xml:space="preserve">, мікророзмноження, мікроклони, ініціальні експланти, поживне середовище, фітогормони, проліферація, ризогенез, приживлюваність, фізіологічні показники, ріст і розвиток, </w:t>
      </w:r>
      <w:r w:rsidR="00351EBA" w:rsidRPr="00C634FF">
        <w:rPr>
          <w:rFonts w:ascii="Times New Roman" w:hAnsi="Times New Roman" w:cs="Times New Roman"/>
          <w:color w:val="000000" w:themeColor="text1"/>
          <w:sz w:val="28"/>
          <w:szCs w:val="28"/>
        </w:rPr>
        <w:t>продиховий апарат</w:t>
      </w:r>
      <w:r w:rsidRPr="00CC7883">
        <w:rPr>
          <w:rFonts w:ascii="Times New Roman" w:hAnsi="Times New Roman" w:cs="Times New Roman"/>
          <w:color w:val="000000" w:themeColor="text1"/>
          <w:sz w:val="28"/>
          <w:szCs w:val="28"/>
        </w:rPr>
        <w:t xml:space="preserve">, адаптація </w:t>
      </w:r>
      <w:r w:rsidRPr="00CC7883">
        <w:rPr>
          <w:rFonts w:ascii="Times New Roman" w:hAnsi="Times New Roman" w:cs="Times New Roman"/>
          <w:i/>
          <w:color w:val="000000" w:themeColor="text1"/>
          <w:sz w:val="28"/>
          <w:szCs w:val="28"/>
        </w:rPr>
        <w:t>in vivo</w:t>
      </w:r>
      <w:r w:rsidR="004842DF" w:rsidRPr="00CC7883">
        <w:rPr>
          <w:rFonts w:ascii="Times New Roman" w:hAnsi="Times New Roman" w:cs="Times New Roman"/>
          <w:color w:val="000000" w:themeColor="text1"/>
          <w:sz w:val="28"/>
          <w:szCs w:val="28"/>
        </w:rPr>
        <w:t>.</w:t>
      </w:r>
      <w:r w:rsidR="009A0B93" w:rsidRPr="00CC7883">
        <w:rPr>
          <w:rFonts w:ascii="Times New Roman" w:eastAsia="Calibri" w:hAnsi="Times New Roman" w:cs="Times New Roman"/>
          <w:iCs/>
          <w:color w:val="000000" w:themeColor="text1"/>
          <w:kern w:val="0"/>
          <w:sz w:val="28"/>
          <w:szCs w:val="28"/>
        </w:rPr>
        <w:br w:type="page"/>
      </w:r>
    </w:p>
    <w:p w:rsidR="00B85288" w:rsidRPr="00CC7883" w:rsidRDefault="00B85288" w:rsidP="00047411">
      <w:pPr>
        <w:widowControl w:val="0"/>
        <w:spacing w:after="0" w:line="360" w:lineRule="auto"/>
        <w:ind w:firstLine="709"/>
        <w:jc w:val="center"/>
        <w:rPr>
          <w:rFonts w:ascii="Times New Roman" w:hAnsi="Times New Roman" w:cs="Times New Roman"/>
          <w:b/>
          <w:bCs/>
          <w:color w:val="000000" w:themeColor="text1"/>
          <w:sz w:val="28"/>
          <w:szCs w:val="28"/>
        </w:rPr>
      </w:pPr>
      <w:r w:rsidRPr="00CC7883">
        <w:rPr>
          <w:rFonts w:ascii="Times New Roman" w:hAnsi="Times New Roman" w:cs="Times New Roman"/>
          <w:b/>
          <w:bCs/>
          <w:color w:val="000000" w:themeColor="text1"/>
          <w:sz w:val="28"/>
          <w:szCs w:val="28"/>
        </w:rPr>
        <w:lastRenderedPageBreak/>
        <w:t>SUMMARY</w:t>
      </w:r>
    </w:p>
    <w:p w:rsidR="00B85288" w:rsidRPr="00CC7883" w:rsidRDefault="00B85288" w:rsidP="00047411">
      <w:pPr>
        <w:widowControl w:val="0"/>
        <w:spacing w:after="0" w:line="360" w:lineRule="auto"/>
        <w:ind w:firstLine="709"/>
        <w:jc w:val="both"/>
        <w:rPr>
          <w:rFonts w:ascii="Times New Roman" w:hAnsi="Times New Roman" w:cs="Times New Roman"/>
          <w:b/>
          <w:bCs/>
          <w:color w:val="000000" w:themeColor="text1"/>
          <w:sz w:val="28"/>
          <w:szCs w:val="28"/>
        </w:rPr>
      </w:pP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b/>
          <w:bCs/>
          <w:color w:val="000000" w:themeColor="text1"/>
          <w:sz w:val="28"/>
          <w:szCs w:val="28"/>
        </w:rPr>
        <w:t xml:space="preserve">Samofalov M.O. Theoretical justification and development of methods for adapting grape microclones to </w:t>
      </w:r>
      <w:r w:rsidRPr="00CC7883">
        <w:rPr>
          <w:rFonts w:ascii="Times New Roman" w:hAnsi="Times New Roman" w:cs="Times New Roman"/>
          <w:b/>
          <w:bCs/>
          <w:i/>
          <w:iCs/>
          <w:color w:val="000000" w:themeColor="text1"/>
          <w:sz w:val="28"/>
          <w:szCs w:val="28"/>
        </w:rPr>
        <w:t xml:space="preserve">in vivo </w:t>
      </w:r>
      <w:r w:rsidRPr="00CC7883">
        <w:rPr>
          <w:rFonts w:ascii="Times New Roman" w:hAnsi="Times New Roman" w:cs="Times New Roman"/>
          <w:b/>
          <w:bCs/>
          <w:color w:val="000000" w:themeColor="text1"/>
          <w:sz w:val="28"/>
          <w:szCs w:val="28"/>
        </w:rPr>
        <w:t>conditions.</w:t>
      </w:r>
      <w:r w:rsidRPr="00CC7883">
        <w:rPr>
          <w:rFonts w:ascii="Times New Roman" w:hAnsi="Times New Roman" w:cs="Times New Roman"/>
          <w:color w:val="000000" w:themeColor="text1"/>
          <w:sz w:val="28"/>
          <w:szCs w:val="28"/>
        </w:rPr>
        <w:t xml:space="preserve"> – Qualification scientific work submitted as a manuscript. </w:t>
      </w:r>
    </w:p>
    <w:p w:rsidR="00B85288" w:rsidRPr="00CC7883" w:rsidRDefault="00B85288" w:rsidP="00047411">
      <w:pPr>
        <w:widowControl w:val="0"/>
        <w:spacing w:after="0" w:line="360" w:lineRule="auto"/>
        <w:ind w:firstLine="709"/>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Dissertation for the degree of Doctor of Philosophy in the specialty 203 Horticulture and Viticulture (20 Agrarian Sciences and Food). – National Scientific Center </w:t>
      </w:r>
      <w:r w:rsidRPr="00CC7883">
        <w:rPr>
          <w:rFonts w:ascii="Times New Roman" w:hAnsi="Times New Roman" w:cs="Times New Roman"/>
          <w:color w:val="000000" w:themeColor="text1"/>
          <w:sz w:val="28"/>
          <w:szCs w:val="28"/>
        </w:rPr>
        <w:t>"</w:t>
      </w:r>
      <w:r w:rsidRPr="00CC7883">
        <w:rPr>
          <w:rFonts w:ascii="Times New Roman" w:hAnsi="Times New Roman"/>
          <w:color w:val="000000" w:themeColor="text1"/>
          <w:sz w:val="28"/>
          <w:szCs w:val="28"/>
        </w:rPr>
        <w:t>V. Ye. Tairov Institute of Viticulture and Winemaking</w:t>
      </w:r>
      <w:r w:rsidRPr="00CC7883">
        <w:rPr>
          <w:rFonts w:ascii="Times New Roman" w:hAnsi="Times New Roman" w:cs="Times New Roman"/>
          <w:color w:val="000000" w:themeColor="text1"/>
          <w:sz w:val="28"/>
          <w:szCs w:val="28"/>
        </w:rPr>
        <w:t>"</w:t>
      </w:r>
      <w:r w:rsidRPr="00CC7883">
        <w:rPr>
          <w:rFonts w:ascii="Times New Roman" w:hAnsi="Times New Roman"/>
          <w:color w:val="000000" w:themeColor="text1"/>
          <w:sz w:val="28"/>
          <w:szCs w:val="28"/>
        </w:rPr>
        <w:t xml:space="preserve"> of the NAAS of Ukraine, Odesa, 2026.</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The process of adapting grape microclones represents a pivotal stage in the technology of microclonal propagation of grapes.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xml:space="preserve"> microclones demonstrate impaired physiological characteristics and diminished resistance to environmental factors. These include a thin or absent cuticle, an inactive stomatal apparatus, a disrupted water balance regulatory system, and an altered photosynthetic apparatus that responds to changes in light and humidity under stress. Consequently, even a minor alteration in humidity or temperature can precipitate a swift decline in turgor, ultimately resulting in plant wilting, which can reach up to 70–80 %. </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It is imperative to ascertain that the successful adaptation of grape microclones to </w:t>
      </w:r>
      <w:r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conditions is contingent upon the optimisation of physical parameters during their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xml:space="preserve"> cultivation. Such parameters encompass the selection of a suitable nutrient medium or substrate, the maintenance of stable humidity and air ventilation, the establishment of an appropriate pH of the nutrient medium (substrate), and the mitigation of stress factors that precipitate a sudden transition of plants from controlled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xml:space="preserve"> conditions to uncontrolled </w:t>
      </w:r>
      <w:r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conditions. Conversely, plants must adopt a physiological and biochemical state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xml:space="preserve"> that enables them to respond to changes in humidity, lighting, and temperature. In other words, the cultivation conditions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xml:space="preserve"> must be optimized so that microclonal plants exhibit high levels of resistance to abiotic stress and undergo the adaptation stage without significant losses.</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The aim of the study was to establish the characteristics of the </w:t>
      </w:r>
      <w:r w:rsidRPr="00CC7883">
        <w:rPr>
          <w:rFonts w:ascii="Times New Roman" w:hAnsi="Times New Roman" w:cs="Times New Roman"/>
          <w:color w:val="000000" w:themeColor="text1"/>
          <w:sz w:val="28"/>
          <w:szCs w:val="28"/>
        </w:rPr>
        <w:lastRenderedPageBreak/>
        <w:t xml:space="preserve">morphogenesis of microclones of rootstock and technical grape varieties after cultivation on different types of nutrient media and mineral substrates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 xml:space="preserve">to increase their adaptability </w:t>
      </w:r>
      <w:r w:rsidRPr="00CC7883">
        <w:rPr>
          <w:rFonts w:ascii="Times New Roman" w:hAnsi="Times New Roman" w:cs="Times New Roman"/>
          <w:i/>
          <w:iCs/>
          <w:color w:val="000000" w:themeColor="text1"/>
          <w:sz w:val="28"/>
          <w:szCs w:val="28"/>
        </w:rPr>
        <w:t>in vivo</w:t>
      </w:r>
      <w:r w:rsidRPr="00CC7883">
        <w:rPr>
          <w:rFonts w:ascii="Times New Roman" w:hAnsi="Times New Roman" w:cs="Times New Roman"/>
          <w:color w:val="000000" w:themeColor="text1"/>
          <w:sz w:val="28"/>
          <w:szCs w:val="28"/>
        </w:rPr>
        <w:t>.</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Experimental studies were conducted during 2019–2022 at the Department of Seedling Production, Propagation, and Biotechnology of Grapes at the National Scientific Center "V. E. Tairov Institute of Viticulture and Winemaking" of the National Academy of Agrarian Sciences of Ukraine.</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The work was carried out on rootstock ("Dobrynya", "Garant") and technical ("Yarilo", "Zagrey") grape varieties.</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The research plan included two experiments. The first experiment examined the effect of nutrient media composition, while the second examined the effects of different nutrient substrates on the growth, development, and physiological and biochemical state of grape microclones. The control variants were those in which plants were cultivated on standard Murashige and Skoog (MS) nutrient media with different phytohormone concentrations (0,3 mg/l IAA, 0,2 mg/l 6-BAP – control 1; 0,6 mg/l IAA, 0,5 mg/l 6-BAP – control 2).</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During the study, the following parameters were determined: regeneration indicators of initial grape explants, biometric indicators of growth, development of vegetative above-ground mass and root system of grape microclones, physiological and biochemical indicators of leaf tissues, shoots, and roots of grape microclones, and indicators of the formation of the stomatal apparatus of the lower epidermis of leaf blades. Multivariate analysis of variance was used to assess the reliability of the results obtained. </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Scientific novelty</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iCs/>
          <w:color w:val="000000" w:themeColor="text1"/>
          <w:sz w:val="28"/>
          <w:szCs w:val="28"/>
        </w:rPr>
        <w:t>For the first time</w:t>
      </w:r>
      <w:r w:rsidRPr="00CC7883">
        <w:rPr>
          <w:rFonts w:ascii="Times New Roman" w:hAnsi="Times New Roman" w:cs="Times New Roman"/>
          <w:color w:val="000000" w:themeColor="text1"/>
          <w:sz w:val="28"/>
          <w:szCs w:val="28"/>
        </w:rPr>
        <w:t xml:space="preserve">, the influence of different nutrient media and mineral substrates on the main physiological and biochemical indicators of leaves, shoots, and roots of rootstock and technical grape microclones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 xml:space="preserve">was established; the formation of the stomatal apparatus of grape microclones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 xml:space="preserve">and </w:t>
      </w:r>
      <w:r w:rsidRPr="00CC7883">
        <w:rPr>
          <w:rFonts w:ascii="Times New Roman" w:hAnsi="Times New Roman" w:cs="Times New Roman"/>
          <w:i/>
          <w:iCs/>
          <w:color w:val="000000" w:themeColor="text1"/>
          <w:sz w:val="28"/>
          <w:szCs w:val="28"/>
        </w:rPr>
        <w:t xml:space="preserve">in vivo </w:t>
      </w:r>
      <w:r w:rsidRPr="00CC7883">
        <w:rPr>
          <w:rFonts w:ascii="Times New Roman" w:hAnsi="Times New Roman" w:cs="Times New Roman"/>
          <w:color w:val="000000" w:themeColor="text1"/>
          <w:sz w:val="28"/>
          <w:szCs w:val="28"/>
        </w:rPr>
        <w:t xml:space="preserve">and its role in plant adaptation were characterized; the relationship between the regenerative, morphological-anatomical, biometric, and physiological-biochemical characteristics of microclones and the conditions of their cultivation </w:t>
      </w:r>
      <w:r w:rsidRPr="00CC7883">
        <w:rPr>
          <w:rFonts w:ascii="Times New Roman" w:hAnsi="Times New Roman" w:cs="Times New Roman"/>
          <w:color w:val="000000" w:themeColor="text1"/>
          <w:sz w:val="28"/>
          <w:szCs w:val="28"/>
        </w:rPr>
        <w:lastRenderedPageBreak/>
        <w:t>was determined; the influence of modified nutrient media and substrate types on the formation of morphogenetic indicators and the subsequent viability of microclones in the adaptation process has been proven.</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The stages of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 xml:space="preserve">cultivation of grape microclones </w:t>
      </w:r>
      <w:r w:rsidRPr="00CC7883">
        <w:rPr>
          <w:rFonts w:ascii="Times New Roman" w:hAnsi="Times New Roman" w:cs="Times New Roman"/>
          <w:i/>
          <w:iCs/>
          <w:color w:val="000000" w:themeColor="text1"/>
          <w:sz w:val="28"/>
          <w:szCs w:val="28"/>
        </w:rPr>
        <w:t xml:space="preserve">have been improved </w:t>
      </w:r>
      <w:r w:rsidRPr="00CC7883">
        <w:rPr>
          <w:rFonts w:ascii="Times New Roman" w:hAnsi="Times New Roman" w:cs="Times New Roman"/>
          <w:color w:val="000000" w:themeColor="text1"/>
          <w:sz w:val="28"/>
          <w:szCs w:val="28"/>
        </w:rPr>
        <w:t>by altering the phytohormonal composition of MS media, using Radifarm and Clonex gel, and adding mineral structuring components (agroperlite, vermiculite, and their mixture). An approach to assessing the adaptive potential of grape microclones based on a complex of morphogenetic and physiological-biochemical indicators has been developed.</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 xml:space="preserve">Further development </w:t>
      </w:r>
      <w:r w:rsidRPr="00CC7883">
        <w:rPr>
          <w:rFonts w:ascii="Times New Roman" w:hAnsi="Times New Roman" w:cs="Times New Roman"/>
          <w:color w:val="000000" w:themeColor="text1"/>
          <w:sz w:val="28"/>
          <w:szCs w:val="28"/>
        </w:rPr>
        <w:t xml:space="preserve">of research on the influence of cultivation conditions on the regenerative properties of grapes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 xml:space="preserve">and the production of microclones with optimal biometric characteristics; justification of the economic efficiency of the practical application of improved technological methods of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grape cultivation.</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Based on the results obtained, the patterns of formation of the regenerative capacity, as well as the biometric, physiological, biochemical, and anatomical indicators of grape microclones at the stage of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 xml:space="preserve">cultivation, and their influence on plant adaptation </w:t>
      </w:r>
      <w:r w:rsidRPr="00CC7883">
        <w:rPr>
          <w:rFonts w:ascii="Times New Roman" w:hAnsi="Times New Roman" w:cs="Times New Roman"/>
          <w:i/>
          <w:iCs/>
          <w:color w:val="000000" w:themeColor="text1"/>
          <w:sz w:val="28"/>
          <w:szCs w:val="28"/>
        </w:rPr>
        <w:t xml:space="preserve">in vivo </w:t>
      </w:r>
      <w:r w:rsidRPr="00CC7883">
        <w:rPr>
          <w:rFonts w:ascii="Times New Roman" w:hAnsi="Times New Roman" w:cs="Times New Roman"/>
          <w:color w:val="000000" w:themeColor="text1"/>
          <w:sz w:val="28"/>
          <w:szCs w:val="28"/>
        </w:rPr>
        <w:t xml:space="preserve">were established. </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It has been proven that the use of optimized MS-based nutrient media with reduced phytohormone content (0,3 mg/l IAA and 0,2 mg/l 6-BAP) in combination with biologically active preparations (Radifarm (2,5 ml/l) and Clonex gel) and structuring components (agroperlite, vermiculite, and their mixture) was accompanied by an intensification of the regenerative capacity of the initial explants, an improvement in the water regime of the vegetative aboveground mass and root system, an increase in the content of dry matter and photosynthetic pigments, an increase in the water-retention capacity of tissues, a decrease in transpiration intensity, a restructuring of the stomatal apparatus, intensive development of the vegetative above-ground mass, and the formation of a branched root system of grape microclones. </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As a result, the survival rate of such grape microclones (experiment 1) after </w:t>
      </w:r>
      <w:r w:rsidRPr="00CC7883">
        <w:rPr>
          <w:rFonts w:ascii="Times New Roman" w:hAnsi="Times New Roman" w:cs="Times New Roman"/>
          <w:color w:val="000000" w:themeColor="text1"/>
          <w:sz w:val="28"/>
          <w:szCs w:val="28"/>
        </w:rPr>
        <w:lastRenderedPageBreak/>
        <w:t xml:space="preserve">30, 60, and 90 days of adaptation </w:t>
      </w:r>
      <w:r w:rsidRPr="00CC7883">
        <w:rPr>
          <w:rFonts w:ascii="Times New Roman" w:hAnsi="Times New Roman" w:cs="Times New Roman"/>
          <w:i/>
          <w:iCs/>
          <w:color w:val="000000" w:themeColor="text1"/>
          <w:sz w:val="28"/>
          <w:szCs w:val="28"/>
        </w:rPr>
        <w:t xml:space="preserve">in vivo </w:t>
      </w:r>
      <w:r w:rsidRPr="00CC7883">
        <w:rPr>
          <w:rFonts w:ascii="Times New Roman" w:hAnsi="Times New Roman" w:cs="Times New Roman"/>
          <w:color w:val="000000" w:themeColor="text1"/>
          <w:sz w:val="28"/>
          <w:szCs w:val="28"/>
        </w:rPr>
        <w:t xml:space="preserve">was </w:t>
      </w:r>
      <w:r w:rsidR="00265C4A" w:rsidRPr="00CC7883">
        <w:rPr>
          <w:rFonts w:ascii="Times New Roman" w:hAnsi="Times New Roman" w:cs="Times New Roman"/>
          <w:color w:val="000000" w:themeColor="text1"/>
          <w:sz w:val="28"/>
          <w:szCs w:val="28"/>
        </w:rPr>
        <w:t>78</w:t>
      </w:r>
      <w:r w:rsidR="0070261F">
        <w:rPr>
          <w:rFonts w:ascii="Times New Roman" w:hAnsi="Times New Roman" w:cs="Times New Roman"/>
          <w:color w:val="000000" w:themeColor="text1"/>
          <w:sz w:val="28"/>
          <w:szCs w:val="28"/>
          <w:lang w:val="en-US"/>
        </w:rPr>
        <w:t>.</w:t>
      </w:r>
      <w:r w:rsidR="00265C4A" w:rsidRPr="00CC7883">
        <w:rPr>
          <w:rFonts w:ascii="Times New Roman" w:hAnsi="Times New Roman" w:cs="Times New Roman"/>
          <w:color w:val="000000" w:themeColor="text1"/>
          <w:sz w:val="28"/>
          <w:szCs w:val="28"/>
        </w:rPr>
        <w:t>0 %, 66</w:t>
      </w:r>
      <w:r w:rsidR="0070261F">
        <w:rPr>
          <w:rFonts w:ascii="Times New Roman" w:hAnsi="Times New Roman" w:cs="Times New Roman"/>
          <w:color w:val="000000" w:themeColor="text1"/>
          <w:sz w:val="28"/>
          <w:szCs w:val="28"/>
          <w:lang w:val="en-US"/>
        </w:rPr>
        <w:t>.</w:t>
      </w:r>
      <w:r w:rsidR="00265C4A" w:rsidRPr="00CC7883">
        <w:rPr>
          <w:rFonts w:ascii="Times New Roman" w:hAnsi="Times New Roman" w:cs="Times New Roman"/>
          <w:color w:val="000000" w:themeColor="text1"/>
          <w:sz w:val="28"/>
          <w:szCs w:val="28"/>
        </w:rPr>
        <w:t>5 %, and 61</w:t>
      </w:r>
      <w:r w:rsidR="0070261F">
        <w:rPr>
          <w:rFonts w:ascii="Times New Roman" w:hAnsi="Times New Roman" w:cs="Times New Roman"/>
          <w:color w:val="000000" w:themeColor="text1"/>
          <w:sz w:val="28"/>
          <w:szCs w:val="28"/>
          <w:lang w:val="en-US"/>
        </w:rPr>
        <w:t>.</w:t>
      </w:r>
      <w:r w:rsidR="00265C4A" w:rsidRPr="00CC7883">
        <w:rPr>
          <w:rFonts w:ascii="Times New Roman" w:hAnsi="Times New Roman" w:cs="Times New Roman"/>
          <w:color w:val="000000" w:themeColor="text1"/>
          <w:sz w:val="28"/>
          <w:szCs w:val="28"/>
        </w:rPr>
        <w:t>2 %, which was 1,4–2,0 times higher than the control values</w:t>
      </w:r>
      <w:r w:rsidRPr="00CC7883">
        <w:rPr>
          <w:rFonts w:ascii="Times New Roman" w:hAnsi="Times New Roman" w:cs="Times New Roman"/>
          <w:color w:val="000000" w:themeColor="text1"/>
          <w:sz w:val="28"/>
          <w:szCs w:val="28"/>
        </w:rPr>
        <w:t xml:space="preserve">. </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It has been established that the cultivation of grape microclones on pure mineral nutrient substrates (agroperlite, vermiculite, and agroperlite + vermiculite (1:1)) ensured the formation of plants with high adaptive potential, primarily due to the intensive branching of the root system, optimization of the water regime, increased water retention capacity, dry matter content, photosynthetic pigments, optimization of the stomatal apparatus, and reduced transpiration intensity. </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As a result, the survival rate of such grape microclones </w:t>
      </w:r>
      <w:r w:rsidRPr="00CC7883">
        <w:rPr>
          <w:rFonts w:ascii="Times New Roman" w:hAnsi="Times New Roman" w:cs="Times New Roman"/>
          <w:i/>
          <w:iCs/>
          <w:color w:val="000000" w:themeColor="text1"/>
          <w:sz w:val="28"/>
          <w:szCs w:val="28"/>
        </w:rPr>
        <w:t xml:space="preserve">in vivo </w:t>
      </w:r>
      <w:r w:rsidRPr="00CC7883">
        <w:rPr>
          <w:rFonts w:ascii="Times New Roman" w:hAnsi="Times New Roman" w:cs="Times New Roman"/>
          <w:color w:val="000000" w:themeColor="text1"/>
          <w:sz w:val="28"/>
          <w:szCs w:val="28"/>
        </w:rPr>
        <w:t xml:space="preserve">(experiment 2) after 30, 60, and 90 days of adaptation was the highest and ranged from </w:t>
      </w:r>
      <w:r w:rsidR="00265C4A" w:rsidRPr="00CC7883">
        <w:rPr>
          <w:rFonts w:ascii="Times New Roman" w:hAnsi="Times New Roman" w:cs="Times New Roman"/>
          <w:color w:val="000000" w:themeColor="text1"/>
          <w:sz w:val="28"/>
          <w:szCs w:val="28"/>
        </w:rPr>
        <w:t>64</w:t>
      </w:r>
      <w:r w:rsidR="0070261F">
        <w:rPr>
          <w:rFonts w:ascii="Times New Roman" w:hAnsi="Times New Roman" w:cs="Times New Roman"/>
          <w:color w:val="000000" w:themeColor="text1"/>
          <w:sz w:val="28"/>
          <w:szCs w:val="28"/>
          <w:lang w:val="en-US"/>
        </w:rPr>
        <w:t>.</w:t>
      </w:r>
      <w:r w:rsidR="00265C4A" w:rsidRPr="00CC7883">
        <w:rPr>
          <w:rFonts w:ascii="Times New Roman" w:hAnsi="Times New Roman" w:cs="Times New Roman"/>
          <w:color w:val="000000" w:themeColor="text1"/>
          <w:sz w:val="28"/>
          <w:szCs w:val="28"/>
        </w:rPr>
        <w:t>1 % to 76</w:t>
      </w:r>
      <w:r w:rsidR="0070261F">
        <w:rPr>
          <w:rFonts w:ascii="Times New Roman" w:hAnsi="Times New Roman" w:cs="Times New Roman"/>
          <w:color w:val="000000" w:themeColor="text1"/>
          <w:sz w:val="28"/>
          <w:szCs w:val="28"/>
          <w:lang w:val="en-US"/>
        </w:rPr>
        <w:t>.</w:t>
      </w:r>
      <w:r w:rsidR="00265C4A" w:rsidRPr="00CC7883">
        <w:rPr>
          <w:rFonts w:ascii="Times New Roman" w:hAnsi="Times New Roman" w:cs="Times New Roman"/>
          <w:color w:val="000000" w:themeColor="text1"/>
          <w:sz w:val="28"/>
          <w:szCs w:val="28"/>
        </w:rPr>
        <w:t>0</w:t>
      </w:r>
      <w:r w:rsidR="00AE12F3" w:rsidRPr="00CC7883">
        <w:rPr>
          <w:rFonts w:ascii="Times New Roman" w:hAnsi="Times New Roman" w:cs="Times New Roman"/>
          <w:color w:val="000000" w:themeColor="text1"/>
          <w:sz w:val="28"/>
          <w:szCs w:val="28"/>
        </w:rPr>
        <w:t xml:space="preserve"> </w:t>
      </w:r>
      <w:r w:rsidR="00265C4A" w:rsidRPr="00CC7883">
        <w:rPr>
          <w:rFonts w:ascii="Times New Roman" w:hAnsi="Times New Roman" w:cs="Times New Roman"/>
          <w:color w:val="000000" w:themeColor="text1"/>
          <w:sz w:val="28"/>
          <w:szCs w:val="28"/>
        </w:rPr>
        <w:t>%, which was 1,5–2,3</w:t>
      </w:r>
      <w:r w:rsidRPr="00CC7883">
        <w:rPr>
          <w:rFonts w:ascii="Times New Roman" w:hAnsi="Times New Roman" w:cs="Times New Roman"/>
          <w:color w:val="000000" w:themeColor="text1"/>
          <w:sz w:val="28"/>
          <w:szCs w:val="28"/>
        </w:rPr>
        <w:t xml:space="preserve"> times higher than the control values.</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To assess the reliability of the results and identify key factors influencing the adaptive potential of grape microclones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a statistical analysis was performed. According to the research design, in the first experiment, the main factors influencing the studied indicators were: grape variety (factor 1), phytohormone content (IAA and 6-BAP) (factor 2), and additional components of the nutrient medium (BAP, agroperlite, vermiculite) (factor 3). In the second experiment, these were grape variety (factor 1) and type of mineral nutrient substrates (factor 2). </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Dispersion analysis of experimental data confirmed that for the cultivation of grape microclones on nutrient media, the main influencing factor for most indicators was the additional components of the MS nutrient medium. The proliferation rate of axillary buds depended on this factor by 74</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62 %, rhizogenesis of initial explants – by 42.44 %, biometric indicators of vegetative above-ground mass – by 23</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20–62</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90 %, root system – by 53</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43–87</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58 %, water regime and dry matter content of vegetative mass – by 50</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01–88</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66 %, water retention capacity and transpiration intensity – by 28</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96–52</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79 %, pigment complex – by 79</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11 %, anatomical indicators of the stomatal apparatus – by 33</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10–88</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86 %.</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For the cultivation of grape microclones on nutrient mineral substrates, the main influencing factor was the type of nutrient mineral substrates, which was </w:t>
      </w:r>
      <w:r w:rsidRPr="00CC7883">
        <w:rPr>
          <w:rFonts w:ascii="Times New Roman" w:hAnsi="Times New Roman" w:cs="Times New Roman"/>
          <w:color w:val="000000" w:themeColor="text1"/>
          <w:sz w:val="28"/>
          <w:szCs w:val="28"/>
        </w:rPr>
        <w:lastRenderedPageBreak/>
        <w:t>estimated at 79</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77–86</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60 % (regeneration indicators of initial explants), 51.36–97.33 % (biometric indicators of vegetative mass), 43</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07–91</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86 % (indicators of water regime, dry matter content of vegetative mass), 28</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78–81</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20 % (physiological, biochemical, and anatomical indicators). The experimental error was low, ranging from 0</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02 to 29</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68 %, confirming the high reliability of the results.</w:t>
      </w:r>
    </w:p>
    <w:p w:rsidR="00B85288" w:rsidRPr="00CC7883"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The economic assessment of improved methods of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 xml:space="preserve">grape cultivation is an important part of the work, as it allows not only to establish the biological effects but also to demonstrate the justification of these solutions from a production point of view. It has been shown that the main indicators of the economic efficiency of the developed, improved methods of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 xml:space="preserve">grape cultivation depended on the level of survival of grape microclones </w:t>
      </w:r>
      <w:r w:rsidRPr="00CC7883">
        <w:rPr>
          <w:rFonts w:ascii="Times New Roman" w:hAnsi="Times New Roman" w:cs="Times New Roman"/>
          <w:i/>
          <w:iCs/>
          <w:color w:val="000000" w:themeColor="text1"/>
          <w:sz w:val="28"/>
          <w:szCs w:val="28"/>
        </w:rPr>
        <w:t>in vivo</w:t>
      </w:r>
      <w:r w:rsidRPr="00CC7883">
        <w:rPr>
          <w:rFonts w:ascii="Times New Roman" w:hAnsi="Times New Roman" w:cs="Times New Roman"/>
          <w:color w:val="000000" w:themeColor="text1"/>
          <w:sz w:val="28"/>
          <w:szCs w:val="28"/>
        </w:rPr>
        <w:t>. The greatest economic effect was achieved by protocols using structured nutrient media and mineral substrates, where the net profit was 39</w:t>
      </w:r>
      <w:r w:rsidR="00D706A7">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390.4–48</w:t>
      </w:r>
      <w:r w:rsidR="00D706A7">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840.4 UAH per 1</w:t>
      </w:r>
      <w:r w:rsidR="00D706A7">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000 adapted microclones, and the profitability level was 75</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0–145</w:t>
      </w:r>
      <w:r w:rsidR="0070261F">
        <w:rPr>
          <w:rFonts w:ascii="Times New Roman" w:hAnsi="Times New Roman" w:cs="Times New Roman"/>
          <w:color w:val="000000" w:themeColor="text1"/>
          <w:sz w:val="28"/>
          <w:szCs w:val="28"/>
          <w:lang w:val="en-US"/>
        </w:rPr>
        <w:t>.</w:t>
      </w:r>
      <w:r w:rsidRPr="00CC7883">
        <w:rPr>
          <w:rFonts w:ascii="Times New Roman" w:hAnsi="Times New Roman" w:cs="Times New Roman"/>
          <w:color w:val="000000" w:themeColor="text1"/>
          <w:sz w:val="28"/>
          <w:szCs w:val="28"/>
        </w:rPr>
        <w:t>7</w:t>
      </w:r>
      <w:r w:rsidR="004B7F24">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 which was significantly higher than the corresponding indicators of the control variants, which were ineffective or unprofitable. </w:t>
      </w:r>
    </w:p>
    <w:p w:rsidR="00B85288" w:rsidRPr="00D95A1F" w:rsidRDefault="00B8528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b/>
          <w:color w:val="000000" w:themeColor="text1"/>
          <w:sz w:val="28"/>
          <w:szCs w:val="28"/>
        </w:rPr>
        <w:t>Keywords</w:t>
      </w:r>
      <w:r w:rsidRPr="00CC7883">
        <w:rPr>
          <w:rFonts w:ascii="Times New Roman" w:hAnsi="Times New Roman" w:cs="Times New Roman"/>
          <w:color w:val="000000" w:themeColor="text1"/>
          <w:sz w:val="28"/>
          <w:szCs w:val="28"/>
        </w:rPr>
        <w:t xml:space="preserve">: </w:t>
      </w:r>
      <w:r w:rsidRPr="00D95A1F">
        <w:rPr>
          <w:rFonts w:ascii="Times New Roman" w:hAnsi="Times New Roman" w:cs="Times New Roman"/>
          <w:color w:val="000000" w:themeColor="text1"/>
          <w:sz w:val="28"/>
          <w:szCs w:val="28"/>
        </w:rPr>
        <w:t>grapes,</w:t>
      </w:r>
      <w:r w:rsidR="004B0532" w:rsidRPr="00D95A1F">
        <w:rPr>
          <w:rFonts w:ascii="Times New Roman" w:hAnsi="Times New Roman" w:cs="Times New Roman"/>
          <w:color w:val="000000" w:themeColor="text1"/>
          <w:sz w:val="28"/>
          <w:szCs w:val="28"/>
        </w:rPr>
        <w:t xml:space="preserve"> </w:t>
      </w:r>
      <w:r w:rsidR="004B0532" w:rsidRPr="00D95A1F">
        <w:rPr>
          <w:rFonts w:ascii="Times New Roman" w:hAnsi="Times New Roman" w:cs="Times New Roman"/>
          <w:color w:val="000000" w:themeColor="text1"/>
          <w:sz w:val="28"/>
          <w:szCs w:val="28"/>
          <w:lang w:val="en-US"/>
        </w:rPr>
        <w:t>grape varieties</w:t>
      </w:r>
      <w:r w:rsidR="004B0532" w:rsidRPr="00D95A1F">
        <w:rPr>
          <w:rFonts w:ascii="Times New Roman" w:hAnsi="Times New Roman" w:cs="Times New Roman"/>
          <w:color w:val="000000" w:themeColor="text1"/>
          <w:sz w:val="28"/>
          <w:szCs w:val="28"/>
        </w:rPr>
        <w:t>,</w:t>
      </w:r>
      <w:r w:rsidRPr="00D95A1F">
        <w:rPr>
          <w:rFonts w:ascii="Times New Roman" w:hAnsi="Times New Roman" w:cs="Times New Roman"/>
          <w:color w:val="000000" w:themeColor="text1"/>
          <w:sz w:val="28"/>
          <w:szCs w:val="28"/>
        </w:rPr>
        <w:t xml:space="preserve"> </w:t>
      </w:r>
      <w:r w:rsidR="0032121A" w:rsidRPr="006C7FC5">
        <w:rPr>
          <w:rFonts w:ascii="Times New Roman" w:hAnsi="Times New Roman" w:cs="Times New Roman"/>
          <w:i/>
          <w:iCs/>
          <w:color w:val="000000" w:themeColor="text1"/>
          <w:sz w:val="28"/>
          <w:szCs w:val="28"/>
        </w:rPr>
        <w:t>in vitro</w:t>
      </w:r>
      <w:r w:rsidR="0032121A" w:rsidRPr="00D95A1F">
        <w:rPr>
          <w:rFonts w:ascii="Times New Roman" w:hAnsi="Times New Roman" w:cs="Times New Roman"/>
          <w:color w:val="000000" w:themeColor="text1"/>
          <w:sz w:val="28"/>
          <w:szCs w:val="28"/>
        </w:rPr>
        <w:t xml:space="preserve">, micropropagation, </w:t>
      </w:r>
      <w:r w:rsidRPr="00D95A1F">
        <w:rPr>
          <w:rFonts w:ascii="Times New Roman" w:hAnsi="Times New Roman" w:cs="Times New Roman"/>
          <w:color w:val="000000" w:themeColor="text1"/>
          <w:sz w:val="28"/>
          <w:szCs w:val="28"/>
        </w:rPr>
        <w:t xml:space="preserve">microclones, initial explants, nutrient medium, </w:t>
      </w:r>
      <w:r w:rsidR="0032121A" w:rsidRPr="00D95A1F">
        <w:rPr>
          <w:rFonts w:ascii="Times New Roman" w:hAnsi="Times New Roman" w:cs="Times New Roman"/>
          <w:color w:val="000000" w:themeColor="text1"/>
          <w:sz w:val="28"/>
          <w:szCs w:val="28"/>
        </w:rPr>
        <w:t>phytohormones, proliferation, rhizogenesis, survival rate</w:t>
      </w:r>
      <w:r w:rsidRPr="00D95A1F">
        <w:rPr>
          <w:rFonts w:ascii="Times New Roman" w:hAnsi="Times New Roman" w:cs="Times New Roman"/>
          <w:color w:val="000000" w:themeColor="text1"/>
          <w:sz w:val="28"/>
          <w:szCs w:val="28"/>
        </w:rPr>
        <w:t xml:space="preserve">, physiological indicators, </w:t>
      </w:r>
      <w:r w:rsidR="0032121A" w:rsidRPr="00D95A1F">
        <w:rPr>
          <w:rFonts w:ascii="Times New Roman" w:hAnsi="Times New Roman" w:cs="Times New Roman"/>
          <w:color w:val="000000" w:themeColor="text1"/>
          <w:sz w:val="28"/>
          <w:szCs w:val="28"/>
        </w:rPr>
        <w:t>growth and development</w:t>
      </w:r>
      <w:r w:rsidRPr="00D95A1F">
        <w:rPr>
          <w:rFonts w:ascii="Times New Roman" w:hAnsi="Times New Roman" w:cs="Times New Roman"/>
          <w:color w:val="000000" w:themeColor="text1"/>
          <w:sz w:val="28"/>
          <w:szCs w:val="28"/>
        </w:rPr>
        <w:t xml:space="preserve">, </w:t>
      </w:r>
      <w:r w:rsidR="004B0532" w:rsidRPr="00D95A1F">
        <w:rPr>
          <w:rFonts w:ascii="Times New Roman" w:hAnsi="Times New Roman" w:cs="Times New Roman"/>
          <w:color w:val="000000" w:themeColor="text1"/>
          <w:sz w:val="28"/>
          <w:szCs w:val="28"/>
          <w:lang w:val="en-US"/>
        </w:rPr>
        <w:t>stomatal apparatus</w:t>
      </w:r>
      <w:r w:rsidRPr="00D95A1F">
        <w:rPr>
          <w:rFonts w:ascii="Times New Roman" w:hAnsi="Times New Roman" w:cs="Times New Roman"/>
          <w:color w:val="000000" w:themeColor="text1"/>
          <w:sz w:val="28"/>
          <w:szCs w:val="28"/>
        </w:rPr>
        <w:t xml:space="preserve">, </w:t>
      </w:r>
      <w:r w:rsidR="0032121A" w:rsidRPr="006C7FC5">
        <w:rPr>
          <w:rFonts w:ascii="Times New Roman" w:hAnsi="Times New Roman" w:cs="Times New Roman"/>
          <w:i/>
          <w:iCs/>
          <w:color w:val="000000" w:themeColor="text1"/>
          <w:sz w:val="28"/>
          <w:szCs w:val="28"/>
        </w:rPr>
        <w:t>in vivo</w:t>
      </w:r>
      <w:r w:rsidR="0032121A" w:rsidRPr="00D95A1F">
        <w:rPr>
          <w:rFonts w:ascii="Times New Roman" w:hAnsi="Times New Roman" w:cs="Times New Roman"/>
          <w:color w:val="000000" w:themeColor="text1"/>
          <w:sz w:val="28"/>
          <w:szCs w:val="28"/>
        </w:rPr>
        <w:t xml:space="preserve"> </w:t>
      </w:r>
      <w:r w:rsidRPr="00D95A1F">
        <w:rPr>
          <w:rFonts w:ascii="Times New Roman" w:hAnsi="Times New Roman" w:cs="Times New Roman"/>
          <w:color w:val="000000" w:themeColor="text1"/>
          <w:sz w:val="28"/>
          <w:szCs w:val="28"/>
        </w:rPr>
        <w:t>adaptation.</w:t>
      </w:r>
    </w:p>
    <w:p w:rsidR="009A0B93" w:rsidRPr="00CC7883" w:rsidRDefault="00B85288" w:rsidP="00047411">
      <w:pPr>
        <w:widowControl w:val="0"/>
        <w:spacing w:after="0" w:line="360" w:lineRule="auto"/>
        <w:ind w:firstLine="708"/>
        <w:jc w:val="both"/>
        <w:rPr>
          <w:rFonts w:ascii="Times New Roman" w:eastAsia="Calibri" w:hAnsi="Times New Roman" w:cs="Times New Roman"/>
          <w:b/>
          <w:bCs/>
          <w:color w:val="000000" w:themeColor="text1"/>
          <w:kern w:val="0"/>
          <w:sz w:val="28"/>
          <w:szCs w:val="28"/>
        </w:rPr>
      </w:pPr>
      <w:r w:rsidRPr="00CC7883">
        <w:rPr>
          <w:rFonts w:ascii="Times New Roman" w:eastAsia="Calibri" w:hAnsi="Times New Roman" w:cs="Times New Roman"/>
          <w:iCs/>
          <w:color w:val="000000" w:themeColor="text1"/>
          <w:kern w:val="0"/>
          <w:sz w:val="28"/>
          <w:szCs w:val="28"/>
        </w:rPr>
        <w:br w:type="column"/>
      </w:r>
      <w:r w:rsidR="009A0B93" w:rsidRPr="00CC7883">
        <w:rPr>
          <w:rFonts w:ascii="Times New Roman" w:eastAsia="Calibri" w:hAnsi="Times New Roman" w:cs="Times New Roman"/>
          <w:b/>
          <w:bCs/>
          <w:color w:val="000000" w:themeColor="text1"/>
          <w:kern w:val="0"/>
          <w:sz w:val="28"/>
          <w:szCs w:val="28"/>
        </w:rPr>
        <w:lastRenderedPageBreak/>
        <w:t>СПИСОК ОПУБЛІКОВАНИХ ПРАЦЬ ЗА ТЕМОЮ ДИСЕРТАЦІЇ</w:t>
      </w:r>
    </w:p>
    <w:p w:rsidR="00B85620" w:rsidRPr="00CC7883" w:rsidRDefault="00B85620" w:rsidP="00047411">
      <w:pPr>
        <w:widowControl w:val="0"/>
        <w:spacing w:after="0" w:line="360" w:lineRule="auto"/>
        <w:jc w:val="center"/>
        <w:rPr>
          <w:rFonts w:ascii="Times New Roman" w:eastAsia="Calibri" w:hAnsi="Times New Roman" w:cs="Times New Roman"/>
          <w:b/>
          <w:bCs/>
          <w:color w:val="000000" w:themeColor="text1"/>
          <w:kern w:val="0"/>
          <w:sz w:val="28"/>
          <w:szCs w:val="28"/>
        </w:rPr>
      </w:pPr>
    </w:p>
    <w:p w:rsidR="009A0B93" w:rsidRPr="00CC7883" w:rsidRDefault="009A0B93" w:rsidP="00047411">
      <w:pPr>
        <w:widowControl w:val="0"/>
        <w:spacing w:after="0" w:line="360"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Статті у наукових фахових виданнях України</w:t>
      </w:r>
    </w:p>
    <w:p w:rsidR="00D33C59" w:rsidRPr="00CC7883" w:rsidRDefault="009A0B93" w:rsidP="00047411">
      <w:pPr>
        <w:widowControl w:val="0"/>
        <w:spacing w:after="0" w:line="360" w:lineRule="auto"/>
        <w:jc w:val="both"/>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r w:rsidRPr="00CC7883">
        <w:rPr>
          <w:rFonts w:ascii="Times New Roman" w:eastAsia="Calibri" w:hAnsi="Times New Roman" w:cs="Times New Roman"/>
          <w:color w:val="000000" w:themeColor="text1"/>
          <w:kern w:val="0"/>
          <w:sz w:val="28"/>
          <w:szCs w:val="28"/>
        </w:rPr>
        <w:tab/>
        <w:t xml:space="preserve">Зеленянська Н. М., Самофалов М. О. Регенераційна здатність підщепних і технічних сортів винограду в культурі тканин і органів </w:t>
      </w:r>
      <w:r w:rsidR="00B9680A" w:rsidRPr="00CC7883">
        <w:rPr>
          <w:rFonts w:ascii="Times New Roman" w:hAnsi="Times New Roman" w:cs="Times New Roman"/>
          <w:i/>
          <w:color w:val="000000" w:themeColor="text1"/>
          <w:sz w:val="28"/>
        </w:rPr>
        <w:t>in vitro</w:t>
      </w:r>
      <w:r w:rsidRPr="00CC7883">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i/>
          <w:color w:val="000000" w:themeColor="text1"/>
          <w:kern w:val="0"/>
          <w:sz w:val="28"/>
          <w:szCs w:val="28"/>
        </w:rPr>
        <w:t>Таврійський науковий вісник</w:t>
      </w:r>
      <w:r w:rsidRPr="00CC7883">
        <w:rPr>
          <w:rFonts w:ascii="Times New Roman" w:eastAsia="Calibri" w:hAnsi="Times New Roman" w:cs="Times New Roman"/>
          <w:color w:val="000000" w:themeColor="text1"/>
          <w:kern w:val="0"/>
          <w:sz w:val="28"/>
          <w:szCs w:val="28"/>
        </w:rPr>
        <w:t xml:space="preserve">. 2022. № 123. С. 67–76. DOI: </w:t>
      </w:r>
      <w:hyperlink r:id="rId9" w:history="1">
        <w:r w:rsidR="004E1C55" w:rsidRPr="00CC7883">
          <w:rPr>
            <w:rStyle w:val="af3"/>
            <w:rFonts w:ascii="Times New Roman" w:eastAsia="Calibri" w:hAnsi="Times New Roman" w:cs="Times New Roman"/>
            <w:color w:val="000000" w:themeColor="text1"/>
            <w:kern w:val="0"/>
            <w:sz w:val="28"/>
            <w:szCs w:val="28"/>
            <w:u w:val="none"/>
          </w:rPr>
          <w:t>https://doi.org/10.32851/2226-0099.2022.123.10</w:t>
        </w:r>
      </w:hyperlink>
      <w:r w:rsidRPr="00CC7883">
        <w:rPr>
          <w:rFonts w:ascii="Times New Roman" w:eastAsia="Calibri" w:hAnsi="Times New Roman" w:cs="Times New Roman"/>
          <w:color w:val="000000" w:themeColor="text1"/>
          <w:kern w:val="0"/>
          <w:sz w:val="28"/>
          <w:szCs w:val="28"/>
        </w:rPr>
        <w:t>.</w:t>
      </w:r>
      <w:r w:rsidR="00FC12FD" w:rsidRPr="00CC7883">
        <w:rPr>
          <w:rFonts w:ascii="Times New Roman" w:eastAsia="Calibri" w:hAnsi="Times New Roman" w:cs="Times New Roman"/>
          <w:color w:val="000000" w:themeColor="text1"/>
          <w:kern w:val="0"/>
          <w:sz w:val="28"/>
          <w:szCs w:val="28"/>
        </w:rPr>
        <w:t xml:space="preserve"> </w:t>
      </w:r>
      <w:r w:rsidR="00D33C59" w:rsidRPr="00CC7883">
        <w:rPr>
          <w:rFonts w:ascii="Times New Roman" w:eastAsia="Calibri" w:hAnsi="Times New Roman" w:cs="Times New Roman"/>
          <w:color w:val="000000" w:themeColor="text1"/>
          <w:kern w:val="0"/>
          <w:sz w:val="28"/>
          <w:szCs w:val="28"/>
        </w:rPr>
        <w:t>(</w:t>
      </w:r>
      <w:r w:rsidR="00D33C59" w:rsidRPr="00CC7883">
        <w:rPr>
          <w:rFonts w:ascii="Times New Roman" w:eastAsia="Times New Roman" w:hAnsi="Times New Roman"/>
          <w:i/>
          <w:iCs/>
          <w:color w:val="000000" w:themeColor="text1"/>
          <w:sz w:val="28"/>
          <w:szCs w:val="28"/>
          <w:lang w:eastAsia="ru-RU"/>
        </w:rPr>
        <w:t>Особистий внесок Самофалова М. О.</w:t>
      </w:r>
      <w:r w:rsidR="00D33C59" w:rsidRPr="00CC7883">
        <w:rPr>
          <w:rFonts w:ascii="Times New Roman" w:eastAsia="Times New Roman" w:hAnsi="Times New Roman"/>
          <w:color w:val="000000" w:themeColor="text1"/>
          <w:sz w:val="28"/>
          <w:szCs w:val="28"/>
          <w:lang w:eastAsia="ru-RU"/>
        </w:rPr>
        <w:t>:</w:t>
      </w:r>
      <w:r w:rsidR="00D33C59" w:rsidRPr="00CC7883">
        <w:rPr>
          <w:rFonts w:ascii="Times New Roman" w:eastAsia="Calibri" w:hAnsi="Times New Roman" w:cs="Times New Roman"/>
          <w:i/>
          <w:iCs/>
          <w:color w:val="000000" w:themeColor="text1"/>
          <w:kern w:val="0"/>
          <w:sz w:val="28"/>
          <w:szCs w:val="28"/>
        </w:rPr>
        <w:t xml:space="preserve"> </w:t>
      </w:r>
      <w:r w:rsidR="00D33C59" w:rsidRPr="00CC7883">
        <w:rPr>
          <w:rFonts w:ascii="Times New Roman" w:eastAsia="Times New Roman" w:hAnsi="Times New Roman"/>
          <w:i/>
          <w:iCs/>
          <w:color w:val="000000" w:themeColor="text1"/>
          <w:sz w:val="28"/>
          <w:szCs w:val="28"/>
          <w:lang w:eastAsia="ru-RU"/>
        </w:rPr>
        <w:t xml:space="preserve">аналіз літературних джерел, </w:t>
      </w:r>
      <w:r w:rsidR="00D33C59" w:rsidRPr="00CC7883">
        <w:rPr>
          <w:rFonts w:ascii="Times New Roman" w:eastAsia="Calibri" w:hAnsi="Times New Roman" w:cs="Times New Roman"/>
          <w:i/>
          <w:iCs/>
          <w:color w:val="000000" w:themeColor="text1"/>
          <w:kern w:val="0"/>
          <w:sz w:val="28"/>
          <w:szCs w:val="28"/>
        </w:rPr>
        <w:t xml:space="preserve">отримання експериментальних даних, їх аналіз та узагальнення, </w:t>
      </w:r>
      <w:r w:rsidR="00D33C59" w:rsidRPr="00CC7883">
        <w:rPr>
          <w:rFonts w:ascii="Times New Roman" w:hAnsi="Times New Roman"/>
          <w:i/>
          <w:iCs/>
          <w:color w:val="000000" w:themeColor="text1"/>
          <w:sz w:val="28"/>
          <w:szCs w:val="28"/>
        </w:rPr>
        <w:t>статистична обробка даних,</w:t>
      </w:r>
      <w:r w:rsidR="00D33C59" w:rsidRPr="00CC7883">
        <w:rPr>
          <w:rFonts w:ascii="Times New Roman" w:eastAsia="Calibri" w:hAnsi="Times New Roman" w:cs="Times New Roman"/>
          <w:i/>
          <w:iCs/>
          <w:color w:val="000000" w:themeColor="text1"/>
          <w:kern w:val="0"/>
          <w:sz w:val="28"/>
          <w:szCs w:val="28"/>
        </w:rPr>
        <w:t xml:space="preserve"> написання статті</w:t>
      </w:r>
      <w:r w:rsidR="00D33C59" w:rsidRPr="00CC7883">
        <w:rPr>
          <w:rFonts w:ascii="Times New Roman" w:eastAsia="Calibri" w:hAnsi="Times New Roman" w:cs="Times New Roman"/>
          <w:iCs/>
          <w:color w:val="000000" w:themeColor="text1"/>
          <w:kern w:val="0"/>
          <w:sz w:val="28"/>
          <w:szCs w:val="28"/>
        </w:rPr>
        <w:t>)</w:t>
      </w:r>
      <w:r w:rsidR="00D33C59" w:rsidRPr="00CC7883">
        <w:rPr>
          <w:rFonts w:ascii="Times New Roman" w:eastAsia="Calibri" w:hAnsi="Times New Roman" w:cs="Times New Roman"/>
          <w:i/>
          <w:iCs/>
          <w:color w:val="000000" w:themeColor="text1"/>
          <w:kern w:val="0"/>
          <w:sz w:val="28"/>
          <w:szCs w:val="28"/>
        </w:rPr>
        <w:t>.</w:t>
      </w:r>
    </w:p>
    <w:p w:rsidR="009A0B93" w:rsidRPr="00CC7883" w:rsidRDefault="009A0B93" w:rsidP="00047411">
      <w:pPr>
        <w:widowControl w:val="0"/>
        <w:spacing w:after="0" w:line="360" w:lineRule="auto"/>
        <w:jc w:val="both"/>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r w:rsidRPr="00CC7883">
        <w:rPr>
          <w:rFonts w:ascii="Times New Roman" w:eastAsia="Calibri" w:hAnsi="Times New Roman" w:cs="Times New Roman"/>
          <w:color w:val="000000" w:themeColor="text1"/>
          <w:kern w:val="0"/>
          <w:sz w:val="28"/>
          <w:szCs w:val="28"/>
        </w:rPr>
        <w:tab/>
        <w:t xml:space="preserve">Зеленянська Н. М., Самофалов М. О. Підвищення адаптивності мікроклонів винограду в умовах </w:t>
      </w:r>
      <w:r w:rsidR="00B9680A" w:rsidRPr="00CC7883">
        <w:rPr>
          <w:rFonts w:ascii="Times New Roman" w:hAnsi="Times New Roman" w:cs="Times New Roman"/>
          <w:i/>
          <w:color w:val="000000" w:themeColor="text1"/>
          <w:sz w:val="28"/>
        </w:rPr>
        <w:t>in vitro</w:t>
      </w:r>
      <w:r w:rsidRPr="00CC7883">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i/>
          <w:color w:val="000000" w:themeColor="text1"/>
          <w:kern w:val="0"/>
          <w:sz w:val="28"/>
          <w:szCs w:val="28"/>
        </w:rPr>
        <w:t>Аграрні інновації</w:t>
      </w:r>
      <w:r w:rsidRPr="00CC7883">
        <w:rPr>
          <w:rFonts w:ascii="Times New Roman" w:eastAsia="Calibri" w:hAnsi="Times New Roman" w:cs="Times New Roman"/>
          <w:color w:val="000000" w:themeColor="text1"/>
          <w:kern w:val="0"/>
          <w:sz w:val="28"/>
          <w:szCs w:val="28"/>
        </w:rPr>
        <w:t xml:space="preserve">. 2022. № 11. С. 25–31. DOI: </w:t>
      </w:r>
      <w:hyperlink r:id="rId10" w:history="1">
        <w:r w:rsidR="004E1C55" w:rsidRPr="00CC7883">
          <w:rPr>
            <w:rStyle w:val="af3"/>
            <w:rFonts w:ascii="Times New Roman" w:eastAsia="Calibri" w:hAnsi="Times New Roman" w:cs="Times New Roman"/>
            <w:color w:val="000000" w:themeColor="text1"/>
            <w:kern w:val="0"/>
            <w:sz w:val="28"/>
            <w:szCs w:val="28"/>
            <w:u w:val="none"/>
          </w:rPr>
          <w:t>https://doi.org/10.32848/agrar.innov.2022.11.3</w:t>
        </w:r>
      </w:hyperlink>
      <w:r w:rsidRPr="00CC7883">
        <w:rPr>
          <w:rFonts w:ascii="Times New Roman" w:eastAsia="Calibri" w:hAnsi="Times New Roman" w:cs="Times New Roman"/>
          <w:color w:val="000000" w:themeColor="text1"/>
          <w:kern w:val="0"/>
          <w:sz w:val="28"/>
          <w:szCs w:val="28"/>
        </w:rPr>
        <w:t>.</w:t>
      </w:r>
      <w:r w:rsidR="00FC12FD" w:rsidRPr="00CC7883">
        <w:rPr>
          <w:rFonts w:ascii="Times New Roman" w:eastAsia="Calibri" w:hAnsi="Times New Roman" w:cs="Times New Roman"/>
          <w:color w:val="000000" w:themeColor="text1"/>
          <w:kern w:val="0"/>
          <w:sz w:val="28"/>
          <w:szCs w:val="28"/>
        </w:rPr>
        <w:t xml:space="preserve"> </w:t>
      </w:r>
      <w:r w:rsidR="00D33C59" w:rsidRPr="00CC7883">
        <w:rPr>
          <w:rFonts w:ascii="Times New Roman" w:eastAsia="Calibri" w:hAnsi="Times New Roman" w:cs="Times New Roman"/>
          <w:color w:val="000000" w:themeColor="text1"/>
          <w:kern w:val="0"/>
          <w:sz w:val="28"/>
          <w:szCs w:val="28"/>
        </w:rPr>
        <w:t>(</w:t>
      </w:r>
      <w:r w:rsidR="00D33C59" w:rsidRPr="00CC7883">
        <w:rPr>
          <w:rFonts w:ascii="Times New Roman" w:eastAsia="Times New Roman" w:hAnsi="Times New Roman"/>
          <w:i/>
          <w:iCs/>
          <w:color w:val="000000" w:themeColor="text1"/>
          <w:sz w:val="28"/>
          <w:szCs w:val="28"/>
          <w:lang w:eastAsia="ru-RU"/>
        </w:rPr>
        <w:t>Особистий внесок Самофалова М. О.</w:t>
      </w:r>
      <w:r w:rsidR="00D33C59" w:rsidRPr="00CC7883">
        <w:rPr>
          <w:rFonts w:ascii="Times New Roman" w:eastAsia="Times New Roman" w:hAnsi="Times New Roman"/>
          <w:color w:val="000000" w:themeColor="text1"/>
          <w:sz w:val="28"/>
          <w:szCs w:val="28"/>
          <w:lang w:eastAsia="ru-RU"/>
        </w:rPr>
        <w:t>:</w:t>
      </w:r>
      <w:r w:rsidR="004E1C55" w:rsidRPr="00CC7883">
        <w:rPr>
          <w:rFonts w:ascii="Times New Roman" w:eastAsia="Calibri" w:hAnsi="Times New Roman" w:cs="Times New Roman"/>
          <w:i/>
          <w:iCs/>
          <w:color w:val="000000" w:themeColor="text1"/>
          <w:kern w:val="0"/>
          <w:sz w:val="28"/>
          <w:szCs w:val="28"/>
        </w:rPr>
        <w:t xml:space="preserve"> </w:t>
      </w:r>
      <w:r w:rsidR="00D33C59" w:rsidRPr="00CC7883">
        <w:rPr>
          <w:rFonts w:ascii="Times New Roman" w:eastAsia="Times New Roman" w:hAnsi="Times New Roman"/>
          <w:i/>
          <w:iCs/>
          <w:color w:val="000000" w:themeColor="text1"/>
          <w:sz w:val="28"/>
          <w:szCs w:val="28"/>
          <w:lang w:eastAsia="ru-RU"/>
        </w:rPr>
        <w:t xml:space="preserve">аналіз літературних джерел, </w:t>
      </w:r>
      <w:r w:rsidR="004E1C55" w:rsidRPr="00CC7883">
        <w:rPr>
          <w:rFonts w:ascii="Times New Roman" w:eastAsia="Calibri" w:hAnsi="Times New Roman" w:cs="Times New Roman"/>
          <w:i/>
          <w:iCs/>
          <w:color w:val="000000" w:themeColor="text1"/>
          <w:kern w:val="0"/>
          <w:sz w:val="28"/>
          <w:szCs w:val="28"/>
        </w:rPr>
        <w:t xml:space="preserve">отримання експериментальних даних, </w:t>
      </w:r>
      <w:r w:rsidR="00D33C59" w:rsidRPr="00CC7883">
        <w:rPr>
          <w:rFonts w:ascii="Times New Roman" w:eastAsia="Calibri" w:hAnsi="Times New Roman" w:cs="Times New Roman"/>
          <w:i/>
          <w:iCs/>
          <w:color w:val="000000" w:themeColor="text1"/>
          <w:kern w:val="0"/>
          <w:sz w:val="28"/>
          <w:szCs w:val="28"/>
        </w:rPr>
        <w:t xml:space="preserve">їх </w:t>
      </w:r>
      <w:r w:rsidR="004E1C55" w:rsidRPr="00CC7883">
        <w:rPr>
          <w:rFonts w:ascii="Times New Roman" w:eastAsia="Calibri" w:hAnsi="Times New Roman" w:cs="Times New Roman"/>
          <w:i/>
          <w:iCs/>
          <w:color w:val="000000" w:themeColor="text1"/>
          <w:kern w:val="0"/>
          <w:sz w:val="28"/>
          <w:szCs w:val="28"/>
        </w:rPr>
        <w:t>аналіз та узагальнення, написання статті</w:t>
      </w:r>
      <w:r w:rsidR="00D33C59" w:rsidRPr="00CC7883">
        <w:rPr>
          <w:rFonts w:ascii="Times New Roman" w:eastAsia="Calibri" w:hAnsi="Times New Roman" w:cs="Times New Roman"/>
          <w:iCs/>
          <w:color w:val="000000" w:themeColor="text1"/>
          <w:kern w:val="0"/>
          <w:sz w:val="28"/>
          <w:szCs w:val="28"/>
        </w:rPr>
        <w:t>)</w:t>
      </w:r>
      <w:r w:rsidR="004E1C55" w:rsidRPr="00CC7883">
        <w:rPr>
          <w:rFonts w:ascii="Times New Roman" w:eastAsia="Calibri" w:hAnsi="Times New Roman" w:cs="Times New Roman"/>
          <w:i/>
          <w:iCs/>
          <w:color w:val="000000" w:themeColor="text1"/>
          <w:kern w:val="0"/>
          <w:sz w:val="28"/>
          <w:szCs w:val="28"/>
        </w:rPr>
        <w:t>.</w:t>
      </w:r>
    </w:p>
    <w:p w:rsidR="009A0B93" w:rsidRPr="00CC7883" w:rsidRDefault="009A0B93" w:rsidP="00047411">
      <w:pPr>
        <w:widowControl w:val="0"/>
        <w:spacing w:after="0" w:line="360" w:lineRule="auto"/>
        <w:jc w:val="both"/>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r w:rsidRPr="00CC7883">
        <w:rPr>
          <w:rFonts w:ascii="Times New Roman" w:eastAsia="Calibri" w:hAnsi="Times New Roman" w:cs="Times New Roman"/>
          <w:color w:val="000000" w:themeColor="text1"/>
          <w:kern w:val="0"/>
          <w:sz w:val="28"/>
          <w:szCs w:val="28"/>
        </w:rPr>
        <w:tab/>
        <w:t xml:space="preserve">Зеленянська Н. М., Самофалов М. О. Вплив умов культивування мікроклонів винограду </w:t>
      </w:r>
      <w:r w:rsidR="00B9680A" w:rsidRPr="00CC7883">
        <w:rPr>
          <w:rFonts w:ascii="Times New Roman" w:hAnsi="Times New Roman" w:cs="Times New Roman"/>
          <w:i/>
          <w:color w:val="000000" w:themeColor="text1"/>
          <w:sz w:val="28"/>
        </w:rPr>
        <w:t>in vitro</w:t>
      </w:r>
      <w:r w:rsidRPr="00CC7883">
        <w:rPr>
          <w:rFonts w:ascii="Times New Roman" w:eastAsia="Calibri" w:hAnsi="Times New Roman" w:cs="Times New Roman"/>
          <w:color w:val="000000" w:themeColor="text1"/>
          <w:kern w:val="0"/>
          <w:sz w:val="28"/>
          <w:szCs w:val="28"/>
        </w:rPr>
        <w:t xml:space="preserve"> на їх приживлюваність </w:t>
      </w:r>
      <w:r w:rsidR="00F5525C" w:rsidRPr="00CC7883">
        <w:rPr>
          <w:rFonts w:ascii="Times New Roman" w:eastAsia="NSimSun" w:hAnsi="Times New Roman" w:cs="Times New Roman"/>
          <w:i/>
          <w:iCs/>
          <w:color w:val="000000" w:themeColor="text1"/>
          <w:kern w:val="3"/>
          <w:sz w:val="28"/>
          <w:szCs w:val="28"/>
        </w:rPr>
        <w:t>in vivo</w:t>
      </w:r>
      <w:r w:rsidRPr="00CC7883">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i/>
          <w:color w:val="000000" w:themeColor="text1"/>
          <w:kern w:val="0"/>
          <w:sz w:val="28"/>
          <w:szCs w:val="28"/>
        </w:rPr>
        <w:t>Таврійський науковий вісник</w:t>
      </w:r>
      <w:r w:rsidRPr="00CC7883">
        <w:rPr>
          <w:rFonts w:ascii="Times New Roman" w:eastAsia="Calibri" w:hAnsi="Times New Roman" w:cs="Times New Roman"/>
          <w:color w:val="000000" w:themeColor="text1"/>
          <w:kern w:val="0"/>
          <w:sz w:val="28"/>
          <w:szCs w:val="28"/>
        </w:rPr>
        <w:t xml:space="preserve">. 2022. № 127. С. 64–71. DOI: </w:t>
      </w:r>
      <w:hyperlink r:id="rId11" w:history="1">
        <w:r w:rsidR="004E1C55" w:rsidRPr="00CC7883">
          <w:rPr>
            <w:rStyle w:val="af3"/>
            <w:rFonts w:ascii="Times New Roman" w:eastAsia="Calibri" w:hAnsi="Times New Roman" w:cs="Times New Roman"/>
            <w:color w:val="000000" w:themeColor="text1"/>
            <w:kern w:val="0"/>
            <w:sz w:val="28"/>
            <w:szCs w:val="28"/>
            <w:u w:val="none"/>
          </w:rPr>
          <w:t>https://doi.org/10.32851/2226-0099.2022.127.8</w:t>
        </w:r>
      </w:hyperlink>
      <w:r w:rsidRPr="00CC7883">
        <w:rPr>
          <w:rFonts w:ascii="Times New Roman" w:eastAsia="Calibri" w:hAnsi="Times New Roman" w:cs="Times New Roman"/>
          <w:color w:val="000000" w:themeColor="text1"/>
          <w:kern w:val="0"/>
          <w:sz w:val="28"/>
          <w:szCs w:val="28"/>
        </w:rPr>
        <w:t>.</w:t>
      </w:r>
      <w:r w:rsidR="00FC12FD" w:rsidRPr="00CC7883">
        <w:rPr>
          <w:rFonts w:ascii="Times New Roman" w:eastAsia="Calibri" w:hAnsi="Times New Roman" w:cs="Times New Roman"/>
          <w:color w:val="000000" w:themeColor="text1"/>
          <w:kern w:val="0"/>
          <w:sz w:val="28"/>
          <w:szCs w:val="28"/>
        </w:rPr>
        <w:t xml:space="preserve"> </w:t>
      </w:r>
      <w:r w:rsidR="00D33C59" w:rsidRPr="00CC7883">
        <w:rPr>
          <w:rFonts w:ascii="Times New Roman" w:eastAsia="Calibri" w:hAnsi="Times New Roman" w:cs="Times New Roman"/>
          <w:color w:val="000000" w:themeColor="text1"/>
          <w:kern w:val="0"/>
          <w:sz w:val="28"/>
          <w:szCs w:val="28"/>
        </w:rPr>
        <w:t>(</w:t>
      </w:r>
      <w:r w:rsidR="00D33C59" w:rsidRPr="00CC7883">
        <w:rPr>
          <w:rFonts w:ascii="Times New Roman" w:eastAsia="Times New Roman" w:hAnsi="Times New Roman"/>
          <w:i/>
          <w:iCs/>
          <w:color w:val="000000" w:themeColor="text1"/>
          <w:sz w:val="28"/>
          <w:szCs w:val="28"/>
          <w:lang w:eastAsia="ru-RU"/>
        </w:rPr>
        <w:t>Особистий внесок Самофалова М. О.</w:t>
      </w:r>
      <w:r w:rsidR="00D33C59" w:rsidRPr="00CC7883">
        <w:rPr>
          <w:rFonts w:ascii="Times New Roman" w:eastAsia="Times New Roman" w:hAnsi="Times New Roman"/>
          <w:color w:val="000000" w:themeColor="text1"/>
          <w:sz w:val="28"/>
          <w:szCs w:val="28"/>
          <w:lang w:eastAsia="ru-RU"/>
        </w:rPr>
        <w:t>:</w:t>
      </w:r>
      <w:r w:rsidR="00D33C59" w:rsidRPr="00CC7883">
        <w:rPr>
          <w:rFonts w:ascii="Times New Roman" w:eastAsia="Calibri" w:hAnsi="Times New Roman" w:cs="Times New Roman"/>
          <w:i/>
          <w:iCs/>
          <w:color w:val="000000" w:themeColor="text1"/>
          <w:kern w:val="0"/>
          <w:sz w:val="28"/>
          <w:szCs w:val="28"/>
        </w:rPr>
        <w:t xml:space="preserve"> </w:t>
      </w:r>
      <w:r w:rsidR="004E1C55" w:rsidRPr="00CC7883">
        <w:rPr>
          <w:rFonts w:ascii="Times New Roman" w:eastAsia="Calibri" w:hAnsi="Times New Roman" w:cs="Times New Roman"/>
          <w:i/>
          <w:iCs/>
          <w:color w:val="000000" w:themeColor="text1"/>
          <w:kern w:val="0"/>
          <w:sz w:val="28"/>
          <w:szCs w:val="28"/>
        </w:rPr>
        <w:t xml:space="preserve">отримання експериментальних даних, </w:t>
      </w:r>
      <w:r w:rsidR="00DA597D" w:rsidRPr="00CC7883">
        <w:rPr>
          <w:rFonts w:ascii="Times New Roman" w:eastAsia="Calibri" w:hAnsi="Times New Roman" w:cs="Times New Roman"/>
          <w:i/>
          <w:iCs/>
          <w:color w:val="000000" w:themeColor="text1"/>
          <w:kern w:val="0"/>
          <w:sz w:val="28"/>
          <w:szCs w:val="28"/>
        </w:rPr>
        <w:t xml:space="preserve">їх </w:t>
      </w:r>
      <w:r w:rsidR="004E1C55" w:rsidRPr="00CC7883">
        <w:rPr>
          <w:rFonts w:ascii="Times New Roman" w:eastAsia="Calibri" w:hAnsi="Times New Roman" w:cs="Times New Roman"/>
          <w:i/>
          <w:iCs/>
          <w:color w:val="000000" w:themeColor="text1"/>
          <w:kern w:val="0"/>
          <w:sz w:val="28"/>
          <w:szCs w:val="28"/>
        </w:rPr>
        <w:t>аналіз та узагальнення</w:t>
      </w:r>
      <w:r w:rsidR="00DA597D" w:rsidRPr="00CC7883">
        <w:rPr>
          <w:rFonts w:ascii="Times New Roman" w:eastAsia="Calibri" w:hAnsi="Times New Roman" w:cs="Times New Roman"/>
          <w:i/>
          <w:iCs/>
          <w:color w:val="000000" w:themeColor="text1"/>
          <w:kern w:val="0"/>
          <w:sz w:val="28"/>
          <w:szCs w:val="28"/>
        </w:rPr>
        <w:t xml:space="preserve">, </w:t>
      </w:r>
      <w:r w:rsidR="004E1C55" w:rsidRPr="00CC7883">
        <w:rPr>
          <w:rFonts w:ascii="Times New Roman" w:eastAsia="Calibri" w:hAnsi="Times New Roman" w:cs="Times New Roman"/>
          <w:i/>
          <w:iCs/>
          <w:color w:val="000000" w:themeColor="text1"/>
          <w:kern w:val="0"/>
          <w:sz w:val="28"/>
          <w:szCs w:val="28"/>
        </w:rPr>
        <w:t>написання статті</w:t>
      </w:r>
      <w:r w:rsidR="00D33C59" w:rsidRPr="00CC7883">
        <w:rPr>
          <w:rFonts w:ascii="Times New Roman" w:eastAsia="Calibri" w:hAnsi="Times New Roman" w:cs="Times New Roman"/>
          <w:iCs/>
          <w:color w:val="000000" w:themeColor="text1"/>
          <w:kern w:val="0"/>
          <w:sz w:val="28"/>
          <w:szCs w:val="28"/>
        </w:rPr>
        <w:t>)</w:t>
      </w:r>
      <w:r w:rsidR="004E1C55" w:rsidRPr="00CC7883">
        <w:rPr>
          <w:rFonts w:ascii="Times New Roman" w:eastAsia="Calibri" w:hAnsi="Times New Roman" w:cs="Times New Roman"/>
          <w:i/>
          <w:iCs/>
          <w:color w:val="000000" w:themeColor="text1"/>
          <w:kern w:val="0"/>
          <w:sz w:val="28"/>
          <w:szCs w:val="28"/>
        </w:rPr>
        <w:t>.</w:t>
      </w:r>
    </w:p>
    <w:p w:rsidR="009A0B93" w:rsidRPr="00CC7883" w:rsidRDefault="009A0B93" w:rsidP="00047411">
      <w:pPr>
        <w:widowControl w:val="0"/>
        <w:spacing w:after="0" w:line="360" w:lineRule="auto"/>
        <w:jc w:val="both"/>
        <w:rPr>
          <w:rFonts w:ascii="Times New Roman" w:eastAsia="Calibri" w:hAnsi="Times New Roman" w:cs="Times New Roman"/>
          <w:color w:val="000000" w:themeColor="text1"/>
          <w:kern w:val="0"/>
          <w:sz w:val="28"/>
          <w:szCs w:val="28"/>
        </w:rPr>
      </w:pPr>
    </w:p>
    <w:p w:rsidR="009A0B93" w:rsidRPr="00CC7883" w:rsidRDefault="009A0B93" w:rsidP="00047411">
      <w:pPr>
        <w:widowControl w:val="0"/>
        <w:spacing w:after="0" w:line="360" w:lineRule="auto"/>
        <w:contextualSpacing/>
        <w:jc w:val="center"/>
        <w:rPr>
          <w:rFonts w:ascii="Times New Roman" w:eastAsia="Calibri" w:hAnsi="Times New Roman" w:cs="Times New Roman"/>
          <w:b/>
          <w:color w:val="000000" w:themeColor="text1"/>
          <w:kern w:val="3"/>
          <w:sz w:val="28"/>
          <w:szCs w:val="28"/>
          <w:lang w:eastAsia="ar-SA"/>
        </w:rPr>
      </w:pPr>
      <w:r w:rsidRPr="00CC7883">
        <w:rPr>
          <w:rFonts w:ascii="Times New Roman" w:eastAsia="Calibri" w:hAnsi="Times New Roman" w:cs="Times New Roman"/>
          <w:b/>
          <w:color w:val="000000" w:themeColor="text1"/>
          <w:kern w:val="0"/>
          <w:sz w:val="28"/>
          <w:szCs w:val="28"/>
        </w:rPr>
        <w:t>Статті у науковому фаховому виданні України, проіндексованому в базах даних Scopus</w:t>
      </w:r>
    </w:p>
    <w:p w:rsidR="009A0B93" w:rsidRPr="00CC7883" w:rsidRDefault="009A0B93" w:rsidP="00047411">
      <w:pPr>
        <w:widowControl w:val="0"/>
        <w:numPr>
          <w:ilvl w:val="0"/>
          <w:numId w:val="3"/>
        </w:numPr>
        <w:spacing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eastAsia="Calibri" w:hAnsi="Times New Roman" w:cs="Times New Roman"/>
          <w:color w:val="000000" w:themeColor="text1"/>
          <w:kern w:val="3"/>
          <w:sz w:val="28"/>
          <w:szCs w:val="28"/>
          <w:lang w:eastAsia="ar-SA"/>
        </w:rPr>
        <w:t>Zeleni</w:t>
      </w:r>
      <w:r w:rsidR="00FA2251">
        <w:rPr>
          <w:rFonts w:ascii="Times New Roman" w:eastAsia="Calibri" w:hAnsi="Times New Roman" w:cs="Times New Roman"/>
          <w:color w:val="000000" w:themeColor="text1"/>
          <w:kern w:val="3"/>
          <w:sz w:val="28"/>
          <w:szCs w:val="28"/>
          <w:lang w:val="en-US" w:eastAsia="ar-SA"/>
        </w:rPr>
        <w:t>a</w:t>
      </w:r>
      <w:r w:rsidRPr="00CC7883">
        <w:rPr>
          <w:rFonts w:ascii="Times New Roman" w:eastAsia="Calibri" w:hAnsi="Times New Roman" w:cs="Times New Roman"/>
          <w:color w:val="000000" w:themeColor="text1"/>
          <w:kern w:val="3"/>
          <w:sz w:val="28"/>
          <w:szCs w:val="28"/>
          <w:lang w:eastAsia="ar-SA"/>
        </w:rPr>
        <w:t>nska N. M., Ishchenko I. O., Samofalov M. O. Influence of nutrient media on the physiological parameters of grape microclones.</w:t>
      </w:r>
      <w:r w:rsidR="00FC12FD" w:rsidRPr="00CC7883">
        <w:rPr>
          <w:rFonts w:ascii="Times New Roman" w:eastAsia="Calibri" w:hAnsi="Times New Roman" w:cs="Times New Roman"/>
          <w:color w:val="000000" w:themeColor="text1"/>
          <w:kern w:val="3"/>
          <w:sz w:val="28"/>
          <w:szCs w:val="28"/>
          <w:lang w:eastAsia="ar-SA"/>
        </w:rPr>
        <w:t xml:space="preserve"> </w:t>
      </w:r>
      <w:r w:rsidRPr="00CC7883">
        <w:rPr>
          <w:rFonts w:ascii="Times New Roman" w:eastAsia="Calibri" w:hAnsi="Times New Roman" w:cs="Times New Roman"/>
          <w:i/>
          <w:color w:val="000000" w:themeColor="text1"/>
          <w:kern w:val="3"/>
          <w:sz w:val="28"/>
          <w:szCs w:val="28"/>
          <w:lang w:eastAsia="ar-SA"/>
        </w:rPr>
        <w:t>Scientific Horizons</w:t>
      </w:r>
      <w:r w:rsidRPr="00CC7883">
        <w:rPr>
          <w:rFonts w:ascii="Times New Roman" w:eastAsia="Calibri" w:hAnsi="Times New Roman" w:cs="Times New Roman"/>
          <w:color w:val="000000" w:themeColor="text1"/>
          <w:kern w:val="3"/>
          <w:sz w:val="28"/>
          <w:szCs w:val="28"/>
          <w:lang w:eastAsia="ar-SA"/>
        </w:rPr>
        <w:t>. 2023. Vol. 6,</w:t>
      </w:r>
      <w:r w:rsidR="00543F80" w:rsidRPr="00CC7883">
        <w:rPr>
          <w:rFonts w:ascii="Times New Roman" w:eastAsia="Calibri" w:hAnsi="Times New Roman" w:cs="Times New Roman"/>
          <w:color w:val="000000" w:themeColor="text1"/>
          <w:kern w:val="3"/>
          <w:sz w:val="28"/>
          <w:szCs w:val="28"/>
          <w:lang w:eastAsia="ar-SA"/>
        </w:rPr>
        <w:t xml:space="preserve"> </w:t>
      </w:r>
      <w:r w:rsidRPr="00CC7883">
        <w:rPr>
          <w:rFonts w:ascii="Times New Roman" w:eastAsia="Calibri" w:hAnsi="Times New Roman" w:cs="Times New Roman"/>
          <w:color w:val="000000" w:themeColor="text1"/>
          <w:kern w:val="3"/>
          <w:sz w:val="28"/>
          <w:szCs w:val="28"/>
          <w:lang w:eastAsia="ar-SA"/>
        </w:rPr>
        <w:t xml:space="preserve">No. 26. P. 71–84. </w:t>
      </w:r>
      <w:hyperlink r:id="rId12" w:history="1">
        <w:r w:rsidRPr="00CC7883">
          <w:rPr>
            <w:rFonts w:ascii="Times New Roman" w:eastAsia="Calibri" w:hAnsi="Times New Roman" w:cs="Times New Roman"/>
            <w:color w:val="000000" w:themeColor="text1"/>
            <w:kern w:val="3"/>
            <w:sz w:val="28"/>
            <w:szCs w:val="28"/>
            <w:lang w:eastAsia="ar-SA"/>
          </w:rPr>
          <w:t>DOI: https://doi.org/10.48077/scihor6.2023.7</w:t>
        </w:r>
      </w:hyperlink>
      <w:r w:rsidRPr="00CC7883">
        <w:rPr>
          <w:rFonts w:ascii="Times New Roman" w:eastAsia="Calibri" w:hAnsi="Times New Roman" w:cs="Times New Roman"/>
          <w:color w:val="000000" w:themeColor="text1"/>
          <w:kern w:val="3"/>
          <w:sz w:val="28"/>
          <w:szCs w:val="28"/>
          <w:lang w:eastAsia="ar-SA"/>
        </w:rPr>
        <w:t>.</w:t>
      </w:r>
      <w:r w:rsidR="00FC12FD" w:rsidRPr="00CC7883">
        <w:rPr>
          <w:rFonts w:ascii="Times New Roman" w:eastAsia="Calibri" w:hAnsi="Times New Roman" w:cs="Times New Roman"/>
          <w:color w:val="000000" w:themeColor="text1"/>
          <w:kern w:val="3"/>
          <w:sz w:val="28"/>
          <w:szCs w:val="28"/>
          <w:lang w:eastAsia="ar-SA"/>
        </w:rPr>
        <w:t xml:space="preserve"> </w:t>
      </w:r>
      <w:r w:rsidR="00D33C59" w:rsidRPr="00CC7883">
        <w:rPr>
          <w:rFonts w:ascii="Times New Roman" w:eastAsia="Calibri" w:hAnsi="Times New Roman" w:cs="Times New Roman"/>
          <w:color w:val="000000" w:themeColor="text1"/>
          <w:kern w:val="3"/>
          <w:sz w:val="28"/>
          <w:szCs w:val="28"/>
          <w:lang w:eastAsia="ar-SA"/>
        </w:rPr>
        <w:t>(</w:t>
      </w:r>
      <w:r w:rsidR="00D33C59" w:rsidRPr="00CC7883">
        <w:rPr>
          <w:rFonts w:ascii="Times New Roman" w:eastAsia="Times New Roman" w:hAnsi="Times New Roman"/>
          <w:i/>
          <w:iCs/>
          <w:color w:val="000000" w:themeColor="text1"/>
          <w:sz w:val="28"/>
          <w:szCs w:val="28"/>
          <w:lang w:eastAsia="ru-RU"/>
        </w:rPr>
        <w:t>Особистий внесок Самофалова М. О.</w:t>
      </w:r>
      <w:r w:rsidR="00D33C59" w:rsidRPr="00CC7883">
        <w:rPr>
          <w:rFonts w:ascii="Times New Roman" w:eastAsia="Times New Roman" w:hAnsi="Times New Roman"/>
          <w:color w:val="000000" w:themeColor="text1"/>
          <w:sz w:val="28"/>
          <w:szCs w:val="28"/>
          <w:lang w:eastAsia="ru-RU"/>
        </w:rPr>
        <w:t>:</w:t>
      </w:r>
      <w:r w:rsidR="00D33C59" w:rsidRPr="00CC7883">
        <w:rPr>
          <w:rFonts w:ascii="Times New Roman" w:eastAsia="Calibri" w:hAnsi="Times New Roman" w:cs="Times New Roman"/>
          <w:i/>
          <w:iCs/>
          <w:color w:val="000000" w:themeColor="text1"/>
          <w:kern w:val="0"/>
          <w:sz w:val="28"/>
          <w:szCs w:val="28"/>
        </w:rPr>
        <w:t xml:space="preserve"> аналіз літературних джерел, </w:t>
      </w:r>
      <w:r w:rsidR="00A71CB6" w:rsidRPr="00CC7883">
        <w:rPr>
          <w:rFonts w:ascii="Times New Roman" w:eastAsia="Calibri" w:hAnsi="Times New Roman" w:cs="Times New Roman"/>
          <w:i/>
          <w:iCs/>
          <w:color w:val="000000" w:themeColor="text1"/>
          <w:kern w:val="3"/>
          <w:sz w:val="28"/>
          <w:szCs w:val="28"/>
          <w:lang w:eastAsia="ar-SA"/>
        </w:rPr>
        <w:t>отримання експериментальних даних,</w:t>
      </w:r>
      <w:r w:rsidR="00DA597D" w:rsidRPr="00CC7883">
        <w:rPr>
          <w:rFonts w:ascii="Times New Roman" w:eastAsia="Calibri" w:hAnsi="Times New Roman" w:cs="Times New Roman"/>
          <w:i/>
          <w:iCs/>
          <w:color w:val="000000" w:themeColor="text1"/>
          <w:kern w:val="3"/>
          <w:sz w:val="28"/>
          <w:szCs w:val="28"/>
          <w:lang w:eastAsia="ar-SA"/>
        </w:rPr>
        <w:t xml:space="preserve"> їх</w:t>
      </w:r>
      <w:r w:rsidR="00A71CB6" w:rsidRPr="00CC7883">
        <w:rPr>
          <w:rFonts w:ascii="Times New Roman" w:eastAsia="Calibri" w:hAnsi="Times New Roman" w:cs="Times New Roman"/>
          <w:i/>
          <w:iCs/>
          <w:color w:val="000000" w:themeColor="text1"/>
          <w:kern w:val="3"/>
          <w:sz w:val="28"/>
          <w:szCs w:val="28"/>
          <w:lang w:eastAsia="ar-SA"/>
        </w:rPr>
        <w:t xml:space="preserve"> аналіз та узагальнення</w:t>
      </w:r>
      <w:r w:rsidR="00DA597D" w:rsidRPr="00CC7883">
        <w:rPr>
          <w:rFonts w:ascii="Times New Roman" w:eastAsia="Calibri" w:hAnsi="Times New Roman" w:cs="Times New Roman"/>
          <w:i/>
          <w:iCs/>
          <w:color w:val="000000" w:themeColor="text1"/>
          <w:kern w:val="3"/>
          <w:sz w:val="28"/>
          <w:szCs w:val="28"/>
          <w:lang w:eastAsia="ar-SA"/>
        </w:rPr>
        <w:t xml:space="preserve">, </w:t>
      </w:r>
      <w:r w:rsidR="00D33C59" w:rsidRPr="00CC7883">
        <w:rPr>
          <w:rFonts w:ascii="Times New Roman" w:eastAsia="Calibri" w:hAnsi="Times New Roman" w:cs="Times New Roman"/>
          <w:i/>
          <w:iCs/>
          <w:color w:val="000000" w:themeColor="text1"/>
          <w:kern w:val="3"/>
          <w:sz w:val="28"/>
          <w:szCs w:val="28"/>
          <w:lang w:eastAsia="ar-SA"/>
        </w:rPr>
        <w:t>статистична обробка результатів</w:t>
      </w:r>
      <w:r w:rsidR="00D33C59" w:rsidRPr="00CC7883">
        <w:rPr>
          <w:rFonts w:ascii="Times New Roman" w:eastAsia="Calibri" w:hAnsi="Times New Roman" w:cs="Times New Roman"/>
          <w:iCs/>
          <w:color w:val="000000" w:themeColor="text1"/>
          <w:kern w:val="3"/>
          <w:sz w:val="28"/>
          <w:szCs w:val="28"/>
          <w:lang w:eastAsia="ar-SA"/>
        </w:rPr>
        <w:t>)</w:t>
      </w:r>
      <w:r w:rsidR="00A71CB6" w:rsidRPr="00CC7883">
        <w:rPr>
          <w:rFonts w:ascii="Times New Roman" w:eastAsia="Calibri" w:hAnsi="Times New Roman" w:cs="Times New Roman"/>
          <w:i/>
          <w:iCs/>
          <w:color w:val="000000" w:themeColor="text1"/>
          <w:kern w:val="3"/>
          <w:sz w:val="28"/>
          <w:szCs w:val="28"/>
          <w:lang w:eastAsia="ar-SA"/>
        </w:rPr>
        <w:t>.</w:t>
      </w:r>
    </w:p>
    <w:p w:rsidR="009A0B93" w:rsidRPr="00CC7883" w:rsidRDefault="009A0B93" w:rsidP="00047411">
      <w:pPr>
        <w:widowControl w:val="0"/>
        <w:spacing w:after="0" w:line="360" w:lineRule="auto"/>
        <w:ind w:left="720"/>
        <w:contextualSpacing/>
        <w:rPr>
          <w:rFonts w:ascii="Times New Roman" w:eastAsia="Calibri" w:hAnsi="Times New Roman" w:cs="Times New Roman"/>
          <w:b/>
          <w:color w:val="000000" w:themeColor="text1"/>
          <w:kern w:val="0"/>
          <w:sz w:val="28"/>
          <w:szCs w:val="28"/>
        </w:rPr>
      </w:pPr>
    </w:p>
    <w:p w:rsidR="009A0B93" w:rsidRPr="00CC7883" w:rsidRDefault="009A0B93" w:rsidP="00047411">
      <w:pPr>
        <w:widowControl w:val="0"/>
        <w:spacing w:after="0" w:line="360"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lastRenderedPageBreak/>
        <w:t>Статті в іншому науковому виданні</w:t>
      </w:r>
    </w:p>
    <w:p w:rsidR="00D33C59" w:rsidRPr="00CC7883" w:rsidRDefault="009A0B93" w:rsidP="00047411">
      <w:pPr>
        <w:pStyle w:val="a7"/>
        <w:widowControl w:val="0"/>
        <w:numPr>
          <w:ilvl w:val="0"/>
          <w:numId w:val="3"/>
        </w:numPr>
        <w:spacing w:after="0" w:line="360" w:lineRule="auto"/>
        <w:ind w:left="0" w:firstLine="0"/>
        <w:jc w:val="both"/>
        <w:rPr>
          <w:rFonts w:ascii="Times New Roman" w:eastAsia="Calibri" w:hAnsi="Times New Roman" w:cs="Times New Roman"/>
          <w:i/>
          <w:iCs/>
          <w:color w:val="000000" w:themeColor="text1"/>
          <w:kern w:val="0"/>
          <w:sz w:val="28"/>
          <w:szCs w:val="28"/>
        </w:rPr>
      </w:pPr>
      <w:r w:rsidRPr="00CC7883">
        <w:rPr>
          <w:rFonts w:ascii="Times New Roman" w:eastAsia="Calibri" w:hAnsi="Times New Roman" w:cs="Times New Roman"/>
          <w:color w:val="000000" w:themeColor="text1"/>
          <w:kern w:val="0"/>
          <w:sz w:val="28"/>
          <w:szCs w:val="28"/>
        </w:rPr>
        <w:t>Zelenianskaya N. N., Samofalov M. O. Manifestation of the regenerative ability of rootstock and technical variety of grapes (</w:t>
      </w:r>
      <w:r w:rsidRPr="00CC7883">
        <w:rPr>
          <w:rFonts w:ascii="Times New Roman" w:eastAsia="Calibri" w:hAnsi="Times New Roman" w:cs="Times New Roman"/>
          <w:i/>
          <w:color w:val="000000" w:themeColor="text1"/>
          <w:kern w:val="0"/>
          <w:sz w:val="28"/>
          <w:szCs w:val="28"/>
        </w:rPr>
        <w:t xml:space="preserve">Vitis vinifera </w:t>
      </w:r>
      <w:r w:rsidRPr="00CC7883">
        <w:rPr>
          <w:rFonts w:ascii="Times New Roman" w:eastAsia="Calibri" w:hAnsi="Times New Roman" w:cs="Times New Roman"/>
          <w:color w:val="000000" w:themeColor="text1"/>
          <w:kern w:val="0"/>
          <w:sz w:val="28"/>
          <w:szCs w:val="28"/>
        </w:rPr>
        <w:t xml:space="preserve">L.) on mineral substrates </w:t>
      </w:r>
      <w:r w:rsidR="00B9680A" w:rsidRPr="00CC7883">
        <w:rPr>
          <w:rFonts w:ascii="Times New Roman" w:hAnsi="Times New Roman" w:cs="Times New Roman"/>
          <w:i/>
          <w:color w:val="000000" w:themeColor="text1"/>
          <w:sz w:val="28"/>
        </w:rPr>
        <w:t>in vitro</w:t>
      </w:r>
      <w:r w:rsidRPr="00CC7883">
        <w:rPr>
          <w:rFonts w:ascii="Times New Roman" w:eastAsia="Calibri" w:hAnsi="Times New Roman" w:cs="Times New Roman"/>
          <w:color w:val="000000" w:themeColor="text1"/>
          <w:kern w:val="0"/>
          <w:sz w:val="28"/>
          <w:szCs w:val="28"/>
        </w:rPr>
        <w:t xml:space="preserve"> conditions. </w:t>
      </w:r>
      <w:r w:rsidRPr="00CC7883">
        <w:rPr>
          <w:rFonts w:ascii="Times New Roman" w:eastAsia="Calibri" w:hAnsi="Times New Roman" w:cs="Times New Roman"/>
          <w:i/>
          <w:color w:val="000000" w:themeColor="text1"/>
          <w:kern w:val="0"/>
          <w:sz w:val="28"/>
          <w:szCs w:val="28"/>
        </w:rPr>
        <w:t>Colloquium-journal</w:t>
      </w:r>
      <w:r w:rsidRPr="00CC7883">
        <w:rPr>
          <w:rFonts w:ascii="Times New Roman" w:eastAsia="Calibri" w:hAnsi="Times New Roman" w:cs="Times New Roman"/>
          <w:color w:val="000000" w:themeColor="text1"/>
          <w:kern w:val="0"/>
          <w:sz w:val="28"/>
          <w:szCs w:val="28"/>
        </w:rPr>
        <w:t xml:space="preserve">. 2022. Vol. 19, No. 142. P. 34–37. DOI: </w:t>
      </w:r>
      <w:hyperlink r:id="rId13" w:history="1">
        <w:r w:rsidR="00A71CB6" w:rsidRPr="00CC7883">
          <w:rPr>
            <w:rStyle w:val="af3"/>
            <w:rFonts w:ascii="Times New Roman" w:eastAsia="Calibri" w:hAnsi="Times New Roman" w:cs="Times New Roman"/>
            <w:color w:val="000000" w:themeColor="text1"/>
            <w:kern w:val="0"/>
            <w:sz w:val="28"/>
            <w:szCs w:val="28"/>
            <w:u w:val="none"/>
          </w:rPr>
          <w:t>https://doi.org/10.24412/2520-6990-2022-19142-34-37</w:t>
        </w:r>
      </w:hyperlink>
      <w:r w:rsidRPr="00CC7883">
        <w:rPr>
          <w:rFonts w:ascii="Times New Roman" w:eastAsia="Calibri" w:hAnsi="Times New Roman" w:cs="Times New Roman"/>
          <w:color w:val="000000" w:themeColor="text1"/>
          <w:kern w:val="0"/>
          <w:sz w:val="28"/>
          <w:szCs w:val="28"/>
        </w:rPr>
        <w:t>.</w:t>
      </w:r>
      <w:r w:rsidR="00FC12FD" w:rsidRPr="00CC7883">
        <w:rPr>
          <w:rFonts w:ascii="Times New Roman" w:eastAsia="Calibri" w:hAnsi="Times New Roman" w:cs="Times New Roman"/>
          <w:color w:val="000000" w:themeColor="text1"/>
          <w:kern w:val="0"/>
          <w:sz w:val="28"/>
          <w:szCs w:val="28"/>
        </w:rPr>
        <w:t xml:space="preserve"> </w:t>
      </w:r>
      <w:r w:rsidR="00D33C59" w:rsidRPr="00CC7883">
        <w:rPr>
          <w:rFonts w:ascii="Times New Roman" w:eastAsia="Calibri" w:hAnsi="Times New Roman" w:cs="Times New Roman"/>
          <w:color w:val="000000" w:themeColor="text1"/>
          <w:kern w:val="0"/>
          <w:sz w:val="28"/>
          <w:szCs w:val="28"/>
        </w:rPr>
        <w:t>(</w:t>
      </w:r>
      <w:r w:rsidR="00D33C59" w:rsidRPr="00CC7883">
        <w:rPr>
          <w:rFonts w:ascii="Times New Roman" w:eastAsia="Times New Roman" w:hAnsi="Times New Roman"/>
          <w:i/>
          <w:iCs/>
          <w:color w:val="000000" w:themeColor="text1"/>
          <w:sz w:val="28"/>
          <w:szCs w:val="28"/>
          <w:lang w:eastAsia="ru-RU"/>
        </w:rPr>
        <w:t>Особистий внесок Самофалова М. О.</w:t>
      </w:r>
      <w:r w:rsidR="00D33C59" w:rsidRPr="00CC7883">
        <w:rPr>
          <w:rFonts w:ascii="Times New Roman" w:eastAsia="Times New Roman" w:hAnsi="Times New Roman"/>
          <w:color w:val="000000" w:themeColor="text1"/>
          <w:sz w:val="28"/>
          <w:szCs w:val="28"/>
          <w:lang w:eastAsia="ru-RU"/>
        </w:rPr>
        <w:t>:</w:t>
      </w:r>
      <w:r w:rsidR="00D33C59" w:rsidRPr="00CC7883">
        <w:rPr>
          <w:rFonts w:ascii="Times New Roman" w:eastAsia="Calibri" w:hAnsi="Times New Roman" w:cs="Times New Roman"/>
          <w:i/>
          <w:iCs/>
          <w:color w:val="000000" w:themeColor="text1"/>
          <w:kern w:val="0"/>
          <w:sz w:val="28"/>
          <w:szCs w:val="28"/>
        </w:rPr>
        <w:t xml:space="preserve"> отримання експериментальних даних, </w:t>
      </w:r>
      <w:r w:rsidR="00DA597D" w:rsidRPr="00CC7883">
        <w:rPr>
          <w:rFonts w:ascii="Times New Roman" w:eastAsia="Calibri" w:hAnsi="Times New Roman" w:cs="Times New Roman"/>
          <w:i/>
          <w:iCs/>
          <w:color w:val="000000" w:themeColor="text1"/>
          <w:kern w:val="0"/>
          <w:sz w:val="28"/>
          <w:szCs w:val="28"/>
        </w:rPr>
        <w:t xml:space="preserve">їх </w:t>
      </w:r>
      <w:r w:rsidR="00D33C59" w:rsidRPr="00CC7883">
        <w:rPr>
          <w:rFonts w:ascii="Times New Roman" w:eastAsia="Calibri" w:hAnsi="Times New Roman" w:cs="Times New Roman"/>
          <w:i/>
          <w:iCs/>
          <w:color w:val="000000" w:themeColor="text1"/>
          <w:kern w:val="0"/>
          <w:sz w:val="28"/>
          <w:szCs w:val="28"/>
        </w:rPr>
        <w:t>аналіз та узагальнення, написання статті).</w:t>
      </w:r>
    </w:p>
    <w:p w:rsidR="00266A25" w:rsidRPr="00CC7883" w:rsidRDefault="00266A25" w:rsidP="00047411">
      <w:pPr>
        <w:widowControl w:val="0"/>
        <w:spacing w:after="0" w:line="360" w:lineRule="auto"/>
        <w:jc w:val="both"/>
        <w:rPr>
          <w:rFonts w:ascii="Times New Roman" w:eastAsia="Calibri" w:hAnsi="Times New Roman" w:cs="Times New Roman"/>
          <w:color w:val="000000" w:themeColor="text1"/>
          <w:kern w:val="0"/>
          <w:sz w:val="28"/>
          <w:szCs w:val="28"/>
        </w:rPr>
      </w:pPr>
    </w:p>
    <w:p w:rsidR="009A0B93" w:rsidRPr="00CC7883" w:rsidRDefault="009A0B93" w:rsidP="00047411">
      <w:pPr>
        <w:widowControl w:val="0"/>
        <w:spacing w:after="0" w:line="360"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Наукові праці, які засвідчують апробацію матеріалів дисертації</w:t>
      </w:r>
    </w:p>
    <w:p w:rsidR="00DA597D" w:rsidRPr="00CC7883" w:rsidRDefault="009813CB" w:rsidP="00047411">
      <w:pPr>
        <w:widowControl w:val="0"/>
        <w:numPr>
          <w:ilvl w:val="0"/>
          <w:numId w:val="3"/>
        </w:numPr>
        <w:spacing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hAnsi="Times New Roman"/>
          <w:color w:val="000000" w:themeColor="text1"/>
          <w:sz w:val="28"/>
          <w:szCs w:val="28"/>
        </w:rPr>
        <w:t xml:space="preserve">Зеленянська Н. М., Самофалов М. О. Визначення основних фізіолого-біохімічних показників мікроклонів винограду. </w:t>
      </w:r>
      <w:r w:rsidRPr="00CC7883">
        <w:rPr>
          <w:rFonts w:ascii="Times New Roman" w:hAnsi="Times New Roman"/>
          <w:i/>
          <w:color w:val="000000" w:themeColor="text1"/>
          <w:sz w:val="28"/>
          <w:szCs w:val="28"/>
        </w:rPr>
        <w:t>Розвиток наукових міжгалузевих досліджень</w:t>
      </w:r>
      <w:r w:rsidRPr="00CC7883">
        <w:rPr>
          <w:rFonts w:ascii="Times New Roman" w:hAnsi="Times New Roman"/>
          <w:color w:val="000000" w:themeColor="text1"/>
          <w:sz w:val="28"/>
          <w:szCs w:val="28"/>
        </w:rPr>
        <w:t xml:space="preserve"> : матеріали наук.-практ. конф., (Вінниця, 26–27 листопада 2021 р.). Херсон, 2021. С. 32–35. URL:</w:t>
      </w:r>
      <w:r w:rsidRPr="00CC7883">
        <w:rPr>
          <w:color w:val="000000" w:themeColor="text1"/>
        </w:rPr>
        <w:t xml:space="preserve"> </w:t>
      </w:r>
      <w:hyperlink r:id="rId14" w:history="1">
        <w:r w:rsidR="00991E95" w:rsidRPr="00CC7883">
          <w:rPr>
            <w:rStyle w:val="af3"/>
            <w:rFonts w:ascii="Times New Roman" w:hAnsi="Times New Roman"/>
            <w:color w:val="000000" w:themeColor="text1"/>
            <w:sz w:val="28"/>
            <w:szCs w:val="28"/>
            <w:u w:val="none"/>
          </w:rPr>
          <w:t>http://molodyvcheny.in.ua/ua/conf/sociol/archive/1622/</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DA597D" w:rsidRPr="00CC7883">
        <w:rPr>
          <w:rFonts w:ascii="Times New Roman" w:eastAsia="Calibri" w:hAnsi="Times New Roman" w:cs="Times New Roman"/>
          <w:color w:val="000000" w:themeColor="text1"/>
          <w:kern w:val="3"/>
          <w:sz w:val="28"/>
          <w:szCs w:val="28"/>
          <w:lang w:eastAsia="ar-SA"/>
        </w:rPr>
        <w:t>(</w:t>
      </w:r>
      <w:r w:rsidR="00DA597D" w:rsidRPr="00CC7883">
        <w:rPr>
          <w:rFonts w:ascii="Times New Roman" w:eastAsia="Times New Roman" w:hAnsi="Times New Roman"/>
          <w:i/>
          <w:iCs/>
          <w:color w:val="000000" w:themeColor="text1"/>
          <w:sz w:val="28"/>
          <w:szCs w:val="28"/>
          <w:lang w:eastAsia="ru-RU"/>
        </w:rPr>
        <w:t>Особистий внесок Самофалова М. О.</w:t>
      </w:r>
      <w:r w:rsidR="00DA597D" w:rsidRPr="00CC7883">
        <w:rPr>
          <w:rFonts w:ascii="Times New Roman" w:eastAsia="Times New Roman" w:hAnsi="Times New Roman"/>
          <w:color w:val="000000" w:themeColor="text1"/>
          <w:sz w:val="28"/>
          <w:szCs w:val="28"/>
          <w:lang w:eastAsia="ru-RU"/>
        </w:rPr>
        <w:t>:</w:t>
      </w:r>
      <w:r w:rsidR="00DA597D" w:rsidRPr="00CC7883">
        <w:rPr>
          <w:rFonts w:ascii="Times New Roman" w:eastAsia="Calibri" w:hAnsi="Times New Roman" w:cs="Times New Roman"/>
          <w:i/>
          <w:iCs/>
          <w:color w:val="000000" w:themeColor="text1"/>
          <w:kern w:val="0"/>
          <w:sz w:val="28"/>
          <w:szCs w:val="28"/>
        </w:rPr>
        <w:t xml:space="preserve"> аналіз літературних джерел, </w:t>
      </w:r>
      <w:r w:rsidR="00DA597D" w:rsidRPr="00CC7883">
        <w:rPr>
          <w:rFonts w:ascii="Times New Roman" w:eastAsia="Calibri" w:hAnsi="Times New Roman" w:cs="Times New Roman"/>
          <w:i/>
          <w:iCs/>
          <w:color w:val="000000" w:themeColor="text1"/>
          <w:kern w:val="3"/>
          <w:sz w:val="28"/>
          <w:szCs w:val="28"/>
          <w:lang w:eastAsia="ar-SA"/>
        </w:rPr>
        <w:t>отримання експериментальних даних, їх аналіз та узагальнення</w:t>
      </w:r>
      <w:r w:rsidR="00DA597D" w:rsidRPr="00CC7883">
        <w:rPr>
          <w:rFonts w:ascii="Times New Roman" w:eastAsia="Calibri" w:hAnsi="Times New Roman" w:cs="Times New Roman"/>
          <w:iCs/>
          <w:color w:val="000000" w:themeColor="text1"/>
          <w:kern w:val="3"/>
          <w:sz w:val="28"/>
          <w:szCs w:val="28"/>
          <w:lang w:eastAsia="ar-SA"/>
        </w:rPr>
        <w:t>)</w:t>
      </w:r>
      <w:r w:rsidR="00DA597D" w:rsidRPr="00CC7883">
        <w:rPr>
          <w:rFonts w:ascii="Times New Roman" w:eastAsia="Calibri" w:hAnsi="Times New Roman" w:cs="Times New Roman"/>
          <w:i/>
          <w:iCs/>
          <w:color w:val="000000" w:themeColor="text1"/>
          <w:kern w:val="3"/>
          <w:sz w:val="28"/>
          <w:szCs w:val="28"/>
          <w:lang w:eastAsia="ar-SA"/>
        </w:rPr>
        <w:t>.</w:t>
      </w:r>
    </w:p>
    <w:p w:rsidR="00DA597D" w:rsidRPr="00CC7883" w:rsidRDefault="009813CB" w:rsidP="00047411">
      <w:pPr>
        <w:widowControl w:val="0"/>
        <w:numPr>
          <w:ilvl w:val="0"/>
          <w:numId w:val="3"/>
        </w:numPr>
        <w:spacing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hAnsi="Times New Roman"/>
          <w:color w:val="000000" w:themeColor="text1"/>
          <w:sz w:val="28"/>
          <w:szCs w:val="28"/>
        </w:rPr>
        <w:t xml:space="preserve">Зеленянська Н. М., Самофалов М. О. Особливості росту та розвитку мікроклонів винограду на модифікованих поживних середовищах. </w:t>
      </w:r>
      <w:r w:rsidRPr="00CC7883">
        <w:rPr>
          <w:rFonts w:ascii="Times New Roman" w:hAnsi="Times New Roman"/>
          <w:i/>
          <w:color w:val="000000" w:themeColor="text1"/>
          <w:sz w:val="28"/>
          <w:szCs w:val="28"/>
        </w:rPr>
        <w:t>The Globalization of Scientific Knowledge</w:t>
      </w:r>
      <w:r w:rsidRPr="00CC7883">
        <w:rPr>
          <w:rFonts w:ascii="Times New Roman" w:hAnsi="Times New Roman"/>
          <w:color w:val="000000" w:themeColor="text1"/>
          <w:sz w:val="28"/>
          <w:szCs w:val="28"/>
        </w:rPr>
        <w:t xml:space="preserve"> : Theoretical and Practical Research : conf. proceedings. (Рига, 17–18 грудня 2021 р.). Рига, 2021. С. 15–19. DOI: </w:t>
      </w:r>
      <w:hyperlink r:id="rId15" w:history="1">
        <w:r w:rsidR="00991E95" w:rsidRPr="00CC7883">
          <w:rPr>
            <w:rStyle w:val="af3"/>
            <w:rFonts w:ascii="Times New Roman" w:hAnsi="Times New Roman"/>
            <w:color w:val="000000" w:themeColor="text1"/>
            <w:sz w:val="28"/>
            <w:szCs w:val="28"/>
            <w:u w:val="none"/>
          </w:rPr>
          <w:t>https://doi.org/10.30525/978-9934-26-164-0-5</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DA597D" w:rsidRPr="00CC7883">
        <w:rPr>
          <w:rFonts w:ascii="Times New Roman" w:eastAsia="Calibri" w:hAnsi="Times New Roman" w:cs="Times New Roman"/>
          <w:color w:val="000000" w:themeColor="text1"/>
          <w:kern w:val="3"/>
          <w:sz w:val="28"/>
          <w:szCs w:val="28"/>
          <w:lang w:eastAsia="ar-SA"/>
        </w:rPr>
        <w:t>(</w:t>
      </w:r>
      <w:r w:rsidR="00DA597D" w:rsidRPr="00CC7883">
        <w:rPr>
          <w:rFonts w:ascii="Times New Roman" w:eastAsia="Times New Roman" w:hAnsi="Times New Roman"/>
          <w:i/>
          <w:iCs/>
          <w:color w:val="000000" w:themeColor="text1"/>
          <w:sz w:val="28"/>
          <w:szCs w:val="28"/>
          <w:lang w:eastAsia="ru-RU"/>
        </w:rPr>
        <w:t xml:space="preserve">Особистий внесок Самофалова М. О. </w:t>
      </w:r>
      <w:r w:rsidR="00DA597D" w:rsidRPr="00CC7883">
        <w:rPr>
          <w:rFonts w:ascii="Times New Roman" w:eastAsia="Times New Roman" w:hAnsi="Times New Roman"/>
          <w:color w:val="000000" w:themeColor="text1"/>
          <w:sz w:val="28"/>
          <w:szCs w:val="28"/>
          <w:lang w:eastAsia="ru-RU"/>
        </w:rPr>
        <w:t>:</w:t>
      </w:r>
      <w:r w:rsidR="00DA597D" w:rsidRPr="00CC7883">
        <w:rPr>
          <w:rFonts w:ascii="Times New Roman" w:eastAsia="Calibri" w:hAnsi="Times New Roman" w:cs="Times New Roman"/>
          <w:i/>
          <w:iCs/>
          <w:color w:val="000000" w:themeColor="text1"/>
          <w:kern w:val="0"/>
          <w:sz w:val="28"/>
          <w:szCs w:val="28"/>
        </w:rPr>
        <w:t xml:space="preserve"> аналіз літературних джерел, </w:t>
      </w:r>
      <w:r w:rsidR="00DA597D" w:rsidRPr="00CC7883">
        <w:rPr>
          <w:rFonts w:ascii="Times New Roman" w:eastAsia="Calibri" w:hAnsi="Times New Roman" w:cs="Times New Roman"/>
          <w:i/>
          <w:iCs/>
          <w:color w:val="000000" w:themeColor="text1"/>
          <w:kern w:val="3"/>
          <w:sz w:val="28"/>
          <w:szCs w:val="28"/>
          <w:lang w:eastAsia="ar-SA"/>
        </w:rPr>
        <w:t xml:space="preserve">отримання експериментальних даних, їх аналіз та узагальнення, </w:t>
      </w:r>
      <w:r w:rsidR="00DA597D" w:rsidRPr="00CC7883">
        <w:rPr>
          <w:rFonts w:ascii="Times New Roman" w:eastAsia="Arial Unicode MS" w:hAnsi="Times New Roman"/>
          <w:i/>
          <w:iCs/>
          <w:color w:val="000000" w:themeColor="text1"/>
          <w:kern w:val="1"/>
          <w:sz w:val="28"/>
          <w:szCs w:val="28"/>
          <w:lang w:eastAsia="ar-SA"/>
        </w:rPr>
        <w:t>підготовка матеріалу до публікації</w:t>
      </w:r>
      <w:r w:rsidR="00DA597D" w:rsidRPr="00CC7883">
        <w:rPr>
          <w:rFonts w:ascii="Times New Roman" w:eastAsia="Calibri" w:hAnsi="Times New Roman" w:cs="Times New Roman"/>
          <w:iCs/>
          <w:color w:val="000000" w:themeColor="text1"/>
          <w:kern w:val="3"/>
          <w:sz w:val="28"/>
          <w:szCs w:val="28"/>
          <w:lang w:eastAsia="ar-SA"/>
        </w:rPr>
        <w:t>)</w:t>
      </w:r>
      <w:r w:rsidR="00DA597D" w:rsidRPr="00CC7883">
        <w:rPr>
          <w:rFonts w:ascii="Times New Roman" w:eastAsia="Calibri" w:hAnsi="Times New Roman" w:cs="Times New Roman"/>
          <w:i/>
          <w:iCs/>
          <w:color w:val="000000" w:themeColor="text1"/>
          <w:kern w:val="3"/>
          <w:sz w:val="28"/>
          <w:szCs w:val="28"/>
          <w:lang w:eastAsia="ar-SA"/>
        </w:rPr>
        <w:t>.</w:t>
      </w:r>
    </w:p>
    <w:p w:rsidR="00DA597D" w:rsidRPr="00CC7883" w:rsidRDefault="009813CB" w:rsidP="00047411">
      <w:pPr>
        <w:widowControl w:val="0"/>
        <w:numPr>
          <w:ilvl w:val="0"/>
          <w:numId w:val="3"/>
        </w:numPr>
        <w:spacing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hAnsi="Times New Roman"/>
          <w:color w:val="000000" w:themeColor="text1"/>
          <w:sz w:val="28"/>
          <w:szCs w:val="28"/>
        </w:rPr>
        <w:t xml:space="preserve">Зеленянська Н. М., Самофалов М. О. Регенераційний потенціал різних сортів винограду в культурі тканин і органів </w:t>
      </w:r>
      <w:r w:rsidRPr="00CC7883">
        <w:rPr>
          <w:rFonts w:ascii="Times New Roman" w:hAnsi="Times New Roman"/>
          <w:i/>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The latest scientific achievements in the modern agro-industrial complex</w:t>
      </w:r>
      <w:r w:rsidRPr="00CC7883">
        <w:rPr>
          <w:rFonts w:ascii="Times New Roman" w:hAnsi="Times New Roman"/>
          <w:color w:val="000000" w:themeColor="text1"/>
          <w:sz w:val="28"/>
          <w:szCs w:val="28"/>
        </w:rPr>
        <w:t xml:space="preserve"> : conf. proceedings. (Люблін, 28–29 грудня 2021 р.). Рига, 2021. С. 52–56. DOI: </w:t>
      </w:r>
      <w:hyperlink r:id="rId16" w:history="1">
        <w:r w:rsidR="00991E95" w:rsidRPr="00CC7883">
          <w:rPr>
            <w:rStyle w:val="af3"/>
            <w:rFonts w:ascii="Times New Roman" w:hAnsi="Times New Roman"/>
            <w:color w:val="000000" w:themeColor="text1"/>
            <w:sz w:val="28"/>
            <w:szCs w:val="28"/>
            <w:u w:val="none"/>
          </w:rPr>
          <w:t>https://doi.org/10.30525/978-9934-26-184-8-12</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DA597D" w:rsidRPr="00CC7883">
        <w:rPr>
          <w:rFonts w:ascii="Times New Roman" w:eastAsia="Calibri" w:hAnsi="Times New Roman" w:cs="Times New Roman"/>
          <w:color w:val="000000" w:themeColor="text1"/>
          <w:kern w:val="3"/>
          <w:sz w:val="28"/>
          <w:szCs w:val="28"/>
          <w:lang w:eastAsia="ar-SA"/>
        </w:rPr>
        <w:t>(</w:t>
      </w:r>
      <w:r w:rsidR="00DA597D" w:rsidRPr="00CC7883">
        <w:rPr>
          <w:rFonts w:ascii="Times New Roman" w:eastAsia="Times New Roman" w:hAnsi="Times New Roman"/>
          <w:i/>
          <w:iCs/>
          <w:color w:val="000000" w:themeColor="text1"/>
          <w:sz w:val="28"/>
          <w:szCs w:val="28"/>
          <w:lang w:eastAsia="ru-RU"/>
        </w:rPr>
        <w:t>Особистий внесок Самофалова М. О.</w:t>
      </w:r>
      <w:r w:rsidR="00DA597D" w:rsidRPr="00CC7883">
        <w:rPr>
          <w:rFonts w:ascii="Times New Roman" w:eastAsia="Times New Roman" w:hAnsi="Times New Roman"/>
          <w:color w:val="000000" w:themeColor="text1"/>
          <w:sz w:val="28"/>
          <w:szCs w:val="28"/>
          <w:lang w:eastAsia="ru-RU"/>
        </w:rPr>
        <w:t>:</w:t>
      </w:r>
      <w:r w:rsidR="00DA597D" w:rsidRPr="00CC7883">
        <w:rPr>
          <w:rFonts w:ascii="Times New Roman" w:eastAsia="Calibri" w:hAnsi="Times New Roman" w:cs="Times New Roman"/>
          <w:i/>
          <w:iCs/>
          <w:color w:val="000000" w:themeColor="text1"/>
          <w:kern w:val="0"/>
          <w:sz w:val="28"/>
          <w:szCs w:val="28"/>
        </w:rPr>
        <w:t xml:space="preserve"> аналіз літературних джерел, </w:t>
      </w:r>
      <w:r w:rsidR="00DA597D" w:rsidRPr="00CC7883">
        <w:rPr>
          <w:rFonts w:ascii="Times New Roman" w:eastAsia="Calibri" w:hAnsi="Times New Roman" w:cs="Times New Roman"/>
          <w:i/>
          <w:iCs/>
          <w:color w:val="000000" w:themeColor="text1"/>
          <w:kern w:val="3"/>
          <w:sz w:val="28"/>
          <w:szCs w:val="28"/>
          <w:lang w:eastAsia="ar-SA"/>
        </w:rPr>
        <w:t xml:space="preserve">отримання експериментальних даних, їх аналіз та узагальнення, </w:t>
      </w:r>
      <w:r w:rsidR="00DA597D" w:rsidRPr="00CC7883">
        <w:rPr>
          <w:rFonts w:ascii="Times New Roman" w:eastAsia="Arial Unicode MS" w:hAnsi="Times New Roman"/>
          <w:i/>
          <w:iCs/>
          <w:color w:val="000000" w:themeColor="text1"/>
          <w:kern w:val="1"/>
          <w:sz w:val="28"/>
          <w:szCs w:val="28"/>
          <w:lang w:eastAsia="ar-SA"/>
        </w:rPr>
        <w:t>підготовка матеріалу до публікації</w:t>
      </w:r>
      <w:r w:rsidR="00DA597D" w:rsidRPr="00CC7883">
        <w:rPr>
          <w:rFonts w:ascii="Times New Roman" w:eastAsia="Calibri" w:hAnsi="Times New Roman" w:cs="Times New Roman"/>
          <w:iCs/>
          <w:color w:val="000000" w:themeColor="text1"/>
          <w:kern w:val="3"/>
          <w:sz w:val="28"/>
          <w:szCs w:val="28"/>
          <w:lang w:eastAsia="ar-SA"/>
        </w:rPr>
        <w:t>)</w:t>
      </w:r>
      <w:r w:rsidR="00DA597D" w:rsidRPr="00CC7883">
        <w:rPr>
          <w:rFonts w:ascii="Times New Roman" w:eastAsia="Calibri" w:hAnsi="Times New Roman" w:cs="Times New Roman"/>
          <w:i/>
          <w:iCs/>
          <w:color w:val="000000" w:themeColor="text1"/>
          <w:kern w:val="3"/>
          <w:sz w:val="28"/>
          <w:szCs w:val="28"/>
          <w:lang w:eastAsia="ar-SA"/>
        </w:rPr>
        <w:t>.</w:t>
      </w:r>
    </w:p>
    <w:p w:rsidR="00DA597D" w:rsidRPr="00CC7883" w:rsidRDefault="009813CB" w:rsidP="00047411">
      <w:pPr>
        <w:widowControl w:val="0"/>
        <w:numPr>
          <w:ilvl w:val="0"/>
          <w:numId w:val="3"/>
        </w:numPr>
        <w:spacing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hAnsi="Times New Roman"/>
          <w:color w:val="000000" w:themeColor="text1"/>
          <w:sz w:val="28"/>
          <w:szCs w:val="28"/>
        </w:rPr>
        <w:lastRenderedPageBreak/>
        <w:t xml:space="preserve">Зеленянська Н. М., Самофалов М. О. Визначення регенераційної здатності винограду </w:t>
      </w:r>
      <w:r w:rsidRPr="00CC7883">
        <w:rPr>
          <w:rFonts w:ascii="Times New Roman" w:hAnsi="Times New Roman"/>
          <w:i/>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International scientific innovations in human life</w:t>
      </w:r>
      <w:r w:rsidRPr="00CC7883">
        <w:rPr>
          <w:rFonts w:ascii="Times New Roman" w:hAnsi="Times New Roman"/>
          <w:color w:val="000000" w:themeColor="text1"/>
          <w:sz w:val="28"/>
          <w:szCs w:val="28"/>
        </w:rPr>
        <w:t xml:space="preserve"> : The 7th Int. sci.-pract. conf. (Манчестер, 19–21 січня 2022 р.). Манчестер, 2022. С. 20–28. URL: </w:t>
      </w:r>
      <w:hyperlink r:id="rId17" w:history="1">
        <w:r w:rsidR="00991E95" w:rsidRPr="00CC7883">
          <w:rPr>
            <w:rStyle w:val="af3"/>
            <w:rFonts w:ascii="Times New Roman" w:hAnsi="Times New Roman"/>
            <w:color w:val="000000" w:themeColor="text1"/>
            <w:sz w:val="28"/>
            <w:szCs w:val="28"/>
            <w:u w:val="none"/>
          </w:rPr>
          <w:t>https://sci-conf.com.ua/wp-content/uploads/2022/01/INTERNATIONAL-SCIENTIFIC-INNOVATIONS-IN-HUMAN-LIFE-19-21.01.22.pdf</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DA597D" w:rsidRPr="00CC7883">
        <w:rPr>
          <w:rFonts w:ascii="Times New Roman" w:eastAsia="Calibri" w:hAnsi="Times New Roman" w:cs="Times New Roman"/>
          <w:color w:val="000000" w:themeColor="text1"/>
          <w:kern w:val="3"/>
          <w:sz w:val="28"/>
          <w:szCs w:val="28"/>
          <w:lang w:eastAsia="ar-SA"/>
        </w:rPr>
        <w:t>(</w:t>
      </w:r>
      <w:r w:rsidR="00DA597D" w:rsidRPr="00CC7883">
        <w:rPr>
          <w:rFonts w:ascii="Times New Roman" w:eastAsia="Times New Roman" w:hAnsi="Times New Roman"/>
          <w:i/>
          <w:iCs/>
          <w:color w:val="000000" w:themeColor="text1"/>
          <w:sz w:val="28"/>
          <w:szCs w:val="28"/>
          <w:lang w:eastAsia="ru-RU"/>
        </w:rPr>
        <w:t>Особистий внесок Самофалова М. О.</w:t>
      </w:r>
      <w:r w:rsidR="00DA597D" w:rsidRPr="00CC7883">
        <w:rPr>
          <w:rFonts w:ascii="Times New Roman" w:eastAsia="Times New Roman" w:hAnsi="Times New Roman"/>
          <w:color w:val="000000" w:themeColor="text1"/>
          <w:sz w:val="28"/>
          <w:szCs w:val="28"/>
          <w:lang w:eastAsia="ru-RU"/>
        </w:rPr>
        <w:t>:</w:t>
      </w:r>
      <w:r w:rsidR="00DA597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вивчення</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наукових</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джерел</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отримання</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та</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обробка</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експериментальних</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даних</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їх</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узагальнення</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підготовка</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результатів</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до</w:t>
      </w:r>
      <w:r w:rsidR="00DE1A4D" w:rsidRPr="00CC7883">
        <w:rPr>
          <w:rFonts w:ascii="Times New Roman" w:eastAsia="Calibri" w:hAnsi="Times New Roman" w:cs="Times New Roman"/>
          <w:i/>
          <w:iCs/>
          <w:color w:val="000000" w:themeColor="text1"/>
          <w:kern w:val="0"/>
          <w:sz w:val="28"/>
          <w:szCs w:val="28"/>
        </w:rPr>
        <w:t xml:space="preserve"> </w:t>
      </w:r>
      <w:r w:rsidR="00DE1A4D" w:rsidRPr="00CC7883">
        <w:rPr>
          <w:rFonts w:ascii="Times New Roman" w:eastAsia="Calibri" w:hAnsi="Times New Roman" w:cs="Times New Roman" w:hint="cs"/>
          <w:i/>
          <w:iCs/>
          <w:color w:val="000000" w:themeColor="text1"/>
          <w:kern w:val="0"/>
          <w:sz w:val="28"/>
          <w:szCs w:val="28"/>
        </w:rPr>
        <w:t>публікації</w:t>
      </w:r>
      <w:r w:rsidR="00DA597D" w:rsidRPr="00CC7883">
        <w:rPr>
          <w:rFonts w:ascii="Times New Roman" w:eastAsia="Calibri" w:hAnsi="Times New Roman" w:cs="Times New Roman"/>
          <w:iCs/>
          <w:color w:val="000000" w:themeColor="text1"/>
          <w:kern w:val="3"/>
          <w:sz w:val="28"/>
          <w:szCs w:val="28"/>
          <w:lang w:eastAsia="ar-SA"/>
        </w:rPr>
        <w:t>)</w:t>
      </w:r>
      <w:r w:rsidR="00DA597D" w:rsidRPr="00CC7883">
        <w:rPr>
          <w:rFonts w:ascii="Times New Roman" w:eastAsia="Calibri" w:hAnsi="Times New Roman" w:cs="Times New Roman"/>
          <w:i/>
          <w:iCs/>
          <w:color w:val="000000" w:themeColor="text1"/>
          <w:kern w:val="3"/>
          <w:sz w:val="28"/>
          <w:szCs w:val="28"/>
          <w:lang w:eastAsia="ar-SA"/>
        </w:rPr>
        <w:t>.</w:t>
      </w:r>
    </w:p>
    <w:p w:rsidR="00DA597D" w:rsidRPr="00CC7883" w:rsidRDefault="009813CB" w:rsidP="00047411">
      <w:pPr>
        <w:widowControl w:val="0"/>
        <w:numPr>
          <w:ilvl w:val="0"/>
          <w:numId w:val="3"/>
        </w:numPr>
        <w:spacing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hAnsi="Times New Roman"/>
          <w:color w:val="000000" w:themeColor="text1"/>
          <w:sz w:val="28"/>
          <w:szCs w:val="28"/>
        </w:rPr>
        <w:t xml:space="preserve">Зеленянська Н. М., Самофалов М. О. Вплив модифікованого поживного середовища на розвиток вегетативної маси мікроклонів винограду. </w:t>
      </w:r>
      <w:r w:rsidRPr="00CC7883">
        <w:rPr>
          <w:rFonts w:ascii="Times New Roman" w:hAnsi="Times New Roman"/>
          <w:i/>
          <w:color w:val="000000" w:themeColor="text1"/>
          <w:sz w:val="28"/>
          <w:szCs w:val="28"/>
        </w:rPr>
        <w:t>InterConf. Scientific Collection, (101)</w:t>
      </w:r>
      <w:r w:rsidRPr="00CC7883">
        <w:rPr>
          <w:rFonts w:ascii="Times New Roman" w:hAnsi="Times New Roman"/>
          <w:color w:val="000000" w:themeColor="text1"/>
          <w:sz w:val="28"/>
          <w:szCs w:val="28"/>
        </w:rPr>
        <w:t xml:space="preserve"> : with the Proceedings of the 11th Int. sci.-pract. conf. «Scientific Research in XXI Century». (Копенгаген, 26–28 лютня 2022 р.). Копенгаген, 2022. С. 868–876. URL: </w:t>
      </w:r>
      <w:hyperlink r:id="rId18" w:history="1">
        <w:r w:rsidR="00991E95" w:rsidRPr="00CC7883">
          <w:rPr>
            <w:rStyle w:val="af3"/>
            <w:rFonts w:ascii="Times New Roman" w:hAnsi="Times New Roman"/>
            <w:color w:val="000000" w:themeColor="text1"/>
            <w:sz w:val="28"/>
            <w:szCs w:val="28"/>
            <w:u w:val="none"/>
          </w:rPr>
          <w:t>https://ojs.ukrlogos.in.ua/index.php/interconf/issue/view/26-28.02.2022/720</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DA597D" w:rsidRPr="00CC7883">
        <w:rPr>
          <w:rFonts w:ascii="Times New Roman" w:eastAsia="Calibri" w:hAnsi="Times New Roman" w:cs="Times New Roman"/>
          <w:color w:val="000000" w:themeColor="text1"/>
          <w:kern w:val="3"/>
          <w:sz w:val="28"/>
          <w:szCs w:val="28"/>
          <w:lang w:eastAsia="ar-SA"/>
        </w:rPr>
        <w:t>(</w:t>
      </w:r>
      <w:r w:rsidR="00DA597D" w:rsidRPr="00CC7883">
        <w:rPr>
          <w:rFonts w:ascii="Times New Roman" w:eastAsia="Times New Roman" w:hAnsi="Times New Roman"/>
          <w:i/>
          <w:iCs/>
          <w:color w:val="000000" w:themeColor="text1"/>
          <w:sz w:val="28"/>
          <w:szCs w:val="28"/>
          <w:lang w:eastAsia="ru-RU"/>
        </w:rPr>
        <w:t>Особистий внесок Самофалова М. О.</w:t>
      </w:r>
      <w:r w:rsidR="00DA597D" w:rsidRPr="00CC7883">
        <w:rPr>
          <w:rFonts w:ascii="Times New Roman" w:eastAsia="Times New Roman" w:hAnsi="Times New Roman"/>
          <w:color w:val="000000" w:themeColor="text1"/>
          <w:sz w:val="28"/>
          <w:szCs w:val="28"/>
          <w:lang w:eastAsia="ru-RU"/>
        </w:rPr>
        <w:t>:</w:t>
      </w:r>
      <w:r w:rsidR="00DA597D" w:rsidRPr="00CC7883">
        <w:rPr>
          <w:rFonts w:ascii="Times New Roman" w:eastAsia="Calibri" w:hAnsi="Times New Roman" w:cs="Times New Roman"/>
          <w:i/>
          <w:iCs/>
          <w:color w:val="000000" w:themeColor="text1"/>
          <w:kern w:val="0"/>
          <w:sz w:val="28"/>
          <w:szCs w:val="28"/>
        </w:rPr>
        <w:t xml:space="preserve"> аналіз літературних джерел, підготовка зразків для роботи, </w:t>
      </w:r>
      <w:r w:rsidR="00DA597D" w:rsidRPr="00CC7883">
        <w:rPr>
          <w:rFonts w:ascii="Times New Roman" w:eastAsia="Calibri" w:hAnsi="Times New Roman" w:cs="Times New Roman"/>
          <w:i/>
          <w:iCs/>
          <w:color w:val="000000" w:themeColor="text1"/>
          <w:kern w:val="3"/>
          <w:sz w:val="28"/>
          <w:szCs w:val="28"/>
          <w:lang w:eastAsia="ar-SA"/>
        </w:rPr>
        <w:t xml:space="preserve">отримання експериментальних даних, їх аналіз та узагальнення, </w:t>
      </w:r>
      <w:r w:rsidR="00DA597D" w:rsidRPr="00CC7883">
        <w:rPr>
          <w:rFonts w:ascii="Times New Roman" w:eastAsia="Arial Unicode MS" w:hAnsi="Times New Roman"/>
          <w:i/>
          <w:iCs/>
          <w:color w:val="000000" w:themeColor="text1"/>
          <w:kern w:val="1"/>
          <w:sz w:val="28"/>
          <w:szCs w:val="28"/>
          <w:lang w:eastAsia="ar-SA"/>
        </w:rPr>
        <w:t>підготовка матеріалу до публікації</w:t>
      </w:r>
      <w:r w:rsidR="00DA597D" w:rsidRPr="00CC7883">
        <w:rPr>
          <w:rFonts w:ascii="Times New Roman" w:eastAsia="Calibri" w:hAnsi="Times New Roman" w:cs="Times New Roman"/>
          <w:iCs/>
          <w:color w:val="000000" w:themeColor="text1"/>
          <w:kern w:val="3"/>
          <w:sz w:val="28"/>
          <w:szCs w:val="28"/>
          <w:lang w:eastAsia="ar-SA"/>
        </w:rPr>
        <w:t>)</w:t>
      </w:r>
      <w:r w:rsidR="00DA597D" w:rsidRPr="00CC7883">
        <w:rPr>
          <w:rFonts w:ascii="Times New Roman" w:eastAsia="Calibri" w:hAnsi="Times New Roman" w:cs="Times New Roman"/>
          <w:i/>
          <w:iCs/>
          <w:color w:val="000000" w:themeColor="text1"/>
          <w:kern w:val="3"/>
          <w:sz w:val="28"/>
          <w:szCs w:val="28"/>
          <w:lang w:eastAsia="ar-SA"/>
        </w:rPr>
        <w:t>.</w:t>
      </w:r>
    </w:p>
    <w:p w:rsidR="00DA597D" w:rsidRPr="00CC7883" w:rsidRDefault="009813CB" w:rsidP="00047411">
      <w:pPr>
        <w:widowControl w:val="0"/>
        <w:numPr>
          <w:ilvl w:val="0"/>
          <w:numId w:val="3"/>
        </w:numPr>
        <w:spacing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hAnsi="Times New Roman"/>
          <w:color w:val="000000" w:themeColor="text1"/>
          <w:sz w:val="28"/>
          <w:szCs w:val="28"/>
        </w:rPr>
        <w:t xml:space="preserve">Зеленянська Н. М., Самофалов М. О. Вплив модифікованого поживного середовища на розвиток кореневої системи мікроклонів винограду. </w:t>
      </w:r>
      <w:r w:rsidRPr="00CC7883">
        <w:rPr>
          <w:rFonts w:ascii="Times New Roman" w:hAnsi="Times New Roman"/>
          <w:i/>
          <w:color w:val="000000" w:themeColor="text1"/>
          <w:sz w:val="28"/>
          <w:szCs w:val="28"/>
        </w:rPr>
        <w:t>InterConf. Scientific Collection, (101)</w:t>
      </w:r>
      <w:r w:rsidRPr="00CC7883">
        <w:rPr>
          <w:rFonts w:ascii="Times New Roman" w:hAnsi="Times New Roman"/>
          <w:color w:val="000000" w:themeColor="text1"/>
          <w:sz w:val="28"/>
          <w:szCs w:val="28"/>
        </w:rPr>
        <w:t xml:space="preserve"> : with the Proceedings of the 11th Int. sci.-pract. conf. «Scientific Research in XXI Century». (Оттава, 6–8 березня 2022 р.). Оттава, 2022. С. 330–338. URL: </w:t>
      </w:r>
      <w:hyperlink r:id="rId19" w:history="1">
        <w:r w:rsidR="00991E95" w:rsidRPr="00CC7883">
          <w:rPr>
            <w:rStyle w:val="af3"/>
            <w:rFonts w:ascii="Times New Roman" w:hAnsi="Times New Roman"/>
            <w:color w:val="000000" w:themeColor="text1"/>
            <w:sz w:val="28"/>
            <w:szCs w:val="28"/>
            <w:u w:val="none"/>
          </w:rPr>
          <w:t>https://ojs.ukrlogos.in.ua/index.php/interconf/article/view/18816</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DA597D" w:rsidRPr="00CC7883">
        <w:rPr>
          <w:rFonts w:ascii="Times New Roman" w:eastAsia="Calibri" w:hAnsi="Times New Roman" w:cs="Times New Roman"/>
          <w:color w:val="000000" w:themeColor="text1"/>
          <w:kern w:val="3"/>
          <w:sz w:val="28"/>
          <w:szCs w:val="28"/>
          <w:lang w:eastAsia="ar-SA"/>
        </w:rPr>
        <w:t>(</w:t>
      </w:r>
      <w:r w:rsidR="00DA597D" w:rsidRPr="00CC7883">
        <w:rPr>
          <w:rFonts w:ascii="Times New Roman" w:eastAsia="Times New Roman" w:hAnsi="Times New Roman"/>
          <w:i/>
          <w:iCs/>
          <w:color w:val="000000" w:themeColor="text1"/>
          <w:sz w:val="28"/>
          <w:szCs w:val="28"/>
          <w:lang w:eastAsia="ru-RU"/>
        </w:rPr>
        <w:t>Особистий внесок Самофалова М. О.</w:t>
      </w:r>
      <w:r w:rsidR="00DA597D" w:rsidRPr="00CC7883">
        <w:rPr>
          <w:rFonts w:ascii="Times New Roman" w:eastAsia="Times New Roman" w:hAnsi="Times New Roman"/>
          <w:color w:val="000000" w:themeColor="text1"/>
          <w:sz w:val="28"/>
          <w:szCs w:val="28"/>
          <w:lang w:eastAsia="ru-RU"/>
        </w:rPr>
        <w:t>:</w:t>
      </w:r>
      <w:r w:rsidR="00DA597D" w:rsidRPr="00CC7883">
        <w:rPr>
          <w:rFonts w:ascii="Times New Roman" w:eastAsia="Calibri" w:hAnsi="Times New Roman" w:cs="Times New Roman"/>
          <w:i/>
          <w:iCs/>
          <w:color w:val="000000" w:themeColor="text1"/>
          <w:kern w:val="0"/>
          <w:sz w:val="28"/>
          <w:szCs w:val="28"/>
        </w:rPr>
        <w:t xml:space="preserve"> аналіз літературних джерел, підготовка зразків для роботи, </w:t>
      </w:r>
      <w:r w:rsidR="00DA597D" w:rsidRPr="00CC7883">
        <w:rPr>
          <w:rFonts w:ascii="Times New Roman" w:eastAsia="Calibri" w:hAnsi="Times New Roman" w:cs="Times New Roman"/>
          <w:i/>
          <w:iCs/>
          <w:color w:val="000000" w:themeColor="text1"/>
          <w:kern w:val="3"/>
          <w:sz w:val="28"/>
          <w:szCs w:val="28"/>
          <w:lang w:eastAsia="ar-SA"/>
        </w:rPr>
        <w:t xml:space="preserve">отримання експериментальних даних, їх аналіз та узагальнення, </w:t>
      </w:r>
      <w:r w:rsidR="00DA597D" w:rsidRPr="00CC7883">
        <w:rPr>
          <w:rFonts w:ascii="Times New Roman" w:eastAsia="Arial Unicode MS" w:hAnsi="Times New Roman"/>
          <w:i/>
          <w:iCs/>
          <w:color w:val="000000" w:themeColor="text1"/>
          <w:kern w:val="1"/>
          <w:sz w:val="28"/>
          <w:szCs w:val="28"/>
          <w:lang w:eastAsia="ar-SA"/>
        </w:rPr>
        <w:t>підготовка матеріалу до публікації</w:t>
      </w:r>
      <w:r w:rsidR="00DA597D" w:rsidRPr="00CC7883">
        <w:rPr>
          <w:rFonts w:ascii="Times New Roman" w:eastAsia="Calibri" w:hAnsi="Times New Roman" w:cs="Times New Roman"/>
          <w:iCs/>
          <w:color w:val="000000" w:themeColor="text1"/>
          <w:kern w:val="3"/>
          <w:sz w:val="28"/>
          <w:szCs w:val="28"/>
          <w:lang w:eastAsia="ar-SA"/>
        </w:rPr>
        <w:t>)</w:t>
      </w:r>
      <w:r w:rsidR="00DA597D" w:rsidRPr="00CC7883">
        <w:rPr>
          <w:rFonts w:ascii="Times New Roman" w:eastAsia="Calibri" w:hAnsi="Times New Roman" w:cs="Times New Roman"/>
          <w:i/>
          <w:iCs/>
          <w:color w:val="000000" w:themeColor="text1"/>
          <w:kern w:val="3"/>
          <w:sz w:val="28"/>
          <w:szCs w:val="28"/>
          <w:lang w:eastAsia="ar-SA"/>
        </w:rPr>
        <w:t>.</w:t>
      </w:r>
    </w:p>
    <w:p w:rsidR="00DA597D" w:rsidRPr="00CC7883" w:rsidRDefault="009813CB" w:rsidP="00047411">
      <w:pPr>
        <w:widowControl w:val="0"/>
        <w:numPr>
          <w:ilvl w:val="0"/>
          <w:numId w:val="3"/>
        </w:numPr>
        <w:spacing w:before="240"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hAnsi="Times New Roman"/>
          <w:color w:val="000000" w:themeColor="text1"/>
          <w:sz w:val="28"/>
          <w:szCs w:val="28"/>
        </w:rPr>
        <w:t xml:space="preserve">Зеленянська Н. М., Самофалов М. О. Способи адаптації мікроклонів винограду. </w:t>
      </w:r>
      <w:r w:rsidRPr="00CC7883">
        <w:rPr>
          <w:rFonts w:ascii="Times New Roman" w:hAnsi="Times New Roman"/>
          <w:i/>
          <w:color w:val="000000" w:themeColor="text1"/>
          <w:sz w:val="28"/>
          <w:szCs w:val="28"/>
        </w:rPr>
        <w:t>Modern research in world science</w:t>
      </w:r>
      <w:r w:rsidRPr="00CC7883">
        <w:rPr>
          <w:rFonts w:ascii="Times New Roman" w:hAnsi="Times New Roman"/>
          <w:color w:val="000000" w:themeColor="text1"/>
          <w:sz w:val="28"/>
          <w:szCs w:val="28"/>
        </w:rPr>
        <w:t xml:space="preserve"> : The 2nd Int. sci.-pract. conf. (Львів, 15–17 травня 2022 р.). Львів, 2022. С. 39–43. URL: </w:t>
      </w:r>
      <w:hyperlink r:id="rId20" w:history="1">
        <w:r w:rsidR="00991E95" w:rsidRPr="00CC7883">
          <w:rPr>
            <w:rStyle w:val="af3"/>
            <w:rFonts w:ascii="Times New Roman" w:hAnsi="Times New Roman"/>
            <w:color w:val="000000" w:themeColor="text1"/>
            <w:sz w:val="28"/>
            <w:szCs w:val="28"/>
            <w:u w:val="none"/>
          </w:rPr>
          <w:t>https://sci-conf.com.ua/wp-content/uploads/2022/05/MODERN-RESEARCH-IN-WORLD-</w:t>
        </w:r>
        <w:r w:rsidR="00991E95" w:rsidRPr="00CC7883">
          <w:rPr>
            <w:rStyle w:val="af3"/>
            <w:rFonts w:ascii="Times New Roman" w:hAnsi="Times New Roman"/>
            <w:color w:val="000000" w:themeColor="text1"/>
            <w:sz w:val="28"/>
            <w:szCs w:val="28"/>
            <w:u w:val="none"/>
          </w:rPr>
          <w:lastRenderedPageBreak/>
          <w:t>SCIENCE-15-17.05.22.pdf</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DA597D" w:rsidRPr="00CC7883">
        <w:rPr>
          <w:rFonts w:ascii="Times New Roman" w:eastAsia="Calibri" w:hAnsi="Times New Roman" w:cs="Times New Roman"/>
          <w:color w:val="000000" w:themeColor="text1"/>
          <w:kern w:val="3"/>
          <w:sz w:val="28"/>
          <w:szCs w:val="28"/>
          <w:lang w:eastAsia="ar-SA"/>
        </w:rPr>
        <w:t>(</w:t>
      </w:r>
      <w:r w:rsidR="00DA597D" w:rsidRPr="00CC7883">
        <w:rPr>
          <w:rFonts w:ascii="Times New Roman" w:eastAsia="Times New Roman" w:hAnsi="Times New Roman"/>
          <w:i/>
          <w:iCs/>
          <w:color w:val="000000" w:themeColor="text1"/>
          <w:sz w:val="28"/>
          <w:szCs w:val="28"/>
          <w:lang w:eastAsia="ru-RU"/>
        </w:rPr>
        <w:t>Особистий внесок Самофалова М. О.</w:t>
      </w:r>
      <w:r w:rsidR="00DA597D" w:rsidRPr="00CC7883">
        <w:rPr>
          <w:rFonts w:ascii="Times New Roman" w:eastAsia="Times New Roman" w:hAnsi="Times New Roman"/>
          <w:color w:val="000000" w:themeColor="text1"/>
          <w:sz w:val="28"/>
          <w:szCs w:val="28"/>
          <w:lang w:eastAsia="ru-RU"/>
        </w:rPr>
        <w:t>:</w:t>
      </w:r>
      <w:r w:rsidR="00DA597D" w:rsidRPr="00CC7883">
        <w:rPr>
          <w:rFonts w:ascii="Times New Roman" w:eastAsia="Calibri" w:hAnsi="Times New Roman" w:cs="Times New Roman"/>
          <w:i/>
          <w:iCs/>
          <w:color w:val="000000" w:themeColor="text1"/>
          <w:kern w:val="0"/>
          <w:sz w:val="28"/>
          <w:szCs w:val="28"/>
        </w:rPr>
        <w:t xml:space="preserve"> аналіз літературних джерел, проведення технологічної роботи </w:t>
      </w:r>
      <w:r w:rsidR="008535E6">
        <w:rPr>
          <w:rFonts w:ascii="Times New Roman" w:eastAsia="Calibri" w:hAnsi="Times New Roman" w:cs="Times New Roman"/>
          <w:i/>
          <w:iCs/>
          <w:color w:val="000000" w:themeColor="text1"/>
          <w:kern w:val="0"/>
          <w:sz w:val="28"/>
          <w:szCs w:val="28"/>
        </w:rPr>
        <w:t>з</w:t>
      </w:r>
      <w:r w:rsidR="00DA597D" w:rsidRPr="00CC7883">
        <w:rPr>
          <w:rFonts w:ascii="Times New Roman" w:eastAsia="Calibri" w:hAnsi="Times New Roman" w:cs="Times New Roman"/>
          <w:i/>
          <w:iCs/>
          <w:color w:val="000000" w:themeColor="text1"/>
          <w:kern w:val="0"/>
          <w:sz w:val="28"/>
          <w:szCs w:val="28"/>
        </w:rPr>
        <w:t xml:space="preserve"> адаптації мікроклонів, </w:t>
      </w:r>
      <w:r w:rsidR="00DA597D" w:rsidRPr="00CC7883">
        <w:rPr>
          <w:rFonts w:ascii="Times New Roman" w:eastAsia="Calibri" w:hAnsi="Times New Roman" w:cs="Times New Roman"/>
          <w:i/>
          <w:iCs/>
          <w:color w:val="000000" w:themeColor="text1"/>
          <w:kern w:val="3"/>
          <w:sz w:val="28"/>
          <w:szCs w:val="28"/>
          <w:lang w:eastAsia="ar-SA"/>
        </w:rPr>
        <w:t xml:space="preserve">отримання експериментальних даних, їх аналіз та узагальнення, </w:t>
      </w:r>
      <w:r w:rsidR="00DA597D" w:rsidRPr="00CC7883">
        <w:rPr>
          <w:rFonts w:ascii="Times New Roman" w:eastAsia="Arial Unicode MS" w:hAnsi="Times New Roman"/>
          <w:i/>
          <w:iCs/>
          <w:color w:val="000000" w:themeColor="text1"/>
          <w:kern w:val="1"/>
          <w:sz w:val="28"/>
          <w:szCs w:val="28"/>
          <w:lang w:eastAsia="ar-SA"/>
        </w:rPr>
        <w:t>підготовка матеріалу до публікації</w:t>
      </w:r>
      <w:r w:rsidR="00DA597D" w:rsidRPr="00CC7883">
        <w:rPr>
          <w:rFonts w:ascii="Times New Roman" w:eastAsia="Calibri" w:hAnsi="Times New Roman" w:cs="Times New Roman"/>
          <w:iCs/>
          <w:color w:val="000000" w:themeColor="text1"/>
          <w:kern w:val="3"/>
          <w:sz w:val="28"/>
          <w:szCs w:val="28"/>
          <w:lang w:eastAsia="ar-SA"/>
        </w:rPr>
        <w:t>)</w:t>
      </w:r>
      <w:r w:rsidR="00DA597D" w:rsidRPr="00CC7883">
        <w:rPr>
          <w:rFonts w:ascii="Times New Roman" w:eastAsia="Calibri" w:hAnsi="Times New Roman" w:cs="Times New Roman"/>
          <w:i/>
          <w:iCs/>
          <w:color w:val="000000" w:themeColor="text1"/>
          <w:kern w:val="3"/>
          <w:sz w:val="28"/>
          <w:szCs w:val="28"/>
          <w:lang w:eastAsia="ar-SA"/>
        </w:rPr>
        <w:t>.</w:t>
      </w:r>
    </w:p>
    <w:p w:rsidR="00DA597D" w:rsidRPr="00CC7883" w:rsidRDefault="009813CB" w:rsidP="00047411">
      <w:pPr>
        <w:widowControl w:val="0"/>
        <w:numPr>
          <w:ilvl w:val="0"/>
          <w:numId w:val="3"/>
        </w:numPr>
        <w:spacing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hAnsi="Times New Roman"/>
          <w:color w:val="000000" w:themeColor="text1"/>
          <w:sz w:val="28"/>
          <w:szCs w:val="28"/>
        </w:rPr>
        <w:t xml:space="preserve">Зеленянська Н. М., Самофалов М. О. Удосконалення окремих технологічних етапів розмноження винограду </w:t>
      </w:r>
      <w:r w:rsidRPr="00CC7883">
        <w:rPr>
          <w:rFonts w:ascii="Times New Roman" w:hAnsi="Times New Roman"/>
          <w:i/>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Селекція, генетика та технології вирощування сільськогосподарських культур</w:t>
      </w:r>
      <w:r w:rsidRPr="00CC7883">
        <w:rPr>
          <w:rFonts w:ascii="Times New Roman" w:hAnsi="Times New Roman"/>
          <w:color w:val="000000" w:themeColor="text1"/>
          <w:sz w:val="28"/>
          <w:szCs w:val="28"/>
        </w:rPr>
        <w:t xml:space="preserve"> : матеріали X Міжнар. наук.-практ. конф. молодих вчених і спеціалістів. (Центральне, 29 квітня 2022 р.). Київ, 2022. С. 95. URL: </w:t>
      </w:r>
      <w:hyperlink r:id="rId21" w:history="1">
        <w:r w:rsidR="00991E95" w:rsidRPr="00CC7883">
          <w:rPr>
            <w:rStyle w:val="af3"/>
            <w:rFonts w:ascii="Times New Roman" w:hAnsi="Times New Roman"/>
            <w:color w:val="000000" w:themeColor="text1"/>
            <w:sz w:val="28"/>
            <w:szCs w:val="28"/>
            <w:u w:val="none"/>
          </w:rPr>
          <w:t>http://confer.uiesr.sops.gov.ua/miron2022/paper/viewFile/26209/14883</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DA597D" w:rsidRPr="00CC7883">
        <w:rPr>
          <w:rFonts w:ascii="Times New Roman" w:eastAsia="Calibri" w:hAnsi="Times New Roman" w:cs="Times New Roman"/>
          <w:color w:val="000000" w:themeColor="text1"/>
          <w:kern w:val="3"/>
          <w:sz w:val="28"/>
          <w:szCs w:val="28"/>
          <w:lang w:eastAsia="ar-SA"/>
        </w:rPr>
        <w:t>(</w:t>
      </w:r>
      <w:r w:rsidR="00DA597D" w:rsidRPr="00CC7883">
        <w:rPr>
          <w:rFonts w:ascii="Times New Roman" w:eastAsia="Times New Roman" w:hAnsi="Times New Roman"/>
          <w:i/>
          <w:iCs/>
          <w:color w:val="000000" w:themeColor="text1"/>
          <w:sz w:val="28"/>
          <w:szCs w:val="28"/>
          <w:lang w:eastAsia="ru-RU"/>
        </w:rPr>
        <w:t>Особистий внесок Самофалова М. О.</w:t>
      </w:r>
      <w:r w:rsidR="00DA597D" w:rsidRPr="00CC7883">
        <w:rPr>
          <w:rFonts w:ascii="Times New Roman" w:eastAsia="Times New Roman" w:hAnsi="Times New Roman"/>
          <w:color w:val="000000" w:themeColor="text1"/>
          <w:sz w:val="28"/>
          <w:szCs w:val="28"/>
          <w:lang w:eastAsia="ru-RU"/>
        </w:rPr>
        <w:t>:</w:t>
      </w:r>
      <w:r w:rsidR="00DA597D" w:rsidRPr="00CC7883">
        <w:rPr>
          <w:rFonts w:ascii="Times New Roman" w:eastAsia="Calibri" w:hAnsi="Times New Roman" w:cs="Times New Roman"/>
          <w:i/>
          <w:iCs/>
          <w:color w:val="000000" w:themeColor="text1"/>
          <w:kern w:val="0"/>
          <w:sz w:val="28"/>
          <w:szCs w:val="28"/>
        </w:rPr>
        <w:t xml:space="preserve"> аналіз літературних джерел, проведення технологічної роботи по культивуванню мікроклонів, </w:t>
      </w:r>
      <w:r w:rsidR="00DA597D" w:rsidRPr="00CC7883">
        <w:rPr>
          <w:rFonts w:ascii="Times New Roman" w:eastAsia="Calibri" w:hAnsi="Times New Roman" w:cs="Times New Roman"/>
          <w:i/>
          <w:iCs/>
          <w:color w:val="000000" w:themeColor="text1"/>
          <w:kern w:val="3"/>
          <w:sz w:val="28"/>
          <w:szCs w:val="28"/>
          <w:lang w:eastAsia="ar-SA"/>
        </w:rPr>
        <w:t xml:space="preserve">отримання експериментальних даних, їх аналіз та узагальнення, </w:t>
      </w:r>
      <w:r w:rsidR="00DA597D" w:rsidRPr="00CC7883">
        <w:rPr>
          <w:rFonts w:ascii="Times New Roman" w:eastAsia="Arial Unicode MS" w:hAnsi="Times New Roman"/>
          <w:i/>
          <w:iCs/>
          <w:color w:val="000000" w:themeColor="text1"/>
          <w:kern w:val="1"/>
          <w:sz w:val="28"/>
          <w:szCs w:val="28"/>
          <w:lang w:eastAsia="ar-SA"/>
        </w:rPr>
        <w:t>підготовка матеріалу до публікації</w:t>
      </w:r>
      <w:r w:rsidR="00DA597D" w:rsidRPr="00CC7883">
        <w:rPr>
          <w:rFonts w:ascii="Times New Roman" w:eastAsia="Calibri" w:hAnsi="Times New Roman" w:cs="Times New Roman"/>
          <w:iCs/>
          <w:color w:val="000000" w:themeColor="text1"/>
          <w:kern w:val="3"/>
          <w:sz w:val="28"/>
          <w:szCs w:val="28"/>
          <w:lang w:eastAsia="ar-SA"/>
        </w:rPr>
        <w:t>)</w:t>
      </w:r>
      <w:r w:rsidR="00DA597D" w:rsidRPr="00CC7883">
        <w:rPr>
          <w:rFonts w:ascii="Times New Roman" w:eastAsia="Calibri" w:hAnsi="Times New Roman" w:cs="Times New Roman"/>
          <w:i/>
          <w:iCs/>
          <w:color w:val="000000" w:themeColor="text1"/>
          <w:kern w:val="3"/>
          <w:sz w:val="28"/>
          <w:szCs w:val="28"/>
          <w:lang w:eastAsia="ar-SA"/>
        </w:rPr>
        <w:t>.</w:t>
      </w:r>
    </w:p>
    <w:p w:rsidR="00177D0D" w:rsidRPr="00CC7883" w:rsidRDefault="009813CB" w:rsidP="00047411">
      <w:pPr>
        <w:widowControl w:val="0"/>
        <w:numPr>
          <w:ilvl w:val="0"/>
          <w:numId w:val="3"/>
        </w:numPr>
        <w:spacing w:before="240"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hAnsi="Times New Roman"/>
          <w:color w:val="000000" w:themeColor="text1"/>
          <w:sz w:val="28"/>
          <w:szCs w:val="28"/>
        </w:rPr>
        <w:t xml:space="preserve">Зеленянська Н. М., Самофалов М. О. Спосіб підвищення приживлюваності мікроклонів винограду в умовах </w:t>
      </w:r>
      <w:r w:rsidRPr="00CC7883">
        <w:rPr>
          <w:rFonts w:ascii="Times New Roman" w:hAnsi="Times New Roman"/>
          <w:i/>
          <w:color w:val="000000" w:themeColor="text1"/>
          <w:sz w:val="28"/>
          <w:szCs w:val="28"/>
        </w:rPr>
        <w:t>in vivo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Сучасні проблеми біології в умовах змін клімату</w:t>
      </w:r>
      <w:r w:rsidRPr="00CC7883">
        <w:rPr>
          <w:rFonts w:ascii="Times New Roman" w:hAnsi="Times New Roman"/>
          <w:color w:val="000000" w:themeColor="text1"/>
          <w:sz w:val="28"/>
          <w:szCs w:val="28"/>
        </w:rPr>
        <w:t xml:space="preserve"> : матеріали Всеукр. наук. інтернет-конф. (Умань, 22 червня 2022 р.). Умань, 2022. С. 26–29. URL: </w:t>
      </w:r>
      <w:hyperlink r:id="rId22" w:history="1">
        <w:r w:rsidR="00991E95" w:rsidRPr="00CC7883">
          <w:rPr>
            <w:rStyle w:val="af3"/>
            <w:rFonts w:ascii="Times New Roman" w:hAnsi="Times New Roman"/>
            <w:color w:val="000000" w:themeColor="text1"/>
            <w:sz w:val="28"/>
            <w:szCs w:val="28"/>
            <w:u w:val="none"/>
          </w:rPr>
          <w:t>https://biology.udau.edu.ua/assets/files/praci/zbirnik-konferencii-22.06.2022.pdf</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177D0D" w:rsidRPr="00CC7883">
        <w:rPr>
          <w:rFonts w:ascii="Times New Roman" w:eastAsia="Calibri" w:hAnsi="Times New Roman" w:cs="Times New Roman"/>
          <w:color w:val="000000" w:themeColor="text1"/>
          <w:kern w:val="3"/>
          <w:sz w:val="28"/>
          <w:szCs w:val="28"/>
          <w:lang w:eastAsia="ar-SA"/>
        </w:rPr>
        <w:t>(</w:t>
      </w:r>
      <w:r w:rsidR="00177D0D" w:rsidRPr="00CC7883">
        <w:rPr>
          <w:rFonts w:ascii="Times New Roman" w:eastAsia="Times New Roman" w:hAnsi="Times New Roman"/>
          <w:i/>
          <w:iCs/>
          <w:color w:val="000000" w:themeColor="text1"/>
          <w:sz w:val="28"/>
          <w:szCs w:val="28"/>
          <w:lang w:eastAsia="ru-RU"/>
        </w:rPr>
        <w:t>Особистий внесок Самофалова М. О.</w:t>
      </w:r>
      <w:r w:rsidR="00177D0D" w:rsidRPr="00CC7883">
        <w:rPr>
          <w:rFonts w:ascii="Times New Roman" w:eastAsia="Times New Roman" w:hAnsi="Times New Roman"/>
          <w:color w:val="000000" w:themeColor="text1"/>
          <w:sz w:val="28"/>
          <w:szCs w:val="28"/>
          <w:lang w:eastAsia="ru-RU"/>
        </w:rPr>
        <w:t>:</w:t>
      </w:r>
      <w:r w:rsidR="00177D0D" w:rsidRPr="00CC7883">
        <w:rPr>
          <w:rFonts w:ascii="Times New Roman" w:eastAsia="Calibri" w:hAnsi="Times New Roman" w:cs="Times New Roman"/>
          <w:i/>
          <w:iCs/>
          <w:color w:val="000000" w:themeColor="text1"/>
          <w:kern w:val="0"/>
          <w:sz w:val="28"/>
          <w:szCs w:val="28"/>
        </w:rPr>
        <w:t xml:space="preserve"> аналіз літературних джерел, проведення технологічної роботи </w:t>
      </w:r>
      <w:r w:rsidR="008535E6">
        <w:rPr>
          <w:rFonts w:ascii="Times New Roman" w:eastAsia="Calibri" w:hAnsi="Times New Roman" w:cs="Times New Roman"/>
          <w:i/>
          <w:iCs/>
          <w:color w:val="000000" w:themeColor="text1"/>
          <w:kern w:val="0"/>
          <w:sz w:val="28"/>
          <w:szCs w:val="28"/>
        </w:rPr>
        <w:t>з</w:t>
      </w:r>
      <w:r w:rsidR="00177D0D" w:rsidRPr="00CC7883">
        <w:rPr>
          <w:rFonts w:ascii="Times New Roman" w:eastAsia="Calibri" w:hAnsi="Times New Roman" w:cs="Times New Roman"/>
          <w:i/>
          <w:iCs/>
          <w:color w:val="000000" w:themeColor="text1"/>
          <w:kern w:val="0"/>
          <w:sz w:val="28"/>
          <w:szCs w:val="28"/>
        </w:rPr>
        <w:t xml:space="preserve"> адаптації мікроклонів, </w:t>
      </w:r>
      <w:r w:rsidR="00177D0D" w:rsidRPr="00CC7883">
        <w:rPr>
          <w:rFonts w:ascii="Times New Roman" w:eastAsia="Calibri" w:hAnsi="Times New Roman" w:cs="Times New Roman"/>
          <w:i/>
          <w:iCs/>
          <w:color w:val="000000" w:themeColor="text1"/>
          <w:kern w:val="3"/>
          <w:sz w:val="28"/>
          <w:szCs w:val="28"/>
          <w:lang w:eastAsia="ar-SA"/>
        </w:rPr>
        <w:t xml:space="preserve">отримання експериментальних даних, їх аналіз та узагальнення, </w:t>
      </w:r>
      <w:r w:rsidR="00177D0D" w:rsidRPr="00CC7883">
        <w:rPr>
          <w:rFonts w:ascii="Times New Roman" w:eastAsia="Arial Unicode MS" w:hAnsi="Times New Roman"/>
          <w:i/>
          <w:iCs/>
          <w:color w:val="000000" w:themeColor="text1"/>
          <w:kern w:val="1"/>
          <w:sz w:val="28"/>
          <w:szCs w:val="28"/>
          <w:lang w:eastAsia="ar-SA"/>
        </w:rPr>
        <w:t>підготовка матеріалу до публікації</w:t>
      </w:r>
      <w:r w:rsidR="00177D0D" w:rsidRPr="00CC7883">
        <w:rPr>
          <w:rFonts w:ascii="Times New Roman" w:eastAsia="Calibri" w:hAnsi="Times New Roman" w:cs="Times New Roman"/>
          <w:iCs/>
          <w:color w:val="000000" w:themeColor="text1"/>
          <w:kern w:val="3"/>
          <w:sz w:val="28"/>
          <w:szCs w:val="28"/>
          <w:lang w:eastAsia="ar-SA"/>
        </w:rPr>
        <w:t>).</w:t>
      </w:r>
    </w:p>
    <w:p w:rsidR="00177D0D" w:rsidRPr="00CC7883" w:rsidRDefault="009813CB" w:rsidP="00047411">
      <w:pPr>
        <w:widowControl w:val="0"/>
        <w:numPr>
          <w:ilvl w:val="0"/>
          <w:numId w:val="3"/>
        </w:numPr>
        <w:spacing w:after="0" w:line="360" w:lineRule="auto"/>
        <w:ind w:left="0" w:firstLine="0"/>
        <w:contextualSpacing/>
        <w:jc w:val="both"/>
        <w:rPr>
          <w:rFonts w:ascii="Times New Roman" w:eastAsia="Calibri" w:hAnsi="Times New Roman" w:cs="Times New Roman"/>
          <w:color w:val="000000" w:themeColor="text1"/>
          <w:kern w:val="3"/>
          <w:sz w:val="28"/>
          <w:szCs w:val="28"/>
          <w:lang w:eastAsia="ar-SA"/>
        </w:rPr>
      </w:pPr>
      <w:r w:rsidRPr="00CC7883">
        <w:rPr>
          <w:rFonts w:ascii="Times New Roman" w:hAnsi="Times New Roman"/>
          <w:color w:val="000000" w:themeColor="text1"/>
          <w:sz w:val="28"/>
          <w:szCs w:val="28"/>
        </w:rPr>
        <w:t xml:space="preserve">Зеленянська Н. М., Самофалов М. О. Спосіб підвищення приживлюваності ініціальних експлантів та мікроклонів винограду. </w:t>
      </w:r>
      <w:r w:rsidRPr="00CC7883">
        <w:rPr>
          <w:rFonts w:ascii="Times New Roman" w:hAnsi="Times New Roman"/>
          <w:i/>
          <w:color w:val="000000" w:themeColor="text1"/>
          <w:sz w:val="28"/>
          <w:szCs w:val="28"/>
        </w:rPr>
        <w:t>Recent Advances in Scientific World</w:t>
      </w:r>
      <w:r w:rsidRPr="00CC7883">
        <w:rPr>
          <w:rFonts w:ascii="Times New Roman" w:hAnsi="Times New Roman"/>
          <w:color w:val="000000" w:themeColor="text1"/>
          <w:sz w:val="28"/>
          <w:szCs w:val="28"/>
        </w:rPr>
        <w:t xml:space="preserve"> : Proceedings of the 2nd Int. sci.-pract. conf. (Монтрерр</w:t>
      </w:r>
      <w:r w:rsidR="008535E6">
        <w:rPr>
          <w:rFonts w:ascii="Times New Roman" w:hAnsi="Times New Roman"/>
          <w:color w:val="000000" w:themeColor="text1"/>
          <w:sz w:val="28"/>
          <w:szCs w:val="28"/>
        </w:rPr>
        <w:t>ей</w:t>
      </w:r>
      <w:r w:rsidRPr="00CC7883">
        <w:rPr>
          <w:rFonts w:ascii="Times New Roman" w:hAnsi="Times New Roman"/>
          <w:color w:val="000000" w:themeColor="text1"/>
          <w:sz w:val="28"/>
          <w:szCs w:val="28"/>
        </w:rPr>
        <w:t>, 6–8 серпня 2022 р.). Монтрерр</w:t>
      </w:r>
      <w:r w:rsidR="008535E6">
        <w:rPr>
          <w:rFonts w:ascii="Times New Roman" w:hAnsi="Times New Roman"/>
          <w:color w:val="000000" w:themeColor="text1"/>
          <w:sz w:val="28"/>
          <w:szCs w:val="28"/>
        </w:rPr>
        <w:t>ей</w:t>
      </w:r>
      <w:r w:rsidRPr="00CC7883">
        <w:rPr>
          <w:rFonts w:ascii="Times New Roman" w:hAnsi="Times New Roman"/>
          <w:color w:val="000000" w:themeColor="text1"/>
          <w:sz w:val="28"/>
          <w:szCs w:val="28"/>
        </w:rPr>
        <w:t xml:space="preserve">, 2022. С. 189–194. URL: </w:t>
      </w:r>
      <w:hyperlink r:id="rId23" w:history="1">
        <w:r w:rsidR="00991E95" w:rsidRPr="00CC7883">
          <w:rPr>
            <w:rStyle w:val="af3"/>
            <w:rFonts w:ascii="Times New Roman" w:hAnsi="Times New Roman"/>
            <w:color w:val="000000" w:themeColor="text1"/>
            <w:sz w:val="28"/>
            <w:szCs w:val="28"/>
            <w:u w:val="none"/>
          </w:rPr>
          <w:t>https://archive.interconf.center/index.php/conference-proceeding/article/view/1088/1114</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177D0D" w:rsidRPr="00CC7883">
        <w:rPr>
          <w:rFonts w:ascii="Times New Roman" w:eastAsia="Calibri" w:hAnsi="Times New Roman" w:cs="Times New Roman"/>
          <w:color w:val="000000" w:themeColor="text1"/>
          <w:kern w:val="3"/>
          <w:sz w:val="28"/>
          <w:szCs w:val="28"/>
          <w:lang w:eastAsia="ar-SA"/>
        </w:rPr>
        <w:t>(</w:t>
      </w:r>
      <w:r w:rsidR="00177D0D" w:rsidRPr="00CC7883">
        <w:rPr>
          <w:rFonts w:ascii="Times New Roman" w:eastAsia="Times New Roman" w:hAnsi="Times New Roman"/>
          <w:i/>
          <w:iCs/>
          <w:color w:val="000000" w:themeColor="text1"/>
          <w:sz w:val="28"/>
          <w:szCs w:val="28"/>
          <w:lang w:eastAsia="ru-RU"/>
        </w:rPr>
        <w:t>Особистий внесок Самофалова М. О.</w:t>
      </w:r>
      <w:r w:rsidR="00177D0D" w:rsidRPr="00CC7883">
        <w:rPr>
          <w:rFonts w:ascii="Times New Roman" w:eastAsia="Times New Roman" w:hAnsi="Times New Roman"/>
          <w:color w:val="000000" w:themeColor="text1"/>
          <w:sz w:val="28"/>
          <w:szCs w:val="28"/>
          <w:lang w:eastAsia="ru-RU"/>
        </w:rPr>
        <w:t>:</w:t>
      </w:r>
      <w:r w:rsidR="00177D0D" w:rsidRPr="00CC7883">
        <w:rPr>
          <w:rFonts w:ascii="Times New Roman" w:eastAsia="Calibri" w:hAnsi="Times New Roman" w:cs="Times New Roman"/>
          <w:i/>
          <w:iCs/>
          <w:color w:val="000000" w:themeColor="text1"/>
          <w:kern w:val="0"/>
          <w:sz w:val="28"/>
          <w:szCs w:val="28"/>
        </w:rPr>
        <w:t xml:space="preserve"> аналіз літературних джерел, проведення технологічної роботи </w:t>
      </w:r>
      <w:r w:rsidR="008535E6">
        <w:rPr>
          <w:rFonts w:ascii="Times New Roman" w:eastAsia="Calibri" w:hAnsi="Times New Roman" w:cs="Times New Roman"/>
          <w:i/>
          <w:iCs/>
          <w:color w:val="000000" w:themeColor="text1"/>
          <w:kern w:val="0"/>
          <w:sz w:val="28"/>
          <w:szCs w:val="28"/>
        </w:rPr>
        <w:t>з</w:t>
      </w:r>
      <w:r w:rsidR="00177D0D" w:rsidRPr="00CC7883">
        <w:rPr>
          <w:rFonts w:ascii="Times New Roman" w:eastAsia="Calibri" w:hAnsi="Times New Roman" w:cs="Times New Roman"/>
          <w:i/>
          <w:iCs/>
          <w:color w:val="000000" w:themeColor="text1"/>
          <w:kern w:val="0"/>
          <w:sz w:val="28"/>
          <w:szCs w:val="28"/>
        </w:rPr>
        <w:t xml:space="preserve"> адаптації </w:t>
      </w:r>
      <w:r w:rsidR="00177D0D" w:rsidRPr="00CC7883">
        <w:rPr>
          <w:rFonts w:ascii="Times New Roman" w:eastAsia="Calibri" w:hAnsi="Times New Roman" w:cs="Times New Roman"/>
          <w:i/>
          <w:iCs/>
          <w:color w:val="000000" w:themeColor="text1"/>
          <w:kern w:val="0"/>
          <w:sz w:val="28"/>
          <w:szCs w:val="28"/>
        </w:rPr>
        <w:lastRenderedPageBreak/>
        <w:t xml:space="preserve">мікроклонів, </w:t>
      </w:r>
      <w:r w:rsidR="00177D0D" w:rsidRPr="00CC7883">
        <w:rPr>
          <w:rFonts w:ascii="Times New Roman" w:eastAsia="Calibri" w:hAnsi="Times New Roman" w:cs="Times New Roman"/>
          <w:i/>
          <w:iCs/>
          <w:color w:val="000000" w:themeColor="text1"/>
          <w:kern w:val="3"/>
          <w:sz w:val="28"/>
          <w:szCs w:val="28"/>
          <w:lang w:eastAsia="ar-SA"/>
        </w:rPr>
        <w:t xml:space="preserve">отримання експериментальних даних, їх аналіз та узагальнення, </w:t>
      </w:r>
      <w:r w:rsidR="00177D0D" w:rsidRPr="00CC7883">
        <w:rPr>
          <w:rFonts w:ascii="Times New Roman" w:eastAsia="Arial Unicode MS" w:hAnsi="Times New Roman"/>
          <w:i/>
          <w:iCs/>
          <w:color w:val="000000" w:themeColor="text1"/>
          <w:kern w:val="1"/>
          <w:sz w:val="28"/>
          <w:szCs w:val="28"/>
          <w:lang w:eastAsia="ar-SA"/>
        </w:rPr>
        <w:t>підготовка матеріалу до публікації</w:t>
      </w:r>
      <w:r w:rsidR="00177D0D" w:rsidRPr="00CC7883">
        <w:rPr>
          <w:rFonts w:ascii="Times New Roman" w:eastAsia="Calibri" w:hAnsi="Times New Roman" w:cs="Times New Roman"/>
          <w:iCs/>
          <w:color w:val="000000" w:themeColor="text1"/>
          <w:kern w:val="3"/>
          <w:sz w:val="28"/>
          <w:szCs w:val="28"/>
          <w:lang w:eastAsia="ar-SA"/>
        </w:rPr>
        <w:t>)</w:t>
      </w:r>
      <w:r w:rsidR="00177D0D" w:rsidRPr="00CC7883">
        <w:rPr>
          <w:rFonts w:ascii="Times New Roman" w:eastAsia="Calibri" w:hAnsi="Times New Roman" w:cs="Times New Roman"/>
          <w:i/>
          <w:iCs/>
          <w:color w:val="000000" w:themeColor="text1"/>
          <w:kern w:val="3"/>
          <w:sz w:val="28"/>
          <w:szCs w:val="28"/>
          <w:lang w:eastAsia="ar-SA"/>
        </w:rPr>
        <w:t>.</w:t>
      </w:r>
    </w:p>
    <w:p w:rsidR="009813CB" w:rsidRPr="00CC7883" w:rsidRDefault="009813CB" w:rsidP="00047411">
      <w:pPr>
        <w:widowControl w:val="0"/>
        <w:numPr>
          <w:ilvl w:val="0"/>
          <w:numId w:val="3"/>
        </w:numPr>
        <w:spacing w:after="0" w:line="360" w:lineRule="auto"/>
        <w:ind w:left="0" w:firstLine="0"/>
        <w:contextualSpacing/>
        <w:jc w:val="both"/>
        <w:rPr>
          <w:rFonts w:ascii="Times New Roman" w:eastAsia="Calibri" w:hAnsi="Times New Roman" w:cs="Times New Roman"/>
          <w:color w:val="000000" w:themeColor="text1"/>
          <w:kern w:val="0"/>
          <w:sz w:val="28"/>
          <w:szCs w:val="28"/>
        </w:rPr>
      </w:pPr>
      <w:r w:rsidRPr="00CC7883">
        <w:rPr>
          <w:rFonts w:ascii="Times New Roman" w:hAnsi="Times New Roman"/>
          <w:color w:val="000000" w:themeColor="text1"/>
          <w:sz w:val="28"/>
          <w:szCs w:val="28"/>
        </w:rPr>
        <w:t xml:space="preserve">Зеленянська Н. М., Самофалов М. О. Розвиток вегетативної маси мікроклонів винограду на поживних середовищах та мінеральних субстратах. </w:t>
      </w:r>
      <w:r w:rsidRPr="00CC7883">
        <w:rPr>
          <w:rFonts w:ascii="Times New Roman" w:hAnsi="Times New Roman"/>
          <w:i/>
          <w:color w:val="000000" w:themeColor="text1"/>
          <w:sz w:val="28"/>
          <w:szCs w:val="28"/>
        </w:rPr>
        <w:t>Forecasts and prospects of scientific discoveries in agricultural sciences and food</w:t>
      </w:r>
      <w:r w:rsidRPr="00CC7883">
        <w:rPr>
          <w:rFonts w:ascii="Times New Roman" w:hAnsi="Times New Roman"/>
          <w:color w:val="000000" w:themeColor="text1"/>
          <w:sz w:val="28"/>
          <w:szCs w:val="28"/>
        </w:rPr>
        <w:t xml:space="preserve"> : conf. proceedings. (Рига, 30–31 серпня 2022 р.). Рига, 2022. С. 26–29. URL: </w:t>
      </w:r>
      <w:hyperlink r:id="rId24" w:history="1">
        <w:r w:rsidR="00991E95" w:rsidRPr="00CC7883">
          <w:rPr>
            <w:rStyle w:val="af3"/>
            <w:rFonts w:ascii="Times New Roman" w:hAnsi="Times New Roman"/>
            <w:color w:val="000000" w:themeColor="text1"/>
            <w:sz w:val="28"/>
            <w:szCs w:val="28"/>
            <w:u w:val="none"/>
          </w:rPr>
          <w:t>http://baltijapublishing.lv/omp/index.php/bp/catalog/view/252/7079/14745-1</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06088D" w:rsidRPr="00CC7883">
        <w:rPr>
          <w:rFonts w:ascii="Times New Roman" w:hAnsi="Times New Roman"/>
          <w:color w:val="000000" w:themeColor="text1"/>
          <w:sz w:val="28"/>
          <w:szCs w:val="28"/>
        </w:rPr>
        <w:t>(</w:t>
      </w:r>
      <w:r w:rsidR="00991E95" w:rsidRPr="00CC7883">
        <w:rPr>
          <w:rFonts w:ascii="Times New Roman" w:eastAsia="Calibri" w:hAnsi="Times New Roman" w:cs="Times New Roman"/>
          <w:i/>
          <w:iCs/>
          <w:color w:val="000000" w:themeColor="text1"/>
          <w:kern w:val="0"/>
          <w:sz w:val="28"/>
          <w:szCs w:val="28"/>
        </w:rPr>
        <w:t xml:space="preserve">Особистий внесок </w:t>
      </w:r>
      <w:r w:rsidR="00B85BAF" w:rsidRPr="00CC7883">
        <w:rPr>
          <w:rFonts w:ascii="Times New Roman" w:eastAsia="Times New Roman" w:hAnsi="Times New Roman"/>
          <w:i/>
          <w:iCs/>
          <w:color w:val="000000" w:themeColor="text1"/>
          <w:sz w:val="28"/>
          <w:szCs w:val="28"/>
          <w:lang w:eastAsia="ru-RU"/>
        </w:rPr>
        <w:t>Самофалова М. О.</w:t>
      </w:r>
      <w:r w:rsidR="00B85BAF" w:rsidRPr="00CC7883">
        <w:rPr>
          <w:rFonts w:ascii="Times New Roman" w:eastAsia="Times New Roman" w:hAnsi="Times New Roman"/>
          <w:color w:val="000000" w:themeColor="text1"/>
          <w:sz w:val="28"/>
          <w:szCs w:val="28"/>
          <w:lang w:eastAsia="ru-RU"/>
        </w:rPr>
        <w:t>:</w:t>
      </w:r>
      <w:r w:rsidR="00991E95" w:rsidRPr="00CC7883">
        <w:rPr>
          <w:rFonts w:ascii="Times New Roman" w:eastAsia="Calibri" w:hAnsi="Times New Roman" w:cs="Times New Roman"/>
          <w:i/>
          <w:iCs/>
          <w:color w:val="000000" w:themeColor="text1"/>
          <w:kern w:val="0"/>
          <w:sz w:val="28"/>
          <w:szCs w:val="28"/>
        </w:rPr>
        <w:t xml:space="preserve"> отримання експериментальних даних, аналіз та узагальнення результатів досліджень</w:t>
      </w:r>
      <w:r w:rsidR="0006088D" w:rsidRPr="00CC7883">
        <w:rPr>
          <w:rFonts w:ascii="Times New Roman" w:eastAsia="Calibri" w:hAnsi="Times New Roman" w:cs="Times New Roman"/>
          <w:iCs/>
          <w:color w:val="000000" w:themeColor="text1"/>
          <w:kern w:val="0"/>
          <w:sz w:val="28"/>
          <w:szCs w:val="28"/>
        </w:rPr>
        <w:t>)</w:t>
      </w:r>
      <w:r w:rsidR="00991E95" w:rsidRPr="00CC7883">
        <w:rPr>
          <w:rFonts w:ascii="Times New Roman" w:eastAsia="Calibri" w:hAnsi="Times New Roman" w:cs="Times New Roman"/>
          <w:i/>
          <w:iCs/>
          <w:color w:val="000000" w:themeColor="text1"/>
          <w:kern w:val="0"/>
          <w:sz w:val="28"/>
          <w:szCs w:val="28"/>
        </w:rPr>
        <w:t>.</w:t>
      </w:r>
    </w:p>
    <w:p w:rsidR="00EF550A" w:rsidRPr="00CC7883" w:rsidRDefault="009813CB" w:rsidP="00047411">
      <w:pPr>
        <w:widowControl w:val="0"/>
        <w:numPr>
          <w:ilvl w:val="0"/>
          <w:numId w:val="3"/>
        </w:numPr>
        <w:spacing w:after="0" w:line="360" w:lineRule="auto"/>
        <w:ind w:left="0" w:firstLine="0"/>
        <w:contextualSpacing/>
        <w:jc w:val="both"/>
        <w:rPr>
          <w:rFonts w:ascii="Times New Roman" w:eastAsia="Calibri" w:hAnsi="Times New Roman" w:cs="Times New Roman"/>
          <w:i/>
          <w:iCs/>
          <w:color w:val="000000" w:themeColor="text1"/>
          <w:kern w:val="0"/>
          <w:sz w:val="28"/>
          <w:szCs w:val="28"/>
        </w:rPr>
      </w:pPr>
      <w:r w:rsidRPr="00CC7883">
        <w:rPr>
          <w:rFonts w:ascii="Times New Roman" w:hAnsi="Times New Roman"/>
          <w:color w:val="000000" w:themeColor="text1"/>
          <w:sz w:val="28"/>
          <w:szCs w:val="28"/>
        </w:rPr>
        <w:t xml:space="preserve">Zelenianska N. M., Samofalov M. O. Development of the root system of grape microclones on mineral nutrient substrates. </w:t>
      </w:r>
      <w:r w:rsidRPr="00CC7883">
        <w:rPr>
          <w:rFonts w:ascii="Times New Roman" w:hAnsi="Times New Roman"/>
          <w:i/>
          <w:color w:val="000000" w:themeColor="text1"/>
          <w:sz w:val="28"/>
          <w:szCs w:val="28"/>
        </w:rPr>
        <w:t>Şuşa və ətraf ərazilərin biomüxtəlifliyi, torpaq və su ehtiyatları: gələcəyə baxış</w:t>
      </w:r>
      <w:r w:rsidRPr="00CC7883">
        <w:rPr>
          <w:rFonts w:ascii="Times New Roman" w:hAnsi="Times New Roman"/>
          <w:color w:val="000000" w:themeColor="text1"/>
          <w:sz w:val="28"/>
          <w:szCs w:val="28"/>
        </w:rPr>
        <w:t xml:space="preserve"> : beynəlxalq konfransın materialları. (Şuşа, 22–24 senyabr 2022-ci il). Bakı, 2022. Səh. 135–136. URL: </w:t>
      </w:r>
      <w:hyperlink r:id="rId25" w:history="1">
        <w:r w:rsidR="00991E95" w:rsidRPr="00CC7883">
          <w:rPr>
            <w:rStyle w:val="af3"/>
            <w:rFonts w:ascii="Times New Roman" w:hAnsi="Times New Roman"/>
            <w:color w:val="000000" w:themeColor="text1"/>
            <w:sz w:val="28"/>
            <w:szCs w:val="28"/>
            <w:u w:val="none"/>
          </w:rPr>
          <w:t>https://www.researchgate.net/profile/Fakhraddin-Karimov/publication/376487142AZRBAYCANIN_QARABAG_V_SRQI_ZNGZUR_IQTISADI_RAYONLARINDA_YASIL_ENERGETIKANIN_INKISAFI_IMKANLARININ_QIYMTLNDIRILMSI/links/657aa831ea5f7f02056d5b43/AZRBAYCANIN-QARABAG-V-SRQI-ZNGZUR-IQTISADI-RAYONLARINDA-YASIL-ENERGETIKANIN-INKISAFI-IMKANLARININ-QIYMTLNDIRILMSI.pdf</w:t>
        </w:r>
      </w:hyperlink>
      <w:r w:rsidRPr="00CC7883">
        <w:rPr>
          <w:rFonts w:ascii="Times New Roman" w:hAnsi="Times New Roman"/>
          <w:color w:val="000000" w:themeColor="text1"/>
          <w:sz w:val="28"/>
          <w:szCs w:val="28"/>
        </w:rPr>
        <w:t>.</w:t>
      </w:r>
      <w:r w:rsidR="00991E95" w:rsidRPr="00CC7883">
        <w:rPr>
          <w:rFonts w:ascii="Times New Roman" w:hAnsi="Times New Roman"/>
          <w:color w:val="000000" w:themeColor="text1"/>
          <w:sz w:val="28"/>
          <w:szCs w:val="28"/>
        </w:rPr>
        <w:t xml:space="preserve"> </w:t>
      </w:r>
      <w:r w:rsidR="0006088D" w:rsidRPr="00CC7883">
        <w:rPr>
          <w:rFonts w:ascii="Times New Roman" w:hAnsi="Times New Roman"/>
          <w:color w:val="000000" w:themeColor="text1"/>
          <w:sz w:val="28"/>
          <w:szCs w:val="28"/>
        </w:rPr>
        <w:t>(</w:t>
      </w:r>
      <w:r w:rsidR="00991E95" w:rsidRPr="00CC7883">
        <w:rPr>
          <w:rFonts w:ascii="Times New Roman" w:eastAsia="Calibri" w:hAnsi="Times New Roman" w:cs="Times New Roman"/>
          <w:i/>
          <w:iCs/>
          <w:color w:val="000000" w:themeColor="text1"/>
          <w:kern w:val="0"/>
          <w:sz w:val="28"/>
          <w:szCs w:val="28"/>
        </w:rPr>
        <w:t xml:space="preserve">Особистий внесок </w:t>
      </w:r>
      <w:r w:rsidR="00B85BAF" w:rsidRPr="00CC7883">
        <w:rPr>
          <w:rFonts w:ascii="Times New Roman" w:eastAsia="Times New Roman" w:hAnsi="Times New Roman"/>
          <w:i/>
          <w:iCs/>
          <w:color w:val="000000" w:themeColor="text1"/>
          <w:sz w:val="28"/>
          <w:szCs w:val="28"/>
          <w:lang w:eastAsia="ru-RU"/>
        </w:rPr>
        <w:t>Самофалова М. О.</w:t>
      </w:r>
      <w:r w:rsidR="00B85BAF" w:rsidRPr="00CC7883">
        <w:rPr>
          <w:rFonts w:ascii="Times New Roman" w:eastAsia="Times New Roman" w:hAnsi="Times New Roman"/>
          <w:color w:val="000000" w:themeColor="text1"/>
          <w:sz w:val="28"/>
          <w:szCs w:val="28"/>
          <w:lang w:eastAsia="ru-RU"/>
        </w:rPr>
        <w:t>:</w:t>
      </w:r>
      <w:r w:rsidR="00991E95" w:rsidRPr="00CC7883">
        <w:rPr>
          <w:rFonts w:ascii="Times New Roman" w:eastAsia="Calibri" w:hAnsi="Times New Roman" w:cs="Times New Roman"/>
          <w:i/>
          <w:iCs/>
          <w:color w:val="000000" w:themeColor="text1"/>
          <w:kern w:val="0"/>
          <w:sz w:val="28"/>
          <w:szCs w:val="28"/>
        </w:rPr>
        <w:t xml:space="preserve"> отримання експериментальних даних, аналіз та узагальнення результатів досліджень</w:t>
      </w:r>
      <w:r w:rsidR="0006088D" w:rsidRPr="00CC7883">
        <w:rPr>
          <w:rFonts w:ascii="Times New Roman" w:eastAsia="Calibri" w:hAnsi="Times New Roman" w:cs="Times New Roman"/>
          <w:iCs/>
          <w:color w:val="000000" w:themeColor="text1"/>
          <w:kern w:val="0"/>
          <w:sz w:val="28"/>
          <w:szCs w:val="28"/>
        </w:rPr>
        <w:t>)</w:t>
      </w:r>
      <w:r w:rsidR="00991E95" w:rsidRPr="00CC7883">
        <w:rPr>
          <w:rFonts w:ascii="Times New Roman" w:eastAsia="Calibri" w:hAnsi="Times New Roman" w:cs="Times New Roman"/>
          <w:i/>
          <w:iCs/>
          <w:color w:val="000000" w:themeColor="text1"/>
          <w:kern w:val="0"/>
          <w:sz w:val="28"/>
          <w:szCs w:val="28"/>
        </w:rPr>
        <w:t>.</w:t>
      </w:r>
    </w:p>
    <w:p w:rsidR="003059DA" w:rsidRDefault="003059DA">
      <w:pPr>
        <w:rPr>
          <w:rFonts w:ascii="Times New Roman" w:eastAsia="Calibri" w:hAnsi="Times New Roman" w:cs="Times New Roman"/>
          <w:b/>
          <w:color w:val="000000" w:themeColor="text1"/>
          <w:kern w:val="0"/>
          <w:sz w:val="28"/>
          <w:szCs w:val="28"/>
        </w:rPr>
      </w:pPr>
      <w:r>
        <w:rPr>
          <w:rFonts w:ascii="Times New Roman" w:eastAsia="Calibri" w:hAnsi="Times New Roman" w:cs="Times New Roman"/>
          <w:b/>
          <w:color w:val="000000" w:themeColor="text1"/>
          <w:kern w:val="0"/>
          <w:sz w:val="28"/>
          <w:szCs w:val="28"/>
        </w:rPr>
        <w:br w:type="page"/>
      </w:r>
    </w:p>
    <w:p w:rsidR="002E04F9" w:rsidRPr="00CC7883" w:rsidRDefault="002E04F9" w:rsidP="00047411">
      <w:pPr>
        <w:pStyle w:val="a7"/>
        <w:widowControl w:val="0"/>
        <w:spacing w:after="0" w:line="360" w:lineRule="auto"/>
        <w:ind w:left="0"/>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lastRenderedPageBreak/>
        <w:t>ЗМІСТ</w:t>
      </w:r>
    </w:p>
    <w:p w:rsidR="002E04F9" w:rsidRPr="00CC7883" w:rsidRDefault="002E04F9" w:rsidP="00047411">
      <w:pPr>
        <w:widowControl w:val="0"/>
        <w:spacing w:after="0" w:line="360" w:lineRule="auto"/>
        <w:jc w:val="both"/>
        <w:rPr>
          <w:rFonts w:ascii="Times New Roman" w:eastAsia="Calibri" w:hAnsi="Times New Roman" w:cs="Times New Roman"/>
          <w:color w:val="000000" w:themeColor="text1"/>
          <w:kern w:val="0"/>
          <w:sz w:val="28"/>
          <w:szCs w:val="28"/>
        </w:rPr>
      </w:pPr>
    </w:p>
    <w:p w:rsidR="002E04F9" w:rsidRPr="00CF453B"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r w:rsidRPr="00CC7883">
        <w:rPr>
          <w:rFonts w:ascii="Times New Roman" w:eastAsia="Calibri" w:hAnsi="Times New Roman" w:cs="Times New Roman"/>
          <w:color w:val="000000" w:themeColor="text1"/>
          <w:kern w:val="0"/>
          <w:sz w:val="28"/>
          <w:szCs w:val="28"/>
        </w:rPr>
        <w:fldChar w:fldCharType="begin"/>
      </w:r>
      <w:r w:rsidR="002E04F9" w:rsidRPr="00CC7883">
        <w:rPr>
          <w:rFonts w:ascii="Times New Roman" w:eastAsia="Calibri" w:hAnsi="Times New Roman" w:cs="Times New Roman"/>
          <w:color w:val="000000" w:themeColor="text1"/>
          <w:kern w:val="0"/>
          <w:sz w:val="28"/>
          <w:szCs w:val="28"/>
        </w:rPr>
        <w:instrText xml:space="preserve"> TOC \o "1-3" \h \z \u </w:instrText>
      </w:r>
      <w:r w:rsidRPr="00CC7883">
        <w:rPr>
          <w:rFonts w:ascii="Times New Roman" w:eastAsia="Calibri" w:hAnsi="Times New Roman" w:cs="Times New Roman"/>
          <w:color w:val="000000" w:themeColor="text1"/>
          <w:kern w:val="0"/>
          <w:sz w:val="28"/>
          <w:szCs w:val="28"/>
        </w:rPr>
        <w:fldChar w:fldCharType="separate"/>
      </w:r>
      <w:hyperlink w:anchor="_Toc220058913" w:history="1">
        <w:r w:rsidR="002E04F9" w:rsidRPr="00CF453B">
          <w:rPr>
            <w:rStyle w:val="af3"/>
            <w:rFonts w:ascii="Times New Roman" w:hAnsi="Times New Roman" w:cs="Times New Roman"/>
            <w:bCs/>
            <w:color w:val="000000" w:themeColor="text1"/>
            <w:sz w:val="28"/>
            <w:szCs w:val="28"/>
          </w:rPr>
          <w:t>ВСТУП</w:t>
        </w:r>
        <w:r w:rsidR="002E04F9" w:rsidRPr="00CF453B">
          <w:rPr>
            <w:rFonts w:ascii="Times New Roman" w:hAnsi="Times New Roman" w:cs="Times New Roman"/>
            <w:webHidden/>
            <w:color w:val="000000" w:themeColor="text1"/>
            <w:sz w:val="28"/>
            <w:szCs w:val="28"/>
          </w:rPr>
          <w:tab/>
        </w:r>
        <w:r w:rsidR="00DE6932" w:rsidRPr="00CF453B">
          <w:rPr>
            <w:rFonts w:ascii="Times New Roman" w:hAnsi="Times New Roman" w:cs="Times New Roman"/>
            <w:webHidden/>
            <w:color w:val="000000" w:themeColor="text1"/>
            <w:sz w:val="28"/>
            <w:szCs w:val="28"/>
          </w:rPr>
          <w:t>2</w:t>
        </w:r>
      </w:hyperlink>
      <w:r w:rsidR="00DD5023">
        <w:rPr>
          <w:rFonts w:ascii="Times New Roman" w:hAnsi="Times New Roman" w:cs="Times New Roman"/>
          <w:sz w:val="28"/>
          <w:szCs w:val="28"/>
        </w:rPr>
        <w:t>1</w:t>
      </w:r>
    </w:p>
    <w:p w:rsidR="002E04F9" w:rsidRPr="00CF453B"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14" w:history="1">
        <w:r w:rsidR="002E04F9" w:rsidRPr="00CF453B">
          <w:rPr>
            <w:rStyle w:val="af3"/>
            <w:rFonts w:ascii="Times New Roman" w:hAnsi="Times New Roman" w:cs="Times New Roman"/>
            <w:bCs/>
            <w:color w:val="000000" w:themeColor="text1"/>
            <w:sz w:val="28"/>
            <w:szCs w:val="28"/>
          </w:rPr>
          <w:t>РОЗДІЛ 1</w:t>
        </w:r>
      </w:hyperlink>
      <w:r w:rsidR="002B429A" w:rsidRPr="00CF453B">
        <w:rPr>
          <w:rFonts w:ascii="Times New Roman" w:hAnsi="Times New Roman" w:cs="Times New Roman"/>
          <w:color w:val="000000" w:themeColor="text1"/>
          <w:sz w:val="28"/>
          <w:szCs w:val="28"/>
        </w:rPr>
        <w:t xml:space="preserve">. </w:t>
      </w:r>
      <w:hyperlink w:anchor="_Toc220058915" w:history="1">
        <w:r w:rsidR="002E04F9" w:rsidRPr="00CF453B">
          <w:rPr>
            <w:rStyle w:val="af3"/>
            <w:rFonts w:ascii="Times New Roman" w:hAnsi="Times New Roman" w:cs="Times New Roman"/>
            <w:bCs/>
            <w:caps/>
            <w:color w:val="000000" w:themeColor="text1"/>
            <w:sz w:val="28"/>
            <w:szCs w:val="28"/>
          </w:rPr>
          <w:t>Мікроклональне розмноження рослин, його етапи</w:t>
        </w:r>
        <w:r w:rsidR="002E04F9" w:rsidRPr="00CF453B">
          <w:rPr>
            <w:rStyle w:val="af3"/>
            <w:rFonts w:ascii="Times New Roman" w:hAnsi="Times New Roman" w:cs="Times New Roman"/>
            <w:bCs/>
            <w:color w:val="000000" w:themeColor="text1"/>
            <w:sz w:val="28"/>
            <w:szCs w:val="28"/>
          </w:rPr>
          <w:t xml:space="preserve"> (ОГЛЯД ЛІТЕРАТУРИ)</w:t>
        </w:r>
        <w:r w:rsidR="002E04F9" w:rsidRPr="00CF453B">
          <w:rPr>
            <w:rFonts w:ascii="Times New Roman" w:hAnsi="Times New Roman" w:cs="Times New Roman"/>
            <w:webHidden/>
            <w:color w:val="000000" w:themeColor="text1"/>
            <w:sz w:val="28"/>
            <w:szCs w:val="28"/>
          </w:rPr>
          <w:tab/>
        </w:r>
        <w:r w:rsidR="00DE6932" w:rsidRPr="00CF453B">
          <w:rPr>
            <w:rFonts w:ascii="Times New Roman" w:hAnsi="Times New Roman" w:cs="Times New Roman"/>
            <w:webHidden/>
            <w:color w:val="000000" w:themeColor="text1"/>
            <w:sz w:val="28"/>
            <w:szCs w:val="28"/>
          </w:rPr>
          <w:t>3</w:t>
        </w:r>
      </w:hyperlink>
      <w:r w:rsidR="00DD5023">
        <w:rPr>
          <w:rFonts w:ascii="Times New Roman" w:hAnsi="Times New Roman" w:cs="Times New Roman"/>
          <w:sz w:val="28"/>
          <w:szCs w:val="28"/>
        </w:rPr>
        <w:t>0</w:t>
      </w:r>
    </w:p>
    <w:p w:rsidR="002E04F9" w:rsidRPr="00CF453B" w:rsidRDefault="00785319" w:rsidP="00047411">
      <w:pPr>
        <w:pStyle w:val="27"/>
        <w:widowControl w:val="0"/>
        <w:rPr>
          <w:noProof w:val="0"/>
          <w:color w:val="000000" w:themeColor="text1"/>
        </w:rPr>
      </w:pPr>
      <w:hyperlink w:anchor="_Toc220058916" w:history="1">
        <w:r w:rsidR="002E04F9" w:rsidRPr="00CF453B">
          <w:rPr>
            <w:rStyle w:val="af3"/>
            <w:noProof w:val="0"/>
            <w:color w:val="000000" w:themeColor="text1"/>
          </w:rPr>
          <w:t>1.1.</w:t>
        </w:r>
        <w:r w:rsidR="002E04F9" w:rsidRPr="00CF453B">
          <w:rPr>
            <w:noProof w:val="0"/>
            <w:color w:val="000000" w:themeColor="text1"/>
          </w:rPr>
          <w:tab/>
        </w:r>
        <w:r w:rsidR="002E04F9" w:rsidRPr="00CF453B">
          <w:rPr>
            <w:rStyle w:val="af3"/>
            <w:iCs/>
            <w:noProof w:val="0"/>
            <w:color w:val="000000" w:themeColor="text1"/>
          </w:rPr>
          <w:t xml:space="preserve">Відбір, стерилізація та введення ініціальних експлантів у культуру </w:t>
        </w:r>
        <w:r w:rsidR="002E04F9" w:rsidRPr="00CF453B">
          <w:rPr>
            <w:rStyle w:val="af3"/>
            <w:i/>
            <w:iCs/>
            <w:noProof w:val="0"/>
            <w:color w:val="000000" w:themeColor="text1"/>
          </w:rPr>
          <w:t>in vitro</w:t>
        </w:r>
        <w:r w:rsidR="002E04F9" w:rsidRPr="00CF453B">
          <w:rPr>
            <w:noProof w:val="0"/>
            <w:webHidden/>
            <w:color w:val="000000" w:themeColor="text1"/>
          </w:rPr>
          <w:tab/>
        </w:r>
        <w:r w:rsidR="00F3396F" w:rsidRPr="00CF453B">
          <w:rPr>
            <w:noProof w:val="0"/>
            <w:webHidden/>
            <w:color w:val="000000" w:themeColor="text1"/>
          </w:rPr>
          <w:t>…………………………………………………………………………….</w:t>
        </w:r>
        <w:r w:rsidR="00DE6932" w:rsidRPr="00CF453B">
          <w:rPr>
            <w:noProof w:val="0"/>
            <w:webHidden/>
            <w:color w:val="000000" w:themeColor="text1"/>
          </w:rPr>
          <w:t>3</w:t>
        </w:r>
      </w:hyperlink>
      <w:r w:rsidR="00DD5023">
        <w:t>1</w:t>
      </w:r>
    </w:p>
    <w:p w:rsidR="002E04F9" w:rsidRPr="00CF453B" w:rsidRDefault="00785319" w:rsidP="00047411">
      <w:pPr>
        <w:pStyle w:val="27"/>
        <w:widowControl w:val="0"/>
        <w:rPr>
          <w:noProof w:val="0"/>
          <w:color w:val="000000" w:themeColor="text1"/>
        </w:rPr>
      </w:pPr>
      <w:hyperlink w:anchor="_Toc220058917" w:history="1">
        <w:r w:rsidR="002E04F9" w:rsidRPr="00CF453B">
          <w:rPr>
            <w:rStyle w:val="af3"/>
            <w:bCs/>
            <w:noProof w:val="0"/>
            <w:color w:val="000000" w:themeColor="text1"/>
          </w:rPr>
          <w:t>1.2.</w:t>
        </w:r>
        <w:r w:rsidR="002E04F9" w:rsidRPr="00CF453B">
          <w:rPr>
            <w:noProof w:val="0"/>
            <w:color w:val="000000" w:themeColor="text1"/>
          </w:rPr>
          <w:tab/>
        </w:r>
        <w:r w:rsidR="002E04F9" w:rsidRPr="00CF453B">
          <w:rPr>
            <w:rStyle w:val="af3"/>
            <w:bCs/>
            <w:noProof w:val="0"/>
            <w:color w:val="000000" w:themeColor="text1"/>
          </w:rPr>
          <w:t>Проліферація пазушних бруньок ініціальних експлантів та формування пагонів</w:t>
        </w:r>
        <w:r w:rsidR="002E04F9" w:rsidRPr="00CF453B">
          <w:rPr>
            <w:noProof w:val="0"/>
            <w:webHidden/>
            <w:color w:val="000000" w:themeColor="text1"/>
          </w:rPr>
          <w:tab/>
        </w:r>
        <w:r w:rsidR="00293A70" w:rsidRPr="00CF453B">
          <w:rPr>
            <w:noProof w:val="0"/>
            <w:webHidden/>
            <w:color w:val="000000" w:themeColor="text1"/>
          </w:rPr>
          <w:t>3</w:t>
        </w:r>
      </w:hyperlink>
      <w:r w:rsidR="00DD5023">
        <w:t>4</w:t>
      </w:r>
    </w:p>
    <w:p w:rsidR="002E04F9" w:rsidRPr="00CF453B" w:rsidRDefault="00785319" w:rsidP="00047411">
      <w:pPr>
        <w:pStyle w:val="27"/>
        <w:widowControl w:val="0"/>
        <w:rPr>
          <w:noProof w:val="0"/>
          <w:color w:val="000000" w:themeColor="text1"/>
        </w:rPr>
      </w:pPr>
      <w:hyperlink w:anchor="_Toc220058918" w:history="1">
        <w:r w:rsidR="002E04F9" w:rsidRPr="00CF453B">
          <w:rPr>
            <w:rStyle w:val="af3"/>
            <w:noProof w:val="0"/>
            <w:color w:val="000000" w:themeColor="text1"/>
          </w:rPr>
          <w:t>1.3.</w:t>
        </w:r>
        <w:r w:rsidR="002E04F9" w:rsidRPr="00CF453B">
          <w:rPr>
            <w:noProof w:val="0"/>
            <w:color w:val="000000" w:themeColor="text1"/>
          </w:rPr>
          <w:tab/>
        </w:r>
        <w:r w:rsidR="002E04F9" w:rsidRPr="00CF453B">
          <w:rPr>
            <w:rStyle w:val="af3"/>
            <w:iCs/>
            <w:noProof w:val="0"/>
            <w:color w:val="000000" w:themeColor="text1"/>
          </w:rPr>
          <w:t>Укорінення (ризогенез) ініціальних експлантів та формування кореневої системи мікроклонів</w:t>
        </w:r>
        <w:r w:rsidR="002E04F9" w:rsidRPr="00CF453B">
          <w:rPr>
            <w:noProof w:val="0"/>
            <w:webHidden/>
            <w:color w:val="000000" w:themeColor="text1"/>
          </w:rPr>
          <w:tab/>
        </w:r>
        <w:r w:rsidR="00DE6932" w:rsidRPr="00CF453B">
          <w:rPr>
            <w:noProof w:val="0"/>
            <w:webHidden/>
            <w:color w:val="000000" w:themeColor="text1"/>
          </w:rPr>
          <w:t>4</w:t>
        </w:r>
      </w:hyperlink>
      <w:r w:rsidR="00DD5023">
        <w:t>0</w:t>
      </w:r>
    </w:p>
    <w:p w:rsidR="002E04F9" w:rsidRPr="00CF453B" w:rsidRDefault="00785319" w:rsidP="00047411">
      <w:pPr>
        <w:pStyle w:val="27"/>
        <w:widowControl w:val="0"/>
        <w:rPr>
          <w:noProof w:val="0"/>
          <w:color w:val="000000" w:themeColor="text1"/>
        </w:rPr>
      </w:pPr>
      <w:hyperlink w:anchor="_Toc220058919" w:history="1">
        <w:r w:rsidR="002E04F9" w:rsidRPr="00CF453B">
          <w:rPr>
            <w:rStyle w:val="af3"/>
            <w:noProof w:val="0"/>
            <w:color w:val="000000" w:themeColor="text1"/>
          </w:rPr>
          <w:t>1.4.</w:t>
        </w:r>
        <w:r w:rsidR="002E04F9" w:rsidRPr="00CF453B">
          <w:rPr>
            <w:noProof w:val="0"/>
            <w:color w:val="000000" w:themeColor="text1"/>
          </w:rPr>
          <w:tab/>
        </w:r>
        <w:r w:rsidR="002E04F9" w:rsidRPr="00CF453B">
          <w:rPr>
            <w:rStyle w:val="af3"/>
            <w:noProof w:val="0"/>
            <w:color w:val="000000" w:themeColor="text1"/>
          </w:rPr>
          <w:t xml:space="preserve">Постасептична адаптація рослин </w:t>
        </w:r>
        <w:r w:rsidR="002E04F9" w:rsidRPr="00CF453B">
          <w:rPr>
            <w:rStyle w:val="af3"/>
            <w:i/>
            <w:noProof w:val="0"/>
            <w:color w:val="000000" w:themeColor="text1"/>
          </w:rPr>
          <w:t>in vitro</w:t>
        </w:r>
        <w:r w:rsidR="002E04F9" w:rsidRPr="00CF453B">
          <w:rPr>
            <w:noProof w:val="0"/>
            <w:webHidden/>
            <w:color w:val="000000" w:themeColor="text1"/>
          </w:rPr>
          <w:tab/>
        </w:r>
        <w:r w:rsidR="00293A70" w:rsidRPr="00CF453B">
          <w:rPr>
            <w:noProof w:val="0"/>
            <w:webHidden/>
            <w:color w:val="000000" w:themeColor="text1"/>
          </w:rPr>
          <w:t>4</w:t>
        </w:r>
      </w:hyperlink>
      <w:r w:rsidR="00DD5023">
        <w:t>7</w:t>
      </w:r>
    </w:p>
    <w:p w:rsidR="002E04F9" w:rsidRPr="00CF453B" w:rsidRDefault="00785319" w:rsidP="00047411">
      <w:pPr>
        <w:pStyle w:val="27"/>
        <w:widowControl w:val="0"/>
        <w:rPr>
          <w:noProof w:val="0"/>
          <w:color w:val="000000" w:themeColor="text1"/>
        </w:rPr>
      </w:pPr>
      <w:hyperlink w:anchor="_Toc220058920" w:history="1">
        <w:r w:rsidR="002E04F9" w:rsidRPr="00CF453B">
          <w:rPr>
            <w:rStyle w:val="af3"/>
            <w:bCs/>
            <w:noProof w:val="0"/>
            <w:color w:val="000000" w:themeColor="text1"/>
          </w:rPr>
          <w:t xml:space="preserve">1.5. Особливості перебігу фізіолого-біохімічних процесів рослин в умовах </w:t>
        </w:r>
        <w:r w:rsidR="002E04F9" w:rsidRPr="00CF453B">
          <w:rPr>
            <w:rStyle w:val="af3"/>
            <w:bCs/>
            <w:i/>
            <w:iCs/>
            <w:noProof w:val="0"/>
            <w:color w:val="000000" w:themeColor="text1"/>
          </w:rPr>
          <w:t>in vitro</w:t>
        </w:r>
        <w:r w:rsidR="002E04F9" w:rsidRPr="00CF453B">
          <w:rPr>
            <w:noProof w:val="0"/>
            <w:webHidden/>
            <w:color w:val="000000" w:themeColor="text1"/>
          </w:rPr>
          <w:tab/>
        </w:r>
        <w:r w:rsidR="00B33E30" w:rsidRPr="00CF453B">
          <w:rPr>
            <w:noProof w:val="0"/>
            <w:webHidden/>
            <w:color w:val="000000" w:themeColor="text1"/>
          </w:rPr>
          <w:t>…………………………………………………………………………….</w:t>
        </w:r>
        <w:r w:rsidR="00DE6932" w:rsidRPr="00CF453B">
          <w:rPr>
            <w:noProof w:val="0"/>
            <w:webHidden/>
            <w:color w:val="000000" w:themeColor="text1"/>
          </w:rPr>
          <w:t>5</w:t>
        </w:r>
      </w:hyperlink>
      <w:r w:rsidR="00DD5023">
        <w:t>3</w:t>
      </w:r>
    </w:p>
    <w:p w:rsidR="002E04F9" w:rsidRPr="00CF453B" w:rsidRDefault="00785319" w:rsidP="00047411">
      <w:pPr>
        <w:pStyle w:val="27"/>
        <w:widowControl w:val="0"/>
        <w:rPr>
          <w:noProof w:val="0"/>
          <w:color w:val="000000" w:themeColor="text1"/>
        </w:rPr>
      </w:pPr>
      <w:hyperlink w:anchor="_Toc220058921" w:history="1">
        <w:r w:rsidR="002E04F9" w:rsidRPr="00CF453B">
          <w:rPr>
            <w:rStyle w:val="af3"/>
            <w:bCs/>
            <w:noProof w:val="0"/>
            <w:color w:val="000000" w:themeColor="text1"/>
          </w:rPr>
          <w:t xml:space="preserve">1.6. Особливості анатомічної будови листкових пластинок рослин в умовах </w:t>
        </w:r>
        <w:r w:rsidR="002E04F9" w:rsidRPr="00CF453B">
          <w:rPr>
            <w:rStyle w:val="af3"/>
            <w:i/>
            <w:iCs/>
            <w:noProof w:val="0"/>
            <w:color w:val="000000" w:themeColor="text1"/>
          </w:rPr>
          <w:t>in vitro</w:t>
        </w:r>
        <w:r w:rsidR="002E04F9" w:rsidRPr="00CF453B">
          <w:rPr>
            <w:noProof w:val="0"/>
            <w:webHidden/>
            <w:color w:val="000000" w:themeColor="text1"/>
          </w:rPr>
          <w:tab/>
        </w:r>
        <w:r w:rsidR="00B33E30" w:rsidRPr="00CF453B">
          <w:rPr>
            <w:noProof w:val="0"/>
            <w:webHidden/>
            <w:color w:val="000000" w:themeColor="text1"/>
          </w:rPr>
          <w:t>………………………………………………………………………</w:t>
        </w:r>
        <w:r w:rsidR="00452F73" w:rsidRPr="00CF453B">
          <w:rPr>
            <w:noProof w:val="0"/>
            <w:webHidden/>
            <w:color w:val="000000" w:themeColor="text1"/>
          </w:rPr>
          <w:t>.</w:t>
        </w:r>
        <w:r w:rsidR="00B33E30" w:rsidRPr="00CF453B">
          <w:rPr>
            <w:noProof w:val="0"/>
            <w:webHidden/>
            <w:color w:val="000000" w:themeColor="text1"/>
          </w:rPr>
          <w:t>……</w:t>
        </w:r>
        <w:r w:rsidR="00DE6932" w:rsidRPr="00CF453B">
          <w:rPr>
            <w:noProof w:val="0"/>
            <w:webHidden/>
            <w:color w:val="000000" w:themeColor="text1"/>
          </w:rPr>
          <w:t>6</w:t>
        </w:r>
      </w:hyperlink>
      <w:r w:rsidR="00CA1F52">
        <w:t>4</w:t>
      </w:r>
    </w:p>
    <w:p w:rsidR="002E04F9" w:rsidRPr="00CF453B" w:rsidRDefault="00785319" w:rsidP="00047411">
      <w:pPr>
        <w:pStyle w:val="27"/>
        <w:widowControl w:val="0"/>
        <w:rPr>
          <w:noProof w:val="0"/>
          <w:color w:val="000000" w:themeColor="text1"/>
        </w:rPr>
      </w:pPr>
      <w:hyperlink w:anchor="_Toc220058922" w:history="1">
        <w:r w:rsidR="002E04F9" w:rsidRPr="00CF453B">
          <w:rPr>
            <w:rStyle w:val="af3"/>
            <w:rFonts w:eastAsia="Calibri"/>
            <w:bCs/>
            <w:noProof w:val="0"/>
            <w:color w:val="000000" w:themeColor="text1"/>
          </w:rPr>
          <w:t>Висновки до розділу 1</w:t>
        </w:r>
        <w:r w:rsidR="002E04F9" w:rsidRPr="00CF453B">
          <w:rPr>
            <w:noProof w:val="0"/>
            <w:webHidden/>
            <w:color w:val="000000" w:themeColor="text1"/>
          </w:rPr>
          <w:tab/>
        </w:r>
        <w:r w:rsidR="00293A70" w:rsidRPr="00CF453B">
          <w:rPr>
            <w:noProof w:val="0"/>
            <w:webHidden/>
            <w:color w:val="000000" w:themeColor="text1"/>
          </w:rPr>
          <w:t>6</w:t>
        </w:r>
      </w:hyperlink>
      <w:r w:rsidR="00DD5023">
        <w:t>6</w:t>
      </w:r>
    </w:p>
    <w:p w:rsidR="002E04F9" w:rsidRPr="00CF453B"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23" w:history="1">
        <w:r w:rsidR="002E04F9" w:rsidRPr="00CF453B">
          <w:rPr>
            <w:rStyle w:val="af3"/>
            <w:rFonts w:ascii="Times New Roman" w:hAnsi="Times New Roman" w:cs="Times New Roman"/>
            <w:bCs/>
            <w:color w:val="000000" w:themeColor="text1"/>
            <w:sz w:val="28"/>
            <w:szCs w:val="28"/>
          </w:rPr>
          <w:t>РОЗДІЛ 2</w:t>
        </w:r>
      </w:hyperlink>
      <w:r w:rsidR="002B429A" w:rsidRPr="00CF453B">
        <w:rPr>
          <w:rFonts w:ascii="Times New Roman" w:hAnsi="Times New Roman" w:cs="Times New Roman"/>
          <w:color w:val="000000" w:themeColor="text1"/>
          <w:sz w:val="28"/>
          <w:szCs w:val="28"/>
        </w:rPr>
        <w:t xml:space="preserve">. </w:t>
      </w:r>
      <w:hyperlink w:anchor="_Toc220058924" w:history="1">
        <w:r w:rsidR="002E04F9" w:rsidRPr="00CF453B">
          <w:rPr>
            <w:rStyle w:val="af3"/>
            <w:rFonts w:ascii="Times New Roman" w:hAnsi="Times New Roman" w:cs="Times New Roman"/>
            <w:bCs/>
            <w:color w:val="000000" w:themeColor="text1"/>
            <w:sz w:val="28"/>
            <w:szCs w:val="28"/>
          </w:rPr>
          <w:t>ОБ’ЄКТИ, МЕТОДИ ТА УМОВИ ПРОВЕДЕННЯ ДОСЛІДЖЕННЯ</w:t>
        </w:r>
        <w:r w:rsidR="002E04F9" w:rsidRPr="00CF453B">
          <w:rPr>
            <w:rFonts w:ascii="Times New Roman" w:hAnsi="Times New Roman" w:cs="Times New Roman"/>
            <w:webHidden/>
            <w:color w:val="000000" w:themeColor="text1"/>
            <w:sz w:val="28"/>
            <w:szCs w:val="28"/>
          </w:rPr>
          <w:tab/>
        </w:r>
        <w:r w:rsidR="00B26FBC" w:rsidRPr="00CF453B">
          <w:rPr>
            <w:rFonts w:ascii="Times New Roman" w:hAnsi="Times New Roman" w:cs="Times New Roman"/>
            <w:webHidden/>
            <w:color w:val="000000" w:themeColor="text1"/>
            <w:sz w:val="28"/>
            <w:szCs w:val="28"/>
          </w:rPr>
          <w:t>7</w:t>
        </w:r>
      </w:hyperlink>
      <w:r w:rsidR="00DD5023">
        <w:rPr>
          <w:rFonts w:ascii="Times New Roman" w:hAnsi="Times New Roman" w:cs="Times New Roman"/>
          <w:sz w:val="28"/>
          <w:szCs w:val="28"/>
        </w:rPr>
        <w:t>2</w:t>
      </w:r>
    </w:p>
    <w:p w:rsidR="002E04F9" w:rsidRPr="00CF453B" w:rsidRDefault="00785319" w:rsidP="00047411">
      <w:pPr>
        <w:pStyle w:val="27"/>
        <w:widowControl w:val="0"/>
        <w:rPr>
          <w:noProof w:val="0"/>
          <w:color w:val="000000" w:themeColor="text1"/>
        </w:rPr>
      </w:pPr>
      <w:hyperlink w:anchor="_Toc220058925" w:history="1">
        <w:r w:rsidR="002E04F9" w:rsidRPr="00CF453B">
          <w:rPr>
            <w:rStyle w:val="af3"/>
            <w:bCs/>
            <w:noProof w:val="0"/>
            <w:color w:val="000000" w:themeColor="text1"/>
          </w:rPr>
          <w:t>2.1. Об’єкти та схеми дослідження</w:t>
        </w:r>
        <w:r w:rsidR="002E04F9" w:rsidRPr="00CF453B">
          <w:rPr>
            <w:noProof w:val="0"/>
            <w:webHidden/>
            <w:color w:val="000000" w:themeColor="text1"/>
          </w:rPr>
          <w:tab/>
        </w:r>
        <w:r w:rsidR="00B26FBC" w:rsidRPr="00CF453B">
          <w:rPr>
            <w:noProof w:val="0"/>
            <w:webHidden/>
            <w:color w:val="000000" w:themeColor="text1"/>
          </w:rPr>
          <w:t>7</w:t>
        </w:r>
      </w:hyperlink>
      <w:r w:rsidR="00DD5023">
        <w:t>2</w:t>
      </w:r>
    </w:p>
    <w:p w:rsidR="002E04F9" w:rsidRPr="00CF453B" w:rsidRDefault="00785319" w:rsidP="00047411">
      <w:pPr>
        <w:pStyle w:val="27"/>
        <w:widowControl w:val="0"/>
        <w:rPr>
          <w:noProof w:val="0"/>
          <w:color w:val="000000" w:themeColor="text1"/>
        </w:rPr>
      </w:pPr>
      <w:hyperlink w:anchor="_Toc220058926" w:history="1">
        <w:r w:rsidR="002E04F9" w:rsidRPr="00CF453B">
          <w:rPr>
            <w:rStyle w:val="af3"/>
            <w:bCs/>
            <w:noProof w:val="0"/>
            <w:color w:val="000000" w:themeColor="text1"/>
          </w:rPr>
          <w:t>2.2. Обліки, аналізи і методи дослідження</w:t>
        </w:r>
        <w:r w:rsidR="002E04F9" w:rsidRPr="00CF453B">
          <w:rPr>
            <w:noProof w:val="0"/>
            <w:webHidden/>
            <w:color w:val="000000" w:themeColor="text1"/>
          </w:rPr>
          <w:tab/>
        </w:r>
        <w:r w:rsidR="0061729B" w:rsidRPr="00CF453B">
          <w:rPr>
            <w:noProof w:val="0"/>
            <w:webHidden/>
            <w:color w:val="000000" w:themeColor="text1"/>
          </w:rPr>
          <w:t>7</w:t>
        </w:r>
      </w:hyperlink>
      <w:r w:rsidR="00DD5023">
        <w:t>5</w:t>
      </w:r>
    </w:p>
    <w:p w:rsidR="002E04F9" w:rsidRPr="00CF453B" w:rsidRDefault="00785319" w:rsidP="00047411">
      <w:pPr>
        <w:pStyle w:val="27"/>
        <w:widowControl w:val="0"/>
        <w:rPr>
          <w:noProof w:val="0"/>
          <w:color w:val="000000" w:themeColor="text1"/>
        </w:rPr>
      </w:pPr>
      <w:hyperlink w:anchor="_Toc220058927" w:history="1">
        <w:r w:rsidR="002E04F9" w:rsidRPr="00CF453B">
          <w:rPr>
            <w:rStyle w:val="af3"/>
            <w:bCs/>
            <w:noProof w:val="0"/>
            <w:color w:val="000000" w:themeColor="text1"/>
          </w:rPr>
          <w:t>2.3. Характеристика матеріалів використаних у роботі</w:t>
        </w:r>
        <w:r w:rsidR="002E04F9" w:rsidRPr="00CF453B">
          <w:rPr>
            <w:noProof w:val="0"/>
            <w:webHidden/>
            <w:color w:val="000000" w:themeColor="text1"/>
          </w:rPr>
          <w:tab/>
        </w:r>
        <w:r w:rsidR="0061729B" w:rsidRPr="00CF453B">
          <w:rPr>
            <w:noProof w:val="0"/>
            <w:webHidden/>
            <w:color w:val="000000" w:themeColor="text1"/>
          </w:rPr>
          <w:t>7</w:t>
        </w:r>
      </w:hyperlink>
      <w:r w:rsidR="00DD5023">
        <w:t>7</w:t>
      </w:r>
    </w:p>
    <w:p w:rsidR="002E04F9" w:rsidRPr="00CF453B" w:rsidRDefault="00785319" w:rsidP="00047411">
      <w:pPr>
        <w:pStyle w:val="27"/>
        <w:widowControl w:val="0"/>
        <w:rPr>
          <w:noProof w:val="0"/>
          <w:color w:val="000000" w:themeColor="text1"/>
        </w:rPr>
      </w:pPr>
      <w:hyperlink w:anchor="_Toc220058928" w:history="1">
        <w:r w:rsidR="002E04F9" w:rsidRPr="00CF453B">
          <w:rPr>
            <w:rStyle w:val="af3"/>
            <w:noProof w:val="0"/>
            <w:color w:val="000000" w:themeColor="text1"/>
          </w:rPr>
          <w:t>2.4. Умови проведення дослідження</w:t>
        </w:r>
        <w:r w:rsidR="002E04F9" w:rsidRPr="00CF453B">
          <w:rPr>
            <w:noProof w:val="0"/>
            <w:webHidden/>
            <w:color w:val="000000" w:themeColor="text1"/>
          </w:rPr>
          <w:tab/>
        </w:r>
        <w:r w:rsidR="0061729B" w:rsidRPr="00CF453B">
          <w:rPr>
            <w:noProof w:val="0"/>
            <w:webHidden/>
            <w:color w:val="000000" w:themeColor="text1"/>
          </w:rPr>
          <w:t>7</w:t>
        </w:r>
      </w:hyperlink>
      <w:r w:rsidR="00DD5023">
        <w:t>8</w:t>
      </w:r>
    </w:p>
    <w:p w:rsidR="002E04F9" w:rsidRPr="00CF453B" w:rsidRDefault="00785319" w:rsidP="00047411">
      <w:pPr>
        <w:pStyle w:val="27"/>
        <w:widowControl w:val="0"/>
        <w:rPr>
          <w:noProof w:val="0"/>
          <w:color w:val="000000" w:themeColor="text1"/>
        </w:rPr>
      </w:pPr>
      <w:hyperlink w:anchor="_Toc220058929" w:history="1">
        <w:r w:rsidR="002E04F9" w:rsidRPr="00CF453B">
          <w:rPr>
            <w:rStyle w:val="af3"/>
            <w:noProof w:val="0"/>
            <w:color w:val="000000" w:themeColor="text1"/>
          </w:rPr>
          <w:t>Висновки до розділу 2</w:t>
        </w:r>
        <w:r w:rsidR="002E04F9" w:rsidRPr="00CF453B">
          <w:rPr>
            <w:noProof w:val="0"/>
            <w:webHidden/>
            <w:color w:val="000000" w:themeColor="text1"/>
          </w:rPr>
          <w:tab/>
        </w:r>
      </w:hyperlink>
      <w:r w:rsidR="00DD5023">
        <w:t>79</w:t>
      </w:r>
    </w:p>
    <w:p w:rsidR="002E04F9" w:rsidRPr="00CF453B"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30" w:history="1">
        <w:r w:rsidR="002E04F9" w:rsidRPr="00CF453B">
          <w:rPr>
            <w:rStyle w:val="af3"/>
            <w:rFonts w:ascii="Times New Roman" w:eastAsia="NSimSun" w:hAnsi="Times New Roman" w:cs="Times New Roman"/>
            <w:bCs/>
            <w:caps/>
            <w:color w:val="000000" w:themeColor="text1"/>
            <w:kern w:val="3"/>
            <w:sz w:val="28"/>
            <w:szCs w:val="28"/>
            <w:lang w:eastAsia="zh-CN" w:bidi="hi-IN"/>
          </w:rPr>
          <w:t>Розділ 3</w:t>
        </w:r>
      </w:hyperlink>
      <w:r w:rsidR="002B429A" w:rsidRPr="00CF453B">
        <w:rPr>
          <w:rFonts w:ascii="Times New Roman" w:hAnsi="Times New Roman" w:cs="Times New Roman"/>
          <w:color w:val="000000" w:themeColor="text1"/>
          <w:sz w:val="28"/>
          <w:szCs w:val="28"/>
        </w:rPr>
        <w:t xml:space="preserve">. </w:t>
      </w:r>
      <w:hyperlink w:anchor="_Toc220058931" w:history="1">
        <w:r w:rsidR="002E04F9" w:rsidRPr="00CF453B">
          <w:rPr>
            <w:rStyle w:val="af3"/>
            <w:rFonts w:ascii="Times New Roman" w:eastAsia="NSimSun" w:hAnsi="Times New Roman" w:cs="Times New Roman"/>
            <w:bCs/>
            <w:caps/>
            <w:color w:val="000000" w:themeColor="text1"/>
            <w:kern w:val="3"/>
            <w:sz w:val="28"/>
            <w:szCs w:val="28"/>
            <w:lang w:eastAsia="zh-CN" w:bidi="hi-IN"/>
          </w:rPr>
          <w:t xml:space="preserve">РЕГЕНЕРАЦІЙНА ЗДАТНІСТЬ ІНІЦІАЛЬНИХ ЕКСПЛАНТІВ ВИНОГРАДУ </w:t>
        </w:r>
        <w:r w:rsidR="002E04F9" w:rsidRPr="00CF453B">
          <w:rPr>
            <w:rStyle w:val="af3"/>
            <w:rFonts w:ascii="Times New Roman" w:eastAsia="NSimSun" w:hAnsi="Times New Roman" w:cs="Times New Roman"/>
            <w:bCs/>
            <w:i/>
            <w:caps/>
            <w:color w:val="000000" w:themeColor="text1"/>
            <w:kern w:val="3"/>
            <w:sz w:val="28"/>
            <w:szCs w:val="28"/>
            <w:lang w:eastAsia="zh-CN" w:bidi="hi-IN"/>
          </w:rPr>
          <w:t>IN VITRO</w:t>
        </w:r>
        <w:r w:rsidR="002E04F9" w:rsidRPr="00CF453B">
          <w:rPr>
            <w:rFonts w:ascii="Times New Roman" w:hAnsi="Times New Roman" w:cs="Times New Roman"/>
            <w:webHidden/>
            <w:color w:val="000000" w:themeColor="text1"/>
            <w:sz w:val="28"/>
            <w:szCs w:val="28"/>
          </w:rPr>
          <w:tab/>
        </w:r>
        <w:r w:rsidR="00B26FBC" w:rsidRPr="00CF453B">
          <w:rPr>
            <w:rFonts w:ascii="Times New Roman" w:hAnsi="Times New Roman" w:cs="Times New Roman"/>
            <w:webHidden/>
            <w:color w:val="000000" w:themeColor="text1"/>
            <w:sz w:val="28"/>
            <w:szCs w:val="28"/>
          </w:rPr>
          <w:t>8</w:t>
        </w:r>
      </w:hyperlink>
      <w:r w:rsidR="00DD5023" w:rsidRPr="00BE5C9C">
        <w:rPr>
          <w:rFonts w:ascii="Times New Roman" w:hAnsi="Times New Roman" w:cs="Times New Roman"/>
          <w:sz w:val="28"/>
          <w:szCs w:val="28"/>
        </w:rPr>
        <w:t>2</w:t>
      </w:r>
    </w:p>
    <w:p w:rsidR="002E04F9" w:rsidRPr="00CF453B" w:rsidRDefault="00785319" w:rsidP="00047411">
      <w:pPr>
        <w:pStyle w:val="27"/>
        <w:widowControl w:val="0"/>
        <w:rPr>
          <w:noProof w:val="0"/>
          <w:color w:val="000000" w:themeColor="text1"/>
        </w:rPr>
      </w:pPr>
      <w:hyperlink w:anchor="_Toc220058932" w:history="1">
        <w:r w:rsidR="002E04F9" w:rsidRPr="00CF453B">
          <w:rPr>
            <w:rStyle w:val="af3"/>
            <w:rFonts w:eastAsia="NSimSun"/>
            <w:noProof w:val="0"/>
            <w:color w:val="000000" w:themeColor="text1"/>
            <w:kern w:val="3"/>
            <w:lang w:eastAsia="zh-CN" w:bidi="hi-IN"/>
          </w:rPr>
          <w:t>3.1. Приживлюваність</w:t>
        </w:r>
        <w:r w:rsidR="002E04F9" w:rsidRPr="00CF453B">
          <w:rPr>
            <w:noProof w:val="0"/>
            <w:webHidden/>
            <w:color w:val="000000" w:themeColor="text1"/>
          </w:rPr>
          <w:tab/>
        </w:r>
        <w:r w:rsidR="00B26FBC" w:rsidRPr="00CF453B">
          <w:rPr>
            <w:noProof w:val="0"/>
            <w:webHidden/>
            <w:color w:val="000000" w:themeColor="text1"/>
          </w:rPr>
          <w:t>8</w:t>
        </w:r>
      </w:hyperlink>
      <w:r w:rsidR="00DD5023">
        <w:t>2</w:t>
      </w:r>
    </w:p>
    <w:p w:rsidR="002E04F9" w:rsidRPr="00CF453B" w:rsidRDefault="00785319" w:rsidP="00047411">
      <w:pPr>
        <w:pStyle w:val="27"/>
        <w:widowControl w:val="0"/>
        <w:rPr>
          <w:noProof w:val="0"/>
          <w:color w:val="000000" w:themeColor="text1"/>
        </w:rPr>
      </w:pPr>
      <w:hyperlink w:anchor="_Toc220058933" w:history="1">
        <w:r w:rsidR="002E04F9" w:rsidRPr="00CF453B">
          <w:rPr>
            <w:rStyle w:val="af3"/>
            <w:bCs/>
            <w:noProof w:val="0"/>
            <w:color w:val="000000" w:themeColor="text1"/>
          </w:rPr>
          <w:t>3.2. Проліферація пазушних бруньок</w:t>
        </w:r>
        <w:r w:rsidR="002E04F9" w:rsidRPr="00CF453B">
          <w:rPr>
            <w:noProof w:val="0"/>
            <w:webHidden/>
            <w:color w:val="000000" w:themeColor="text1"/>
          </w:rPr>
          <w:tab/>
        </w:r>
      </w:hyperlink>
      <w:r w:rsidR="00DD5023">
        <w:t>89</w:t>
      </w:r>
    </w:p>
    <w:p w:rsidR="002E04F9" w:rsidRPr="00CF453B" w:rsidRDefault="00785319" w:rsidP="00047411">
      <w:pPr>
        <w:pStyle w:val="27"/>
        <w:widowControl w:val="0"/>
        <w:rPr>
          <w:noProof w:val="0"/>
          <w:color w:val="000000" w:themeColor="text1"/>
        </w:rPr>
      </w:pPr>
      <w:hyperlink w:anchor="_Toc220058934" w:history="1">
        <w:r w:rsidR="002E04F9" w:rsidRPr="00CF453B">
          <w:rPr>
            <w:rStyle w:val="af3"/>
            <w:bCs/>
            <w:noProof w:val="0"/>
            <w:color w:val="000000" w:themeColor="text1"/>
          </w:rPr>
          <w:t>3.3. Ризогенез</w:t>
        </w:r>
        <w:r w:rsidR="002E04F9" w:rsidRPr="00CF453B">
          <w:rPr>
            <w:noProof w:val="0"/>
            <w:webHidden/>
            <w:color w:val="000000" w:themeColor="text1"/>
          </w:rPr>
          <w:tab/>
        </w:r>
        <w:r w:rsidR="0061729B" w:rsidRPr="00CF453B">
          <w:rPr>
            <w:noProof w:val="0"/>
            <w:webHidden/>
            <w:color w:val="000000" w:themeColor="text1"/>
          </w:rPr>
          <w:t>9</w:t>
        </w:r>
      </w:hyperlink>
      <w:r w:rsidR="00DD5023">
        <w:t>5</w:t>
      </w:r>
    </w:p>
    <w:p w:rsidR="002E04F9" w:rsidRPr="00CF453B" w:rsidRDefault="00785319" w:rsidP="00047411">
      <w:pPr>
        <w:pStyle w:val="27"/>
        <w:widowControl w:val="0"/>
        <w:rPr>
          <w:noProof w:val="0"/>
          <w:color w:val="000000" w:themeColor="text1"/>
        </w:rPr>
      </w:pPr>
      <w:hyperlink w:anchor="_Toc220058935" w:history="1">
        <w:r w:rsidR="002E04F9" w:rsidRPr="00CF453B">
          <w:rPr>
            <w:rStyle w:val="af3"/>
            <w:rFonts w:eastAsia="NSimSun"/>
            <w:bCs/>
            <w:caps/>
            <w:noProof w:val="0"/>
            <w:color w:val="000000" w:themeColor="text1"/>
          </w:rPr>
          <w:t>В</w:t>
        </w:r>
        <w:r w:rsidR="002E04F9" w:rsidRPr="00CF453B">
          <w:rPr>
            <w:rStyle w:val="af3"/>
            <w:rFonts w:eastAsia="NSimSun"/>
            <w:bCs/>
            <w:noProof w:val="0"/>
            <w:color w:val="000000" w:themeColor="text1"/>
          </w:rPr>
          <w:t>исновки до розділу 3</w:t>
        </w:r>
        <w:r w:rsidR="002E04F9" w:rsidRPr="00CF453B">
          <w:rPr>
            <w:noProof w:val="0"/>
            <w:webHidden/>
            <w:color w:val="000000" w:themeColor="text1"/>
          </w:rPr>
          <w:tab/>
        </w:r>
        <w:r w:rsidR="00B26FBC" w:rsidRPr="00CF453B">
          <w:rPr>
            <w:noProof w:val="0"/>
            <w:webHidden/>
            <w:color w:val="000000" w:themeColor="text1"/>
          </w:rPr>
          <w:t>10</w:t>
        </w:r>
      </w:hyperlink>
      <w:r w:rsidR="00DD5023">
        <w:t>1</w:t>
      </w:r>
    </w:p>
    <w:p w:rsidR="002E04F9" w:rsidRPr="00CF453B"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36" w:history="1">
        <w:r w:rsidR="002E04F9" w:rsidRPr="00CF453B">
          <w:rPr>
            <w:rStyle w:val="af3"/>
            <w:rFonts w:ascii="Times New Roman" w:eastAsia="SimSun" w:hAnsi="Times New Roman" w:cs="Times New Roman"/>
            <w:bCs/>
            <w:color w:val="000000" w:themeColor="text1"/>
            <w:sz w:val="28"/>
            <w:szCs w:val="28"/>
          </w:rPr>
          <w:t>РОЗДІЛ 4</w:t>
        </w:r>
      </w:hyperlink>
      <w:r w:rsidR="002B429A" w:rsidRPr="00CF453B">
        <w:rPr>
          <w:rFonts w:ascii="Times New Roman" w:hAnsi="Times New Roman" w:cs="Times New Roman"/>
          <w:color w:val="000000" w:themeColor="text1"/>
          <w:sz w:val="28"/>
          <w:szCs w:val="28"/>
        </w:rPr>
        <w:t xml:space="preserve">. </w:t>
      </w:r>
      <w:hyperlink w:anchor="_Toc220058937" w:history="1">
        <w:r w:rsidR="002E04F9" w:rsidRPr="00CF453B">
          <w:rPr>
            <w:rStyle w:val="af3"/>
            <w:rFonts w:ascii="Times New Roman" w:eastAsia="SimSun" w:hAnsi="Times New Roman" w:cs="Times New Roman"/>
            <w:bCs/>
            <w:color w:val="000000" w:themeColor="text1"/>
            <w:sz w:val="28"/>
            <w:szCs w:val="28"/>
          </w:rPr>
          <w:t xml:space="preserve">БІОМЕТРИЧНІ ПОКАЗНИКИ РОСТУ І РОЗВИТКУ МІКРОКЛОНІВ ВИНОГРАДУ </w:t>
        </w:r>
        <w:r w:rsidR="002E04F9" w:rsidRPr="00CF453B">
          <w:rPr>
            <w:rStyle w:val="af3"/>
            <w:rFonts w:ascii="Times New Roman" w:eastAsia="SimSun" w:hAnsi="Times New Roman" w:cs="Times New Roman"/>
            <w:bCs/>
            <w:i/>
            <w:iCs/>
            <w:color w:val="000000" w:themeColor="text1"/>
            <w:sz w:val="28"/>
            <w:szCs w:val="28"/>
          </w:rPr>
          <w:t>IN VITRO</w:t>
        </w:r>
        <w:r w:rsidR="002E04F9" w:rsidRPr="00CF453B">
          <w:rPr>
            <w:rFonts w:ascii="Times New Roman" w:hAnsi="Times New Roman" w:cs="Times New Roman"/>
            <w:webHidden/>
            <w:color w:val="000000" w:themeColor="text1"/>
            <w:sz w:val="28"/>
            <w:szCs w:val="28"/>
          </w:rPr>
          <w:tab/>
        </w:r>
        <w:r w:rsidRPr="00CF453B">
          <w:rPr>
            <w:rFonts w:ascii="Times New Roman" w:hAnsi="Times New Roman" w:cs="Times New Roman"/>
            <w:webHidden/>
            <w:color w:val="000000" w:themeColor="text1"/>
            <w:sz w:val="28"/>
            <w:szCs w:val="28"/>
          </w:rPr>
          <w:fldChar w:fldCharType="begin"/>
        </w:r>
        <w:r w:rsidR="002E04F9" w:rsidRPr="00CF453B">
          <w:rPr>
            <w:rFonts w:ascii="Times New Roman" w:hAnsi="Times New Roman" w:cs="Times New Roman"/>
            <w:webHidden/>
            <w:color w:val="000000" w:themeColor="text1"/>
            <w:sz w:val="28"/>
            <w:szCs w:val="28"/>
          </w:rPr>
          <w:instrText xml:space="preserve"> PAGEREF _Toc220058937 \h </w:instrText>
        </w:r>
        <w:r w:rsidRPr="00CF453B">
          <w:rPr>
            <w:rFonts w:ascii="Times New Roman" w:hAnsi="Times New Roman" w:cs="Times New Roman"/>
            <w:webHidden/>
            <w:color w:val="000000" w:themeColor="text1"/>
            <w:sz w:val="28"/>
            <w:szCs w:val="28"/>
          </w:rPr>
        </w:r>
        <w:r w:rsidRPr="00CF453B">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104</w:t>
        </w:r>
        <w:r w:rsidRPr="00CF453B">
          <w:rPr>
            <w:rFonts w:ascii="Times New Roman" w:hAnsi="Times New Roman" w:cs="Times New Roman"/>
            <w:webHidden/>
            <w:color w:val="000000" w:themeColor="text1"/>
            <w:sz w:val="28"/>
            <w:szCs w:val="28"/>
          </w:rPr>
          <w:fldChar w:fldCharType="end"/>
        </w:r>
      </w:hyperlink>
    </w:p>
    <w:p w:rsidR="002E04F9" w:rsidRPr="00CF453B" w:rsidRDefault="00785319" w:rsidP="00047411">
      <w:pPr>
        <w:pStyle w:val="27"/>
        <w:widowControl w:val="0"/>
        <w:rPr>
          <w:noProof w:val="0"/>
          <w:color w:val="000000" w:themeColor="text1"/>
        </w:rPr>
      </w:pPr>
      <w:hyperlink w:anchor="_Toc220058938" w:history="1">
        <w:r w:rsidR="002E04F9" w:rsidRPr="00CF453B">
          <w:rPr>
            <w:rStyle w:val="af3"/>
            <w:rFonts w:eastAsia="SimSun"/>
            <w:bCs/>
            <w:noProof w:val="0"/>
            <w:color w:val="000000" w:themeColor="text1"/>
          </w:rPr>
          <w:t>4.1. Вегетативна надземна маса</w:t>
        </w:r>
        <w:r w:rsidR="002E04F9" w:rsidRPr="00CF453B">
          <w:rPr>
            <w:noProof w:val="0"/>
            <w:webHidden/>
            <w:color w:val="000000" w:themeColor="text1"/>
          </w:rPr>
          <w:tab/>
        </w:r>
        <w:r w:rsidRPr="00CF453B">
          <w:rPr>
            <w:noProof w:val="0"/>
            <w:webHidden/>
            <w:color w:val="000000" w:themeColor="text1"/>
          </w:rPr>
          <w:fldChar w:fldCharType="begin"/>
        </w:r>
        <w:r w:rsidR="002E04F9" w:rsidRPr="00CF453B">
          <w:rPr>
            <w:noProof w:val="0"/>
            <w:webHidden/>
            <w:color w:val="000000" w:themeColor="text1"/>
          </w:rPr>
          <w:instrText xml:space="preserve"> PAGEREF _Toc220058938 \h </w:instrText>
        </w:r>
        <w:r w:rsidRPr="00CF453B">
          <w:rPr>
            <w:noProof w:val="0"/>
            <w:webHidden/>
            <w:color w:val="000000" w:themeColor="text1"/>
          </w:rPr>
        </w:r>
        <w:r w:rsidRPr="00CF453B">
          <w:rPr>
            <w:noProof w:val="0"/>
            <w:webHidden/>
            <w:color w:val="000000" w:themeColor="text1"/>
          </w:rPr>
          <w:fldChar w:fldCharType="separate"/>
        </w:r>
        <w:r w:rsidR="004027F3">
          <w:rPr>
            <w:webHidden/>
            <w:color w:val="000000" w:themeColor="text1"/>
          </w:rPr>
          <w:t>104</w:t>
        </w:r>
        <w:r w:rsidRPr="00CF453B">
          <w:rPr>
            <w:noProof w:val="0"/>
            <w:webHidden/>
            <w:color w:val="000000" w:themeColor="text1"/>
          </w:rPr>
          <w:fldChar w:fldCharType="end"/>
        </w:r>
      </w:hyperlink>
    </w:p>
    <w:p w:rsidR="002E04F9" w:rsidRPr="00CF453B" w:rsidRDefault="00785319" w:rsidP="00047411">
      <w:pPr>
        <w:pStyle w:val="27"/>
        <w:widowControl w:val="0"/>
        <w:rPr>
          <w:noProof w:val="0"/>
          <w:color w:val="000000" w:themeColor="text1"/>
        </w:rPr>
      </w:pPr>
      <w:hyperlink w:anchor="_Toc220058939" w:history="1">
        <w:r w:rsidR="002E04F9" w:rsidRPr="00CF453B">
          <w:rPr>
            <w:rStyle w:val="af3"/>
            <w:rFonts w:eastAsia="SimSun"/>
            <w:bCs/>
            <w:noProof w:val="0"/>
            <w:color w:val="000000" w:themeColor="text1"/>
          </w:rPr>
          <w:t>4.2. Коренева система</w:t>
        </w:r>
        <w:r w:rsidR="002E04F9" w:rsidRPr="00CF453B">
          <w:rPr>
            <w:noProof w:val="0"/>
            <w:webHidden/>
            <w:color w:val="000000" w:themeColor="text1"/>
          </w:rPr>
          <w:tab/>
        </w:r>
        <w:r w:rsidRPr="00CF453B">
          <w:rPr>
            <w:noProof w:val="0"/>
            <w:webHidden/>
            <w:color w:val="000000" w:themeColor="text1"/>
          </w:rPr>
          <w:fldChar w:fldCharType="begin"/>
        </w:r>
        <w:r w:rsidR="002E04F9" w:rsidRPr="00CF453B">
          <w:rPr>
            <w:noProof w:val="0"/>
            <w:webHidden/>
            <w:color w:val="000000" w:themeColor="text1"/>
          </w:rPr>
          <w:instrText xml:space="preserve"> PAGEREF _Toc220058939 \h </w:instrText>
        </w:r>
        <w:r w:rsidRPr="00CF453B">
          <w:rPr>
            <w:noProof w:val="0"/>
            <w:webHidden/>
            <w:color w:val="000000" w:themeColor="text1"/>
          </w:rPr>
        </w:r>
        <w:r w:rsidRPr="00CF453B">
          <w:rPr>
            <w:noProof w:val="0"/>
            <w:webHidden/>
            <w:color w:val="000000" w:themeColor="text1"/>
          </w:rPr>
          <w:fldChar w:fldCharType="separate"/>
        </w:r>
        <w:r w:rsidR="004027F3">
          <w:rPr>
            <w:webHidden/>
            <w:color w:val="000000" w:themeColor="text1"/>
          </w:rPr>
          <w:t>118</w:t>
        </w:r>
        <w:r w:rsidRPr="00CF453B">
          <w:rPr>
            <w:noProof w:val="0"/>
            <w:webHidden/>
            <w:color w:val="000000" w:themeColor="text1"/>
          </w:rPr>
          <w:fldChar w:fldCharType="end"/>
        </w:r>
      </w:hyperlink>
    </w:p>
    <w:p w:rsidR="002E04F9" w:rsidRPr="00CF453B" w:rsidRDefault="00785319" w:rsidP="00047411">
      <w:pPr>
        <w:pStyle w:val="27"/>
        <w:widowControl w:val="0"/>
        <w:rPr>
          <w:noProof w:val="0"/>
          <w:color w:val="000000" w:themeColor="text1"/>
        </w:rPr>
      </w:pPr>
      <w:hyperlink w:anchor="_Toc220058940" w:history="1">
        <w:r w:rsidR="002E04F9" w:rsidRPr="00CF453B">
          <w:rPr>
            <w:rStyle w:val="af3"/>
            <w:rFonts w:eastAsia="SimSun"/>
            <w:bCs/>
            <w:noProof w:val="0"/>
            <w:color w:val="000000" w:themeColor="text1"/>
          </w:rPr>
          <w:t>Висновки до розділу 4</w:t>
        </w:r>
        <w:r w:rsidR="002E04F9" w:rsidRPr="00CF453B">
          <w:rPr>
            <w:noProof w:val="0"/>
            <w:webHidden/>
            <w:color w:val="000000" w:themeColor="text1"/>
          </w:rPr>
          <w:tab/>
        </w:r>
        <w:r w:rsidRPr="00CF453B">
          <w:rPr>
            <w:noProof w:val="0"/>
            <w:webHidden/>
            <w:color w:val="000000" w:themeColor="text1"/>
          </w:rPr>
          <w:fldChar w:fldCharType="begin"/>
        </w:r>
        <w:r w:rsidR="002E04F9" w:rsidRPr="00CF453B">
          <w:rPr>
            <w:noProof w:val="0"/>
            <w:webHidden/>
            <w:color w:val="000000" w:themeColor="text1"/>
          </w:rPr>
          <w:instrText xml:space="preserve"> PAGEREF _Toc220058940 \h </w:instrText>
        </w:r>
        <w:r w:rsidRPr="00CF453B">
          <w:rPr>
            <w:noProof w:val="0"/>
            <w:webHidden/>
            <w:color w:val="000000" w:themeColor="text1"/>
          </w:rPr>
        </w:r>
        <w:r w:rsidRPr="00CF453B">
          <w:rPr>
            <w:noProof w:val="0"/>
            <w:webHidden/>
            <w:color w:val="000000" w:themeColor="text1"/>
          </w:rPr>
          <w:fldChar w:fldCharType="separate"/>
        </w:r>
        <w:r w:rsidR="004027F3">
          <w:rPr>
            <w:webHidden/>
            <w:color w:val="000000" w:themeColor="text1"/>
          </w:rPr>
          <w:t>130</w:t>
        </w:r>
        <w:r w:rsidRPr="00CF453B">
          <w:rPr>
            <w:noProof w:val="0"/>
            <w:webHidden/>
            <w:color w:val="000000" w:themeColor="text1"/>
          </w:rPr>
          <w:fldChar w:fldCharType="end"/>
        </w:r>
      </w:hyperlink>
    </w:p>
    <w:p w:rsidR="002E04F9" w:rsidRPr="00CF453B"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41" w:history="1">
        <w:r w:rsidR="002E04F9" w:rsidRPr="00CF453B">
          <w:rPr>
            <w:rStyle w:val="af3"/>
            <w:rFonts w:ascii="Times New Roman" w:hAnsi="Times New Roman" w:cs="Times New Roman"/>
            <w:bCs/>
            <w:color w:val="000000" w:themeColor="text1"/>
            <w:sz w:val="28"/>
            <w:szCs w:val="28"/>
          </w:rPr>
          <w:t>РОЗДІЛ 5</w:t>
        </w:r>
      </w:hyperlink>
      <w:r w:rsidR="002B429A" w:rsidRPr="00CF453B">
        <w:rPr>
          <w:rFonts w:ascii="Times New Roman" w:hAnsi="Times New Roman" w:cs="Times New Roman"/>
          <w:color w:val="000000" w:themeColor="text1"/>
          <w:sz w:val="28"/>
          <w:szCs w:val="28"/>
        </w:rPr>
        <w:t xml:space="preserve">. </w:t>
      </w:r>
      <w:hyperlink w:anchor="_Toc220058942" w:history="1">
        <w:r w:rsidR="002E04F9" w:rsidRPr="00CF453B">
          <w:rPr>
            <w:rStyle w:val="af3"/>
            <w:rFonts w:ascii="Times New Roman" w:hAnsi="Times New Roman" w:cs="Times New Roman"/>
            <w:bCs/>
            <w:color w:val="000000" w:themeColor="text1"/>
            <w:sz w:val="28"/>
            <w:szCs w:val="28"/>
          </w:rPr>
          <w:t xml:space="preserve">ФІЗІОЛОГО-БІОХІМІЧНІ ПОКАЗНИКИ МІКРОКЛОНІВ ВИНОГРАДУ </w:t>
        </w:r>
        <w:r w:rsidR="002E04F9" w:rsidRPr="00CF453B">
          <w:rPr>
            <w:rStyle w:val="af3"/>
            <w:rFonts w:ascii="Times New Roman" w:hAnsi="Times New Roman" w:cs="Times New Roman"/>
            <w:bCs/>
            <w:i/>
            <w:iCs/>
            <w:color w:val="000000" w:themeColor="text1"/>
            <w:sz w:val="28"/>
            <w:szCs w:val="28"/>
          </w:rPr>
          <w:t>IN VITRO</w:t>
        </w:r>
        <w:r w:rsidR="002E04F9" w:rsidRPr="00CF453B">
          <w:rPr>
            <w:rFonts w:ascii="Times New Roman" w:hAnsi="Times New Roman" w:cs="Times New Roman"/>
            <w:webHidden/>
            <w:color w:val="000000" w:themeColor="text1"/>
            <w:sz w:val="28"/>
            <w:szCs w:val="28"/>
          </w:rPr>
          <w:tab/>
        </w:r>
        <w:r w:rsidRPr="00CF453B">
          <w:rPr>
            <w:rFonts w:ascii="Times New Roman" w:hAnsi="Times New Roman" w:cs="Times New Roman"/>
            <w:webHidden/>
            <w:color w:val="000000" w:themeColor="text1"/>
            <w:sz w:val="28"/>
            <w:szCs w:val="28"/>
          </w:rPr>
          <w:fldChar w:fldCharType="begin"/>
        </w:r>
        <w:r w:rsidR="002E04F9" w:rsidRPr="00CF453B">
          <w:rPr>
            <w:rFonts w:ascii="Times New Roman" w:hAnsi="Times New Roman" w:cs="Times New Roman"/>
            <w:webHidden/>
            <w:color w:val="000000" w:themeColor="text1"/>
            <w:sz w:val="28"/>
            <w:szCs w:val="28"/>
          </w:rPr>
          <w:instrText xml:space="preserve"> PAGEREF _Toc220058942 \h </w:instrText>
        </w:r>
        <w:r w:rsidRPr="00CF453B">
          <w:rPr>
            <w:rFonts w:ascii="Times New Roman" w:hAnsi="Times New Roman" w:cs="Times New Roman"/>
            <w:webHidden/>
            <w:color w:val="000000" w:themeColor="text1"/>
            <w:sz w:val="28"/>
            <w:szCs w:val="28"/>
          </w:rPr>
        </w:r>
        <w:r w:rsidRPr="00CF453B">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136</w:t>
        </w:r>
        <w:r w:rsidRPr="00CF453B">
          <w:rPr>
            <w:rFonts w:ascii="Times New Roman" w:hAnsi="Times New Roman" w:cs="Times New Roman"/>
            <w:webHidden/>
            <w:color w:val="000000" w:themeColor="text1"/>
            <w:sz w:val="28"/>
            <w:szCs w:val="28"/>
          </w:rPr>
          <w:fldChar w:fldCharType="end"/>
        </w:r>
      </w:hyperlink>
    </w:p>
    <w:p w:rsidR="002E04F9" w:rsidRPr="00CF453B" w:rsidRDefault="00785319" w:rsidP="00047411">
      <w:pPr>
        <w:pStyle w:val="27"/>
        <w:widowControl w:val="0"/>
        <w:rPr>
          <w:noProof w:val="0"/>
          <w:color w:val="000000" w:themeColor="text1"/>
        </w:rPr>
      </w:pPr>
      <w:hyperlink w:anchor="_Toc220058943" w:history="1">
        <w:r w:rsidR="002E04F9" w:rsidRPr="00CF453B">
          <w:rPr>
            <w:rStyle w:val="af3"/>
            <w:bCs/>
            <w:noProof w:val="0"/>
            <w:color w:val="000000" w:themeColor="text1"/>
          </w:rPr>
          <w:t>5.1. Вегетативна надземна маса</w:t>
        </w:r>
        <w:r w:rsidR="002E04F9" w:rsidRPr="00CF453B">
          <w:rPr>
            <w:noProof w:val="0"/>
            <w:webHidden/>
            <w:color w:val="000000" w:themeColor="text1"/>
          </w:rPr>
          <w:tab/>
        </w:r>
        <w:r w:rsidRPr="00CF453B">
          <w:rPr>
            <w:noProof w:val="0"/>
            <w:webHidden/>
            <w:color w:val="000000" w:themeColor="text1"/>
          </w:rPr>
          <w:fldChar w:fldCharType="begin"/>
        </w:r>
        <w:r w:rsidR="002E04F9" w:rsidRPr="00CF453B">
          <w:rPr>
            <w:noProof w:val="0"/>
            <w:webHidden/>
            <w:color w:val="000000" w:themeColor="text1"/>
          </w:rPr>
          <w:instrText xml:space="preserve"> PAGEREF _Toc220058943 \h </w:instrText>
        </w:r>
        <w:r w:rsidRPr="00CF453B">
          <w:rPr>
            <w:noProof w:val="0"/>
            <w:webHidden/>
            <w:color w:val="000000" w:themeColor="text1"/>
          </w:rPr>
        </w:r>
        <w:r w:rsidRPr="00CF453B">
          <w:rPr>
            <w:noProof w:val="0"/>
            <w:webHidden/>
            <w:color w:val="000000" w:themeColor="text1"/>
          </w:rPr>
          <w:fldChar w:fldCharType="separate"/>
        </w:r>
        <w:r w:rsidR="004027F3">
          <w:rPr>
            <w:webHidden/>
            <w:color w:val="000000" w:themeColor="text1"/>
          </w:rPr>
          <w:t>136</w:t>
        </w:r>
        <w:r w:rsidRPr="00CF453B">
          <w:rPr>
            <w:noProof w:val="0"/>
            <w:webHidden/>
            <w:color w:val="000000" w:themeColor="text1"/>
          </w:rPr>
          <w:fldChar w:fldCharType="end"/>
        </w:r>
      </w:hyperlink>
    </w:p>
    <w:p w:rsidR="002E04F9" w:rsidRPr="00CF453B" w:rsidRDefault="00785319" w:rsidP="00047411">
      <w:pPr>
        <w:pStyle w:val="32"/>
        <w:widowControl w:val="0"/>
        <w:rPr>
          <w:rFonts w:ascii="Times New Roman" w:hAnsi="Times New Roman" w:cs="Times New Roman"/>
          <w:color w:val="000000" w:themeColor="text1"/>
          <w:sz w:val="28"/>
          <w:szCs w:val="28"/>
        </w:rPr>
      </w:pPr>
      <w:hyperlink w:anchor="_Toc220058944" w:history="1">
        <w:r w:rsidR="002E04F9" w:rsidRPr="00CF453B">
          <w:rPr>
            <w:rStyle w:val="af3"/>
            <w:rFonts w:ascii="Times New Roman" w:hAnsi="Times New Roman" w:cs="Times New Roman"/>
            <w:color w:val="000000" w:themeColor="text1"/>
            <w:sz w:val="28"/>
            <w:szCs w:val="28"/>
          </w:rPr>
          <w:t>5.1.1. Водний режим та вміст сухих речовин</w:t>
        </w:r>
        <w:r w:rsidR="002E04F9" w:rsidRPr="00CF453B">
          <w:rPr>
            <w:rFonts w:ascii="Times New Roman" w:hAnsi="Times New Roman" w:cs="Times New Roman"/>
            <w:webHidden/>
            <w:color w:val="000000" w:themeColor="text1"/>
            <w:sz w:val="28"/>
            <w:szCs w:val="28"/>
          </w:rPr>
          <w:tab/>
        </w:r>
        <w:r w:rsidRPr="00CF453B">
          <w:rPr>
            <w:rFonts w:ascii="Times New Roman" w:hAnsi="Times New Roman" w:cs="Times New Roman"/>
            <w:webHidden/>
            <w:color w:val="000000" w:themeColor="text1"/>
            <w:sz w:val="28"/>
            <w:szCs w:val="28"/>
          </w:rPr>
          <w:fldChar w:fldCharType="begin"/>
        </w:r>
        <w:r w:rsidR="002E04F9" w:rsidRPr="00CF453B">
          <w:rPr>
            <w:rFonts w:ascii="Times New Roman" w:hAnsi="Times New Roman" w:cs="Times New Roman"/>
            <w:webHidden/>
            <w:color w:val="000000" w:themeColor="text1"/>
            <w:sz w:val="28"/>
            <w:szCs w:val="28"/>
          </w:rPr>
          <w:instrText xml:space="preserve"> PAGEREF _Toc220058944 \h </w:instrText>
        </w:r>
        <w:r w:rsidRPr="00CF453B">
          <w:rPr>
            <w:rFonts w:ascii="Times New Roman" w:hAnsi="Times New Roman" w:cs="Times New Roman"/>
            <w:webHidden/>
            <w:color w:val="000000" w:themeColor="text1"/>
            <w:sz w:val="28"/>
            <w:szCs w:val="28"/>
          </w:rPr>
        </w:r>
        <w:r w:rsidRPr="00CF453B">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136</w:t>
        </w:r>
        <w:r w:rsidRPr="00CF453B">
          <w:rPr>
            <w:rFonts w:ascii="Times New Roman" w:hAnsi="Times New Roman" w:cs="Times New Roman"/>
            <w:webHidden/>
            <w:color w:val="000000" w:themeColor="text1"/>
            <w:sz w:val="28"/>
            <w:szCs w:val="28"/>
          </w:rPr>
          <w:fldChar w:fldCharType="end"/>
        </w:r>
      </w:hyperlink>
    </w:p>
    <w:p w:rsidR="002E04F9" w:rsidRPr="00CF453B" w:rsidRDefault="00785319" w:rsidP="00047411">
      <w:pPr>
        <w:pStyle w:val="32"/>
        <w:widowControl w:val="0"/>
        <w:rPr>
          <w:rFonts w:ascii="Times New Roman" w:hAnsi="Times New Roman" w:cs="Times New Roman"/>
          <w:color w:val="000000" w:themeColor="text1"/>
          <w:sz w:val="28"/>
          <w:szCs w:val="28"/>
        </w:rPr>
      </w:pPr>
      <w:hyperlink w:anchor="_Toc220058945" w:history="1">
        <w:r w:rsidR="002E04F9" w:rsidRPr="00CF453B">
          <w:rPr>
            <w:rStyle w:val="af3"/>
            <w:rFonts w:ascii="Times New Roman" w:hAnsi="Times New Roman" w:cs="Times New Roman"/>
            <w:bCs/>
            <w:color w:val="000000" w:themeColor="text1"/>
            <w:sz w:val="28"/>
            <w:szCs w:val="28"/>
          </w:rPr>
          <w:t>5.1.2. Інтенсивність транспірації</w:t>
        </w:r>
        <w:r w:rsidR="002E04F9" w:rsidRPr="00CF453B">
          <w:rPr>
            <w:rFonts w:ascii="Times New Roman" w:hAnsi="Times New Roman" w:cs="Times New Roman"/>
            <w:webHidden/>
            <w:color w:val="000000" w:themeColor="text1"/>
            <w:sz w:val="28"/>
            <w:szCs w:val="28"/>
          </w:rPr>
          <w:tab/>
        </w:r>
        <w:r w:rsidRPr="00CF453B">
          <w:rPr>
            <w:rFonts w:ascii="Times New Roman" w:hAnsi="Times New Roman" w:cs="Times New Roman"/>
            <w:webHidden/>
            <w:color w:val="000000" w:themeColor="text1"/>
            <w:sz w:val="28"/>
            <w:szCs w:val="28"/>
          </w:rPr>
          <w:fldChar w:fldCharType="begin"/>
        </w:r>
        <w:r w:rsidR="002E04F9" w:rsidRPr="00CF453B">
          <w:rPr>
            <w:rFonts w:ascii="Times New Roman" w:hAnsi="Times New Roman" w:cs="Times New Roman"/>
            <w:webHidden/>
            <w:color w:val="000000" w:themeColor="text1"/>
            <w:sz w:val="28"/>
            <w:szCs w:val="28"/>
          </w:rPr>
          <w:instrText xml:space="preserve"> PAGEREF _Toc220058945 \h </w:instrText>
        </w:r>
        <w:r w:rsidRPr="00CF453B">
          <w:rPr>
            <w:rFonts w:ascii="Times New Roman" w:hAnsi="Times New Roman" w:cs="Times New Roman"/>
            <w:webHidden/>
            <w:color w:val="000000" w:themeColor="text1"/>
            <w:sz w:val="28"/>
            <w:szCs w:val="28"/>
          </w:rPr>
        </w:r>
        <w:r w:rsidRPr="00CF453B">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148</w:t>
        </w:r>
        <w:r w:rsidRPr="00CF453B">
          <w:rPr>
            <w:rFonts w:ascii="Times New Roman" w:hAnsi="Times New Roman" w:cs="Times New Roman"/>
            <w:webHidden/>
            <w:color w:val="000000" w:themeColor="text1"/>
            <w:sz w:val="28"/>
            <w:szCs w:val="28"/>
          </w:rPr>
          <w:fldChar w:fldCharType="end"/>
        </w:r>
      </w:hyperlink>
    </w:p>
    <w:p w:rsidR="002E04F9" w:rsidRPr="00CF453B" w:rsidRDefault="00785319" w:rsidP="00047411">
      <w:pPr>
        <w:pStyle w:val="32"/>
        <w:widowControl w:val="0"/>
        <w:rPr>
          <w:rFonts w:ascii="Times New Roman" w:hAnsi="Times New Roman" w:cs="Times New Roman"/>
          <w:color w:val="000000" w:themeColor="text1"/>
          <w:sz w:val="28"/>
          <w:szCs w:val="28"/>
        </w:rPr>
      </w:pPr>
      <w:hyperlink w:anchor="_Toc220058946" w:history="1">
        <w:r w:rsidR="002E04F9" w:rsidRPr="00CF453B">
          <w:rPr>
            <w:rStyle w:val="af3"/>
            <w:rFonts w:ascii="Times New Roman" w:hAnsi="Times New Roman" w:cs="Times New Roman"/>
            <w:bCs/>
            <w:color w:val="000000" w:themeColor="text1"/>
            <w:sz w:val="28"/>
            <w:szCs w:val="28"/>
          </w:rPr>
          <w:t>5.1.3. Пігментний комплекс листків та пагонів</w:t>
        </w:r>
        <w:r w:rsidR="002E04F9" w:rsidRPr="00CF453B">
          <w:rPr>
            <w:rFonts w:ascii="Times New Roman" w:hAnsi="Times New Roman" w:cs="Times New Roman"/>
            <w:webHidden/>
            <w:color w:val="000000" w:themeColor="text1"/>
            <w:sz w:val="28"/>
            <w:szCs w:val="28"/>
          </w:rPr>
          <w:tab/>
        </w:r>
        <w:r w:rsidRPr="00CF453B">
          <w:rPr>
            <w:rFonts w:ascii="Times New Roman" w:hAnsi="Times New Roman" w:cs="Times New Roman"/>
            <w:webHidden/>
            <w:color w:val="000000" w:themeColor="text1"/>
            <w:sz w:val="28"/>
            <w:szCs w:val="28"/>
          </w:rPr>
          <w:fldChar w:fldCharType="begin"/>
        </w:r>
        <w:r w:rsidR="002E04F9" w:rsidRPr="00CF453B">
          <w:rPr>
            <w:rFonts w:ascii="Times New Roman" w:hAnsi="Times New Roman" w:cs="Times New Roman"/>
            <w:webHidden/>
            <w:color w:val="000000" w:themeColor="text1"/>
            <w:sz w:val="28"/>
            <w:szCs w:val="28"/>
          </w:rPr>
          <w:instrText xml:space="preserve"> PAGEREF _Toc220058946 \h </w:instrText>
        </w:r>
        <w:r w:rsidRPr="00CF453B">
          <w:rPr>
            <w:rFonts w:ascii="Times New Roman" w:hAnsi="Times New Roman" w:cs="Times New Roman"/>
            <w:webHidden/>
            <w:color w:val="000000" w:themeColor="text1"/>
            <w:sz w:val="28"/>
            <w:szCs w:val="28"/>
          </w:rPr>
        </w:r>
        <w:r w:rsidRPr="00CF453B">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152</w:t>
        </w:r>
        <w:r w:rsidRPr="00CF453B">
          <w:rPr>
            <w:rFonts w:ascii="Times New Roman" w:hAnsi="Times New Roman" w:cs="Times New Roman"/>
            <w:webHidden/>
            <w:color w:val="000000" w:themeColor="text1"/>
            <w:sz w:val="28"/>
            <w:szCs w:val="28"/>
          </w:rPr>
          <w:fldChar w:fldCharType="end"/>
        </w:r>
      </w:hyperlink>
    </w:p>
    <w:p w:rsidR="002E04F9" w:rsidRPr="00CF453B" w:rsidRDefault="00785319" w:rsidP="00047411">
      <w:pPr>
        <w:pStyle w:val="27"/>
        <w:widowControl w:val="0"/>
        <w:rPr>
          <w:noProof w:val="0"/>
          <w:color w:val="000000" w:themeColor="text1"/>
        </w:rPr>
      </w:pPr>
      <w:hyperlink w:anchor="_Toc220058947" w:history="1">
        <w:r w:rsidR="002E04F9" w:rsidRPr="00CF453B">
          <w:rPr>
            <w:rStyle w:val="af3"/>
            <w:rFonts w:eastAsia="NSimSun"/>
            <w:bCs/>
            <w:noProof w:val="0"/>
            <w:color w:val="000000" w:themeColor="text1"/>
            <w:kern w:val="3"/>
          </w:rPr>
          <w:t>5.2. Коренева система</w:t>
        </w:r>
        <w:r w:rsidR="002E04F9" w:rsidRPr="00CF453B">
          <w:rPr>
            <w:noProof w:val="0"/>
            <w:webHidden/>
            <w:color w:val="000000" w:themeColor="text1"/>
          </w:rPr>
          <w:tab/>
        </w:r>
        <w:r w:rsidRPr="00CF453B">
          <w:rPr>
            <w:noProof w:val="0"/>
            <w:webHidden/>
            <w:color w:val="000000" w:themeColor="text1"/>
          </w:rPr>
          <w:fldChar w:fldCharType="begin"/>
        </w:r>
        <w:r w:rsidR="002E04F9" w:rsidRPr="00CF453B">
          <w:rPr>
            <w:noProof w:val="0"/>
            <w:webHidden/>
            <w:color w:val="000000" w:themeColor="text1"/>
          </w:rPr>
          <w:instrText xml:space="preserve"> PAGEREF _Toc220058947 \h </w:instrText>
        </w:r>
        <w:r w:rsidRPr="00CF453B">
          <w:rPr>
            <w:noProof w:val="0"/>
            <w:webHidden/>
            <w:color w:val="000000" w:themeColor="text1"/>
          </w:rPr>
        </w:r>
        <w:r w:rsidRPr="00CF453B">
          <w:rPr>
            <w:noProof w:val="0"/>
            <w:webHidden/>
            <w:color w:val="000000" w:themeColor="text1"/>
          </w:rPr>
          <w:fldChar w:fldCharType="separate"/>
        </w:r>
        <w:r w:rsidR="004027F3">
          <w:rPr>
            <w:webHidden/>
            <w:color w:val="000000" w:themeColor="text1"/>
          </w:rPr>
          <w:t>167</w:t>
        </w:r>
        <w:r w:rsidRPr="00CF453B">
          <w:rPr>
            <w:noProof w:val="0"/>
            <w:webHidden/>
            <w:color w:val="000000" w:themeColor="text1"/>
          </w:rPr>
          <w:fldChar w:fldCharType="end"/>
        </w:r>
      </w:hyperlink>
    </w:p>
    <w:p w:rsidR="002E04F9" w:rsidRPr="00CF453B" w:rsidRDefault="00785319" w:rsidP="00047411">
      <w:pPr>
        <w:pStyle w:val="32"/>
        <w:widowControl w:val="0"/>
        <w:rPr>
          <w:rFonts w:ascii="Times New Roman" w:hAnsi="Times New Roman" w:cs="Times New Roman"/>
          <w:color w:val="000000" w:themeColor="text1"/>
          <w:sz w:val="28"/>
          <w:szCs w:val="28"/>
        </w:rPr>
      </w:pPr>
      <w:hyperlink w:anchor="_Toc220058948" w:history="1">
        <w:r w:rsidR="002E04F9" w:rsidRPr="00CF453B">
          <w:rPr>
            <w:rStyle w:val="af3"/>
            <w:rFonts w:ascii="Times New Roman" w:eastAsia="NSimSun" w:hAnsi="Times New Roman" w:cs="Times New Roman"/>
            <w:bCs/>
            <w:color w:val="000000" w:themeColor="text1"/>
            <w:kern w:val="3"/>
            <w:sz w:val="28"/>
            <w:szCs w:val="28"/>
          </w:rPr>
          <w:t>5.2.1. Водний режим та вміст сухих речовин</w:t>
        </w:r>
        <w:r w:rsidR="002E04F9" w:rsidRPr="00CF453B">
          <w:rPr>
            <w:rFonts w:ascii="Times New Roman" w:hAnsi="Times New Roman" w:cs="Times New Roman"/>
            <w:webHidden/>
            <w:color w:val="000000" w:themeColor="text1"/>
            <w:sz w:val="28"/>
            <w:szCs w:val="28"/>
          </w:rPr>
          <w:tab/>
        </w:r>
        <w:r w:rsidRPr="00CF453B">
          <w:rPr>
            <w:rFonts w:ascii="Times New Roman" w:hAnsi="Times New Roman" w:cs="Times New Roman"/>
            <w:webHidden/>
            <w:color w:val="000000" w:themeColor="text1"/>
            <w:sz w:val="28"/>
            <w:szCs w:val="28"/>
          </w:rPr>
          <w:fldChar w:fldCharType="begin"/>
        </w:r>
        <w:r w:rsidR="002E04F9" w:rsidRPr="00CF453B">
          <w:rPr>
            <w:rFonts w:ascii="Times New Roman" w:hAnsi="Times New Roman" w:cs="Times New Roman"/>
            <w:webHidden/>
            <w:color w:val="000000" w:themeColor="text1"/>
            <w:sz w:val="28"/>
            <w:szCs w:val="28"/>
          </w:rPr>
          <w:instrText xml:space="preserve"> PAGEREF _Toc220058948 \h </w:instrText>
        </w:r>
        <w:r w:rsidRPr="00CF453B">
          <w:rPr>
            <w:rFonts w:ascii="Times New Roman" w:hAnsi="Times New Roman" w:cs="Times New Roman"/>
            <w:webHidden/>
            <w:color w:val="000000" w:themeColor="text1"/>
            <w:sz w:val="28"/>
            <w:szCs w:val="28"/>
          </w:rPr>
        </w:r>
        <w:r w:rsidRPr="00CF453B">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167</w:t>
        </w:r>
        <w:r w:rsidRPr="00CF453B">
          <w:rPr>
            <w:rFonts w:ascii="Times New Roman" w:hAnsi="Times New Roman" w:cs="Times New Roman"/>
            <w:webHidden/>
            <w:color w:val="000000" w:themeColor="text1"/>
            <w:sz w:val="28"/>
            <w:szCs w:val="28"/>
          </w:rPr>
          <w:fldChar w:fldCharType="end"/>
        </w:r>
      </w:hyperlink>
    </w:p>
    <w:p w:rsidR="002E04F9" w:rsidRPr="00CF453B" w:rsidRDefault="00785319" w:rsidP="00047411">
      <w:pPr>
        <w:pStyle w:val="27"/>
        <w:widowControl w:val="0"/>
        <w:rPr>
          <w:noProof w:val="0"/>
          <w:color w:val="000000" w:themeColor="text1"/>
        </w:rPr>
      </w:pPr>
      <w:hyperlink w:anchor="_Toc220058949" w:history="1">
        <w:r w:rsidR="002E04F9" w:rsidRPr="00CF453B">
          <w:rPr>
            <w:rStyle w:val="af3"/>
            <w:bCs/>
            <w:noProof w:val="0"/>
            <w:color w:val="000000" w:themeColor="text1"/>
            <w:lang w:bidi="hi-IN"/>
          </w:rPr>
          <w:t>Висновки до розділу 5</w:t>
        </w:r>
        <w:r w:rsidR="002E04F9" w:rsidRPr="00CF453B">
          <w:rPr>
            <w:noProof w:val="0"/>
            <w:webHidden/>
            <w:color w:val="000000" w:themeColor="text1"/>
          </w:rPr>
          <w:tab/>
        </w:r>
        <w:r w:rsidRPr="00CF453B">
          <w:rPr>
            <w:noProof w:val="0"/>
            <w:webHidden/>
            <w:color w:val="000000" w:themeColor="text1"/>
          </w:rPr>
          <w:fldChar w:fldCharType="begin"/>
        </w:r>
        <w:r w:rsidR="002E04F9" w:rsidRPr="00CF453B">
          <w:rPr>
            <w:noProof w:val="0"/>
            <w:webHidden/>
            <w:color w:val="000000" w:themeColor="text1"/>
          </w:rPr>
          <w:instrText xml:space="preserve"> PAGEREF _Toc220058949 \h </w:instrText>
        </w:r>
        <w:r w:rsidRPr="00CF453B">
          <w:rPr>
            <w:noProof w:val="0"/>
            <w:webHidden/>
            <w:color w:val="000000" w:themeColor="text1"/>
          </w:rPr>
        </w:r>
        <w:r w:rsidRPr="00CF453B">
          <w:rPr>
            <w:noProof w:val="0"/>
            <w:webHidden/>
            <w:color w:val="000000" w:themeColor="text1"/>
          </w:rPr>
          <w:fldChar w:fldCharType="separate"/>
        </w:r>
        <w:r w:rsidR="004027F3">
          <w:rPr>
            <w:webHidden/>
            <w:color w:val="000000" w:themeColor="text1"/>
          </w:rPr>
          <w:t>173</w:t>
        </w:r>
        <w:r w:rsidRPr="00CF453B">
          <w:rPr>
            <w:noProof w:val="0"/>
            <w:webHidden/>
            <w:color w:val="000000" w:themeColor="text1"/>
          </w:rPr>
          <w:fldChar w:fldCharType="end"/>
        </w:r>
      </w:hyperlink>
    </w:p>
    <w:p w:rsidR="002E04F9" w:rsidRPr="00CF453B"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50" w:history="1">
        <w:r w:rsidR="002E04F9" w:rsidRPr="00CF453B">
          <w:rPr>
            <w:rStyle w:val="af3"/>
            <w:rFonts w:ascii="Times New Roman" w:hAnsi="Times New Roman" w:cs="Times New Roman"/>
            <w:color w:val="000000" w:themeColor="text1"/>
            <w:sz w:val="28"/>
            <w:szCs w:val="28"/>
            <w:lang w:bidi="hi-IN"/>
          </w:rPr>
          <w:t>РОЗДІЛ 6</w:t>
        </w:r>
      </w:hyperlink>
      <w:r w:rsidR="002B429A" w:rsidRPr="00CF453B">
        <w:rPr>
          <w:rFonts w:ascii="Times New Roman" w:hAnsi="Times New Roman" w:cs="Times New Roman"/>
          <w:color w:val="000000" w:themeColor="text1"/>
          <w:sz w:val="28"/>
          <w:szCs w:val="28"/>
        </w:rPr>
        <w:t xml:space="preserve">. </w:t>
      </w:r>
      <w:hyperlink w:anchor="_Toc220058951" w:history="1">
        <w:r w:rsidR="002E04F9" w:rsidRPr="00CF453B">
          <w:rPr>
            <w:rStyle w:val="af3"/>
            <w:rFonts w:ascii="Times New Roman" w:hAnsi="Times New Roman" w:cs="Times New Roman"/>
            <w:bCs/>
            <w:caps/>
            <w:color w:val="000000" w:themeColor="text1"/>
            <w:sz w:val="28"/>
            <w:szCs w:val="28"/>
            <w:lang w:bidi="hi-IN"/>
          </w:rPr>
          <w:t xml:space="preserve">ПОКАЗНИКИ АНАТОМІЧНОЇ БУДОВИ ПРОДИХОВОГО АПАРАТУ НИЖНЬОГО ЕПІДЕРМІСУ ЛИСТКІВ МІКРОКЛОНІВ ВИНОГРАДУ В УМОВАХ </w:t>
        </w:r>
        <w:r w:rsidR="002E04F9" w:rsidRPr="00CF453B">
          <w:rPr>
            <w:rStyle w:val="af3"/>
            <w:rFonts w:ascii="Times New Roman" w:hAnsi="Times New Roman" w:cs="Times New Roman"/>
            <w:bCs/>
            <w:i/>
            <w:caps/>
            <w:color w:val="000000" w:themeColor="text1"/>
            <w:sz w:val="28"/>
            <w:szCs w:val="28"/>
            <w:lang w:bidi="hi-IN"/>
          </w:rPr>
          <w:t>IN VITRO</w:t>
        </w:r>
        <w:r w:rsidR="002E04F9" w:rsidRPr="00CF453B">
          <w:rPr>
            <w:rStyle w:val="af3"/>
            <w:rFonts w:ascii="Times New Roman" w:hAnsi="Times New Roman" w:cs="Times New Roman"/>
            <w:bCs/>
            <w:caps/>
            <w:color w:val="000000" w:themeColor="text1"/>
            <w:sz w:val="28"/>
            <w:szCs w:val="28"/>
            <w:lang w:bidi="hi-IN"/>
          </w:rPr>
          <w:t xml:space="preserve"> ТА </w:t>
        </w:r>
        <w:r w:rsidR="002E04F9" w:rsidRPr="00CF453B">
          <w:rPr>
            <w:rStyle w:val="af3"/>
            <w:rFonts w:ascii="Times New Roman" w:hAnsi="Times New Roman" w:cs="Times New Roman"/>
            <w:bCs/>
            <w:i/>
            <w:caps/>
            <w:color w:val="000000" w:themeColor="text1"/>
            <w:sz w:val="28"/>
            <w:szCs w:val="28"/>
            <w:lang w:bidi="hi-IN"/>
          </w:rPr>
          <w:t>IN VIVO</w:t>
        </w:r>
        <w:r w:rsidR="002E04F9" w:rsidRPr="00CF453B">
          <w:rPr>
            <w:rFonts w:ascii="Times New Roman" w:hAnsi="Times New Roman" w:cs="Times New Roman"/>
            <w:webHidden/>
            <w:color w:val="000000" w:themeColor="text1"/>
            <w:sz w:val="28"/>
            <w:szCs w:val="28"/>
          </w:rPr>
          <w:tab/>
        </w:r>
        <w:r w:rsidRPr="00CF453B">
          <w:rPr>
            <w:rFonts w:ascii="Times New Roman" w:hAnsi="Times New Roman" w:cs="Times New Roman"/>
            <w:webHidden/>
            <w:color w:val="000000" w:themeColor="text1"/>
            <w:sz w:val="28"/>
            <w:szCs w:val="28"/>
          </w:rPr>
          <w:fldChar w:fldCharType="begin"/>
        </w:r>
        <w:r w:rsidR="002E04F9" w:rsidRPr="00CF453B">
          <w:rPr>
            <w:rFonts w:ascii="Times New Roman" w:hAnsi="Times New Roman" w:cs="Times New Roman"/>
            <w:webHidden/>
            <w:color w:val="000000" w:themeColor="text1"/>
            <w:sz w:val="28"/>
            <w:szCs w:val="28"/>
          </w:rPr>
          <w:instrText xml:space="preserve"> PAGEREF _Toc220058951 \h </w:instrText>
        </w:r>
        <w:r w:rsidRPr="00CF453B">
          <w:rPr>
            <w:rFonts w:ascii="Times New Roman" w:hAnsi="Times New Roman" w:cs="Times New Roman"/>
            <w:webHidden/>
            <w:color w:val="000000" w:themeColor="text1"/>
            <w:sz w:val="28"/>
            <w:szCs w:val="28"/>
          </w:rPr>
        </w:r>
        <w:r w:rsidRPr="00CF453B">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180</w:t>
        </w:r>
        <w:r w:rsidRPr="00CF453B">
          <w:rPr>
            <w:rFonts w:ascii="Times New Roman" w:hAnsi="Times New Roman" w:cs="Times New Roman"/>
            <w:webHidden/>
            <w:color w:val="000000" w:themeColor="text1"/>
            <w:sz w:val="28"/>
            <w:szCs w:val="28"/>
          </w:rPr>
          <w:fldChar w:fldCharType="end"/>
        </w:r>
      </w:hyperlink>
    </w:p>
    <w:p w:rsidR="002E04F9" w:rsidRPr="00CF453B" w:rsidRDefault="00785319" w:rsidP="00047411">
      <w:pPr>
        <w:pStyle w:val="27"/>
        <w:widowControl w:val="0"/>
        <w:rPr>
          <w:noProof w:val="0"/>
          <w:color w:val="000000" w:themeColor="text1"/>
        </w:rPr>
      </w:pPr>
      <w:hyperlink w:anchor="_Toc220058952" w:history="1">
        <w:r w:rsidR="002E04F9" w:rsidRPr="00CF453B">
          <w:rPr>
            <w:rStyle w:val="af3"/>
            <w:bCs/>
            <w:iCs/>
            <w:noProof w:val="0"/>
            <w:color w:val="000000" w:themeColor="text1"/>
            <w:lang w:bidi="hi-IN"/>
          </w:rPr>
          <w:t xml:space="preserve">6.1. Умови </w:t>
        </w:r>
        <w:r w:rsidR="002E04F9" w:rsidRPr="00CF453B">
          <w:rPr>
            <w:rStyle w:val="af3"/>
            <w:bCs/>
            <w:i/>
            <w:noProof w:val="0"/>
            <w:color w:val="000000" w:themeColor="text1"/>
            <w:lang w:bidi="hi-IN"/>
          </w:rPr>
          <w:t>in vitro</w:t>
        </w:r>
        <w:r w:rsidR="002E04F9" w:rsidRPr="00CF453B">
          <w:rPr>
            <w:noProof w:val="0"/>
            <w:webHidden/>
            <w:color w:val="000000" w:themeColor="text1"/>
          </w:rPr>
          <w:tab/>
        </w:r>
        <w:r w:rsidRPr="00CF453B">
          <w:rPr>
            <w:noProof w:val="0"/>
            <w:webHidden/>
            <w:color w:val="000000" w:themeColor="text1"/>
          </w:rPr>
          <w:fldChar w:fldCharType="begin"/>
        </w:r>
        <w:r w:rsidR="002E04F9" w:rsidRPr="00CF453B">
          <w:rPr>
            <w:noProof w:val="0"/>
            <w:webHidden/>
            <w:color w:val="000000" w:themeColor="text1"/>
          </w:rPr>
          <w:instrText xml:space="preserve"> PAGEREF _Toc220058952 \h </w:instrText>
        </w:r>
        <w:r w:rsidRPr="00CF453B">
          <w:rPr>
            <w:noProof w:val="0"/>
            <w:webHidden/>
            <w:color w:val="000000" w:themeColor="text1"/>
          </w:rPr>
        </w:r>
        <w:r w:rsidRPr="00CF453B">
          <w:rPr>
            <w:noProof w:val="0"/>
            <w:webHidden/>
            <w:color w:val="000000" w:themeColor="text1"/>
          </w:rPr>
          <w:fldChar w:fldCharType="separate"/>
        </w:r>
        <w:r w:rsidR="004027F3">
          <w:rPr>
            <w:webHidden/>
            <w:color w:val="000000" w:themeColor="text1"/>
          </w:rPr>
          <w:t>180</w:t>
        </w:r>
        <w:r w:rsidRPr="00CF453B">
          <w:rPr>
            <w:noProof w:val="0"/>
            <w:webHidden/>
            <w:color w:val="000000" w:themeColor="text1"/>
          </w:rPr>
          <w:fldChar w:fldCharType="end"/>
        </w:r>
      </w:hyperlink>
    </w:p>
    <w:p w:rsidR="002E04F9" w:rsidRPr="00CF453B" w:rsidRDefault="00785319" w:rsidP="00047411">
      <w:pPr>
        <w:pStyle w:val="27"/>
        <w:widowControl w:val="0"/>
        <w:rPr>
          <w:noProof w:val="0"/>
          <w:color w:val="000000" w:themeColor="text1"/>
        </w:rPr>
      </w:pPr>
      <w:hyperlink w:anchor="_Toc220058953" w:history="1">
        <w:r w:rsidR="002E04F9" w:rsidRPr="00CF453B">
          <w:rPr>
            <w:rStyle w:val="af3"/>
            <w:bCs/>
            <w:iCs/>
            <w:noProof w:val="0"/>
            <w:color w:val="000000" w:themeColor="text1"/>
            <w:lang w:bidi="hi-IN"/>
          </w:rPr>
          <w:t xml:space="preserve">6.2. Умови </w:t>
        </w:r>
        <w:r w:rsidR="002E04F9" w:rsidRPr="00CF453B">
          <w:rPr>
            <w:rStyle w:val="af3"/>
            <w:bCs/>
            <w:i/>
            <w:noProof w:val="0"/>
            <w:color w:val="000000" w:themeColor="text1"/>
            <w:lang w:bidi="hi-IN"/>
          </w:rPr>
          <w:t>in vivo</w:t>
        </w:r>
        <w:r w:rsidR="002E04F9" w:rsidRPr="00CF453B">
          <w:rPr>
            <w:noProof w:val="0"/>
            <w:webHidden/>
            <w:color w:val="000000" w:themeColor="text1"/>
          </w:rPr>
          <w:tab/>
        </w:r>
        <w:r w:rsidR="003B37F3" w:rsidRPr="00CF453B">
          <w:rPr>
            <w:noProof w:val="0"/>
            <w:webHidden/>
            <w:color w:val="000000" w:themeColor="text1"/>
          </w:rPr>
          <w:t>1</w:t>
        </w:r>
      </w:hyperlink>
      <w:r w:rsidR="00CF453B" w:rsidRPr="00CF453B">
        <w:t>9</w:t>
      </w:r>
      <w:r w:rsidR="00CA1F52">
        <w:t>7</w:t>
      </w:r>
    </w:p>
    <w:p w:rsidR="002E04F9" w:rsidRPr="00CF453B" w:rsidRDefault="00785319" w:rsidP="00047411">
      <w:pPr>
        <w:pStyle w:val="27"/>
        <w:widowControl w:val="0"/>
        <w:rPr>
          <w:noProof w:val="0"/>
          <w:color w:val="000000" w:themeColor="text1"/>
        </w:rPr>
      </w:pPr>
      <w:hyperlink w:anchor="_Toc220058954" w:history="1">
        <w:r w:rsidR="002E04F9" w:rsidRPr="00CF453B">
          <w:rPr>
            <w:rStyle w:val="af3"/>
            <w:bCs/>
            <w:noProof w:val="0"/>
            <w:color w:val="000000" w:themeColor="text1"/>
            <w:lang w:bidi="hi-IN"/>
          </w:rPr>
          <w:t>Висновки до розділу 6</w:t>
        </w:r>
        <w:r w:rsidR="002E04F9" w:rsidRPr="00CF453B">
          <w:rPr>
            <w:noProof w:val="0"/>
            <w:webHidden/>
            <w:color w:val="000000" w:themeColor="text1"/>
          </w:rPr>
          <w:tab/>
        </w:r>
        <w:r w:rsidRPr="00CF453B">
          <w:rPr>
            <w:noProof w:val="0"/>
            <w:webHidden/>
            <w:color w:val="000000" w:themeColor="text1"/>
          </w:rPr>
          <w:fldChar w:fldCharType="begin"/>
        </w:r>
        <w:r w:rsidR="002E04F9" w:rsidRPr="00CF453B">
          <w:rPr>
            <w:noProof w:val="0"/>
            <w:webHidden/>
            <w:color w:val="000000" w:themeColor="text1"/>
          </w:rPr>
          <w:instrText xml:space="preserve"> PAGEREF _Toc220058954 \h </w:instrText>
        </w:r>
        <w:r w:rsidRPr="00CF453B">
          <w:rPr>
            <w:noProof w:val="0"/>
            <w:webHidden/>
            <w:color w:val="000000" w:themeColor="text1"/>
          </w:rPr>
        </w:r>
        <w:r w:rsidRPr="00CF453B">
          <w:rPr>
            <w:noProof w:val="0"/>
            <w:webHidden/>
            <w:color w:val="000000" w:themeColor="text1"/>
          </w:rPr>
          <w:fldChar w:fldCharType="separate"/>
        </w:r>
        <w:r w:rsidR="004027F3">
          <w:rPr>
            <w:webHidden/>
            <w:color w:val="000000" w:themeColor="text1"/>
          </w:rPr>
          <w:t>203</w:t>
        </w:r>
        <w:r w:rsidRPr="00CF453B">
          <w:rPr>
            <w:noProof w:val="0"/>
            <w:webHidden/>
            <w:color w:val="000000" w:themeColor="text1"/>
          </w:rPr>
          <w:fldChar w:fldCharType="end"/>
        </w:r>
      </w:hyperlink>
    </w:p>
    <w:p w:rsidR="002E04F9" w:rsidRPr="00474543" w:rsidRDefault="00785319" w:rsidP="00047411">
      <w:pPr>
        <w:pStyle w:val="32"/>
        <w:widowControl w:val="0"/>
        <w:ind w:firstLine="0"/>
        <w:rPr>
          <w:rFonts w:ascii="Times New Roman" w:hAnsi="Times New Roman" w:cs="Times New Roman"/>
          <w:color w:val="000000" w:themeColor="text1"/>
          <w:sz w:val="28"/>
          <w:szCs w:val="28"/>
        </w:rPr>
      </w:pPr>
      <w:hyperlink w:anchor="_Toc220058960" w:history="1">
        <w:r w:rsidR="002E04F9" w:rsidRPr="00474543">
          <w:rPr>
            <w:rStyle w:val="af3"/>
            <w:rFonts w:ascii="Times New Roman" w:hAnsi="Times New Roman" w:cs="Times New Roman"/>
            <w:color w:val="000000" w:themeColor="text1"/>
            <w:sz w:val="28"/>
            <w:szCs w:val="28"/>
          </w:rPr>
          <w:t>РОЗДІЛ 7</w:t>
        </w:r>
        <w:r w:rsidR="002B429A" w:rsidRPr="00474543">
          <w:rPr>
            <w:rStyle w:val="af3"/>
            <w:rFonts w:ascii="Times New Roman" w:hAnsi="Times New Roman" w:cs="Times New Roman"/>
            <w:color w:val="000000" w:themeColor="text1"/>
            <w:sz w:val="28"/>
            <w:szCs w:val="28"/>
          </w:rPr>
          <w:t xml:space="preserve">. </w:t>
        </w:r>
      </w:hyperlink>
      <w:hyperlink w:anchor="_Toc220058961" w:history="1">
        <w:r w:rsidR="002E04F9" w:rsidRPr="00474543">
          <w:rPr>
            <w:rStyle w:val="af3"/>
            <w:rFonts w:ascii="Times New Roman" w:hAnsi="Times New Roman" w:cs="Times New Roman"/>
            <w:color w:val="000000" w:themeColor="text1"/>
            <w:sz w:val="28"/>
            <w:szCs w:val="28"/>
          </w:rPr>
          <w:t xml:space="preserve">ПРИЖИВЛЮВАНІСТЬ МІКРОКЛОНІВ ВИНОГРАДУ В УМОВАХ </w:t>
        </w:r>
        <w:r w:rsidR="002E04F9" w:rsidRPr="00474543">
          <w:rPr>
            <w:rStyle w:val="af3"/>
            <w:rFonts w:ascii="Times New Roman" w:hAnsi="Times New Roman" w:cs="Times New Roman"/>
            <w:i/>
            <w:color w:val="000000" w:themeColor="text1"/>
            <w:sz w:val="28"/>
            <w:szCs w:val="28"/>
          </w:rPr>
          <w:t>IN VIVO</w:t>
        </w:r>
        <w:r w:rsidR="002E04F9" w:rsidRPr="00474543">
          <w:rPr>
            <w:rFonts w:ascii="Times New Roman" w:hAnsi="Times New Roman" w:cs="Times New Roman"/>
            <w:webHidden/>
            <w:color w:val="000000" w:themeColor="text1"/>
            <w:sz w:val="28"/>
            <w:szCs w:val="28"/>
          </w:rPr>
          <w:tab/>
        </w:r>
        <w:r w:rsidRPr="00474543">
          <w:rPr>
            <w:rFonts w:ascii="Times New Roman" w:hAnsi="Times New Roman" w:cs="Times New Roman"/>
            <w:webHidden/>
            <w:color w:val="000000" w:themeColor="text1"/>
            <w:sz w:val="28"/>
            <w:szCs w:val="28"/>
          </w:rPr>
          <w:fldChar w:fldCharType="begin"/>
        </w:r>
        <w:r w:rsidR="002E04F9" w:rsidRPr="00474543">
          <w:rPr>
            <w:rFonts w:ascii="Times New Roman" w:hAnsi="Times New Roman" w:cs="Times New Roman"/>
            <w:webHidden/>
            <w:color w:val="000000" w:themeColor="text1"/>
            <w:sz w:val="28"/>
            <w:szCs w:val="28"/>
          </w:rPr>
          <w:instrText xml:space="preserve"> PAGEREF _Toc220058961 \h </w:instrText>
        </w:r>
        <w:r w:rsidRPr="00474543">
          <w:rPr>
            <w:rFonts w:ascii="Times New Roman" w:hAnsi="Times New Roman" w:cs="Times New Roman"/>
            <w:webHidden/>
            <w:color w:val="000000" w:themeColor="text1"/>
            <w:sz w:val="28"/>
            <w:szCs w:val="28"/>
          </w:rPr>
        </w:r>
        <w:r w:rsidRPr="00474543">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208</w:t>
        </w:r>
        <w:r w:rsidRPr="00474543">
          <w:rPr>
            <w:rFonts w:ascii="Times New Roman" w:hAnsi="Times New Roman" w:cs="Times New Roman"/>
            <w:webHidden/>
            <w:color w:val="000000" w:themeColor="text1"/>
            <w:sz w:val="28"/>
            <w:szCs w:val="28"/>
          </w:rPr>
          <w:fldChar w:fldCharType="end"/>
        </w:r>
      </w:hyperlink>
    </w:p>
    <w:p w:rsidR="002E04F9" w:rsidRPr="00474543" w:rsidRDefault="00785319" w:rsidP="00047411">
      <w:pPr>
        <w:pStyle w:val="27"/>
        <w:widowControl w:val="0"/>
        <w:rPr>
          <w:noProof w:val="0"/>
          <w:color w:val="000000" w:themeColor="text1"/>
        </w:rPr>
      </w:pPr>
      <w:hyperlink w:anchor="_Toc220058962" w:history="1">
        <w:r w:rsidR="002E04F9" w:rsidRPr="00474543">
          <w:rPr>
            <w:rStyle w:val="af3"/>
            <w:bCs/>
            <w:noProof w:val="0"/>
            <w:color w:val="000000" w:themeColor="text1"/>
          </w:rPr>
          <w:t>Висновки до розділу 7</w:t>
        </w:r>
        <w:r w:rsidR="002E04F9" w:rsidRPr="00474543">
          <w:rPr>
            <w:noProof w:val="0"/>
            <w:webHidden/>
            <w:color w:val="000000" w:themeColor="text1"/>
          </w:rPr>
          <w:tab/>
        </w:r>
        <w:r w:rsidRPr="00474543">
          <w:rPr>
            <w:noProof w:val="0"/>
            <w:webHidden/>
            <w:color w:val="000000" w:themeColor="text1"/>
          </w:rPr>
          <w:fldChar w:fldCharType="begin"/>
        </w:r>
        <w:r w:rsidR="002E04F9" w:rsidRPr="00474543">
          <w:rPr>
            <w:noProof w:val="0"/>
            <w:webHidden/>
            <w:color w:val="000000" w:themeColor="text1"/>
          </w:rPr>
          <w:instrText xml:space="preserve"> PAGEREF _Toc220058962 \h </w:instrText>
        </w:r>
        <w:r w:rsidRPr="00474543">
          <w:rPr>
            <w:noProof w:val="0"/>
            <w:webHidden/>
            <w:color w:val="000000" w:themeColor="text1"/>
          </w:rPr>
        </w:r>
        <w:r w:rsidRPr="00474543">
          <w:rPr>
            <w:noProof w:val="0"/>
            <w:webHidden/>
            <w:color w:val="000000" w:themeColor="text1"/>
          </w:rPr>
          <w:fldChar w:fldCharType="separate"/>
        </w:r>
        <w:r w:rsidR="004027F3">
          <w:rPr>
            <w:webHidden/>
            <w:color w:val="000000" w:themeColor="text1"/>
          </w:rPr>
          <w:t>222</w:t>
        </w:r>
        <w:r w:rsidRPr="00474543">
          <w:rPr>
            <w:noProof w:val="0"/>
            <w:webHidden/>
            <w:color w:val="000000" w:themeColor="text1"/>
          </w:rPr>
          <w:fldChar w:fldCharType="end"/>
        </w:r>
      </w:hyperlink>
    </w:p>
    <w:p w:rsidR="002E04F9" w:rsidRPr="00474543"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63" w:history="1">
        <w:r w:rsidR="002E04F9" w:rsidRPr="00474543">
          <w:rPr>
            <w:rStyle w:val="af3"/>
            <w:rFonts w:ascii="Times New Roman" w:hAnsi="Times New Roman" w:cs="Times New Roman"/>
            <w:color w:val="000000" w:themeColor="text1"/>
            <w:sz w:val="28"/>
            <w:szCs w:val="28"/>
          </w:rPr>
          <w:t>РОЗДІЛ 8</w:t>
        </w:r>
      </w:hyperlink>
      <w:r w:rsidR="002B429A" w:rsidRPr="00474543">
        <w:rPr>
          <w:rFonts w:ascii="Times New Roman" w:hAnsi="Times New Roman" w:cs="Times New Roman"/>
          <w:color w:val="000000" w:themeColor="text1"/>
          <w:sz w:val="28"/>
          <w:szCs w:val="28"/>
        </w:rPr>
        <w:t xml:space="preserve">. </w:t>
      </w:r>
      <w:hyperlink w:anchor="_Toc220058964" w:history="1">
        <w:r w:rsidR="002E04F9" w:rsidRPr="00474543">
          <w:rPr>
            <w:rStyle w:val="af3"/>
            <w:rFonts w:ascii="Times New Roman" w:hAnsi="Times New Roman" w:cs="Times New Roman"/>
            <w:caps/>
            <w:color w:val="000000" w:themeColor="text1"/>
            <w:sz w:val="28"/>
            <w:szCs w:val="28"/>
          </w:rPr>
          <w:t>Статистичний аналіз результатів наукового дослідження</w:t>
        </w:r>
        <w:r w:rsidR="002E04F9" w:rsidRPr="00474543">
          <w:rPr>
            <w:rFonts w:ascii="Times New Roman" w:hAnsi="Times New Roman" w:cs="Times New Roman"/>
            <w:webHidden/>
            <w:color w:val="000000" w:themeColor="text1"/>
            <w:sz w:val="28"/>
            <w:szCs w:val="28"/>
          </w:rPr>
          <w:tab/>
        </w:r>
        <w:r w:rsidRPr="00474543">
          <w:rPr>
            <w:rFonts w:ascii="Times New Roman" w:hAnsi="Times New Roman" w:cs="Times New Roman"/>
            <w:webHidden/>
            <w:color w:val="000000" w:themeColor="text1"/>
            <w:sz w:val="28"/>
            <w:szCs w:val="28"/>
          </w:rPr>
          <w:fldChar w:fldCharType="begin"/>
        </w:r>
        <w:r w:rsidR="002E04F9" w:rsidRPr="00474543">
          <w:rPr>
            <w:rFonts w:ascii="Times New Roman" w:hAnsi="Times New Roman" w:cs="Times New Roman"/>
            <w:webHidden/>
            <w:color w:val="000000" w:themeColor="text1"/>
            <w:sz w:val="28"/>
            <w:szCs w:val="28"/>
          </w:rPr>
          <w:instrText xml:space="preserve"> PAGEREF _Toc220058964 \h </w:instrText>
        </w:r>
        <w:r w:rsidRPr="00474543">
          <w:rPr>
            <w:rFonts w:ascii="Times New Roman" w:hAnsi="Times New Roman" w:cs="Times New Roman"/>
            <w:webHidden/>
            <w:color w:val="000000" w:themeColor="text1"/>
            <w:sz w:val="28"/>
            <w:szCs w:val="28"/>
          </w:rPr>
        </w:r>
        <w:r w:rsidRPr="00474543">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225</w:t>
        </w:r>
        <w:r w:rsidRPr="00474543">
          <w:rPr>
            <w:rFonts w:ascii="Times New Roman" w:hAnsi="Times New Roman" w:cs="Times New Roman"/>
            <w:webHidden/>
            <w:color w:val="000000" w:themeColor="text1"/>
            <w:sz w:val="28"/>
            <w:szCs w:val="28"/>
          </w:rPr>
          <w:fldChar w:fldCharType="end"/>
        </w:r>
      </w:hyperlink>
    </w:p>
    <w:p w:rsidR="002E04F9" w:rsidRPr="00474543" w:rsidRDefault="00785319" w:rsidP="00047411">
      <w:pPr>
        <w:pStyle w:val="27"/>
        <w:widowControl w:val="0"/>
        <w:rPr>
          <w:noProof w:val="0"/>
          <w:color w:val="000000" w:themeColor="text1"/>
        </w:rPr>
      </w:pPr>
      <w:hyperlink w:anchor="_Toc220058965" w:history="1">
        <w:r w:rsidR="002E04F9" w:rsidRPr="00474543">
          <w:rPr>
            <w:rStyle w:val="af3"/>
            <w:bCs/>
            <w:noProof w:val="0"/>
            <w:color w:val="000000" w:themeColor="text1"/>
          </w:rPr>
          <w:t>Висновки до розділу 8</w:t>
        </w:r>
        <w:r w:rsidR="002E04F9" w:rsidRPr="00474543">
          <w:rPr>
            <w:noProof w:val="0"/>
            <w:webHidden/>
            <w:color w:val="000000" w:themeColor="text1"/>
          </w:rPr>
          <w:tab/>
        </w:r>
        <w:r w:rsidRPr="00474543">
          <w:rPr>
            <w:noProof w:val="0"/>
            <w:webHidden/>
            <w:color w:val="000000" w:themeColor="text1"/>
          </w:rPr>
          <w:fldChar w:fldCharType="begin"/>
        </w:r>
        <w:r w:rsidR="002E04F9" w:rsidRPr="00474543">
          <w:rPr>
            <w:noProof w:val="0"/>
            <w:webHidden/>
            <w:color w:val="000000" w:themeColor="text1"/>
          </w:rPr>
          <w:instrText xml:space="preserve"> PAGEREF _Toc220058965 \h </w:instrText>
        </w:r>
        <w:r w:rsidRPr="00474543">
          <w:rPr>
            <w:noProof w:val="0"/>
            <w:webHidden/>
            <w:color w:val="000000" w:themeColor="text1"/>
          </w:rPr>
        </w:r>
        <w:r w:rsidRPr="00474543">
          <w:rPr>
            <w:noProof w:val="0"/>
            <w:webHidden/>
            <w:color w:val="000000" w:themeColor="text1"/>
          </w:rPr>
          <w:fldChar w:fldCharType="separate"/>
        </w:r>
        <w:r w:rsidR="004027F3">
          <w:rPr>
            <w:webHidden/>
            <w:color w:val="000000" w:themeColor="text1"/>
          </w:rPr>
          <w:t>234</w:t>
        </w:r>
        <w:r w:rsidRPr="00474543">
          <w:rPr>
            <w:noProof w:val="0"/>
            <w:webHidden/>
            <w:color w:val="000000" w:themeColor="text1"/>
          </w:rPr>
          <w:fldChar w:fldCharType="end"/>
        </w:r>
      </w:hyperlink>
    </w:p>
    <w:p w:rsidR="002E04F9" w:rsidRPr="00474543"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66" w:history="1">
        <w:r w:rsidR="002E04F9" w:rsidRPr="00474543">
          <w:rPr>
            <w:rStyle w:val="af3"/>
            <w:rFonts w:ascii="Times New Roman" w:hAnsi="Times New Roman" w:cs="Times New Roman"/>
            <w:color w:val="000000" w:themeColor="text1"/>
            <w:sz w:val="28"/>
            <w:szCs w:val="28"/>
          </w:rPr>
          <w:t>РОЗДІЛ 9</w:t>
        </w:r>
      </w:hyperlink>
      <w:r w:rsidR="002B429A" w:rsidRPr="00474543">
        <w:rPr>
          <w:rFonts w:ascii="Times New Roman" w:hAnsi="Times New Roman" w:cs="Times New Roman"/>
          <w:color w:val="000000" w:themeColor="text1"/>
          <w:sz w:val="28"/>
          <w:szCs w:val="28"/>
        </w:rPr>
        <w:t xml:space="preserve">. </w:t>
      </w:r>
      <w:hyperlink w:anchor="_Toc220058967" w:history="1">
        <w:r w:rsidR="002E04F9" w:rsidRPr="00474543">
          <w:rPr>
            <w:rStyle w:val="af3"/>
            <w:rFonts w:ascii="Times New Roman" w:hAnsi="Times New Roman" w:cs="Times New Roman"/>
            <w:color w:val="000000" w:themeColor="text1"/>
            <w:sz w:val="28"/>
            <w:szCs w:val="28"/>
          </w:rPr>
          <w:t xml:space="preserve">ЕКОНОМІЧНА ЕФЕКТИВНІСТЬ УДОСКОНАЛЕНИХ </w:t>
        </w:r>
        <w:r w:rsidR="002E04F9" w:rsidRPr="00474543">
          <w:rPr>
            <w:rStyle w:val="af3"/>
            <w:rFonts w:ascii="Times New Roman" w:hAnsi="Times New Roman" w:cs="Times New Roman"/>
            <w:bCs/>
            <w:caps/>
            <w:color w:val="000000" w:themeColor="text1"/>
            <w:sz w:val="28"/>
            <w:szCs w:val="28"/>
            <w:lang w:eastAsia="uk-UA" w:bidi="uk-UA"/>
          </w:rPr>
          <w:t>технологічних прийомів культивування винограду</w:t>
        </w:r>
      </w:hyperlink>
      <w:r w:rsidR="002B429A" w:rsidRPr="00474543">
        <w:rPr>
          <w:rFonts w:ascii="Times New Roman" w:hAnsi="Times New Roman" w:cs="Times New Roman"/>
          <w:color w:val="000000" w:themeColor="text1"/>
          <w:sz w:val="28"/>
          <w:szCs w:val="28"/>
        </w:rPr>
        <w:t xml:space="preserve"> </w:t>
      </w:r>
      <w:hyperlink w:anchor="_Toc220058968" w:history="1">
        <w:r w:rsidR="002E04F9" w:rsidRPr="00474543">
          <w:rPr>
            <w:rStyle w:val="af3"/>
            <w:rFonts w:ascii="Times New Roman" w:hAnsi="Times New Roman" w:cs="Times New Roman"/>
            <w:bCs/>
            <w:i/>
            <w:caps/>
            <w:color w:val="000000" w:themeColor="text1"/>
            <w:sz w:val="28"/>
            <w:szCs w:val="28"/>
            <w:lang w:eastAsia="uk-UA" w:bidi="uk-UA"/>
          </w:rPr>
          <w:t>in vitro</w:t>
        </w:r>
        <w:r w:rsidR="002E04F9" w:rsidRPr="00474543">
          <w:rPr>
            <w:rFonts w:ascii="Times New Roman" w:hAnsi="Times New Roman" w:cs="Times New Roman"/>
            <w:webHidden/>
            <w:color w:val="000000" w:themeColor="text1"/>
            <w:sz w:val="28"/>
            <w:szCs w:val="28"/>
          </w:rPr>
          <w:tab/>
        </w:r>
        <w:r w:rsidRPr="00474543">
          <w:rPr>
            <w:rFonts w:ascii="Times New Roman" w:hAnsi="Times New Roman" w:cs="Times New Roman"/>
            <w:webHidden/>
            <w:color w:val="000000" w:themeColor="text1"/>
            <w:sz w:val="28"/>
            <w:szCs w:val="28"/>
          </w:rPr>
          <w:fldChar w:fldCharType="begin"/>
        </w:r>
        <w:r w:rsidR="002E04F9" w:rsidRPr="00474543">
          <w:rPr>
            <w:rFonts w:ascii="Times New Roman" w:hAnsi="Times New Roman" w:cs="Times New Roman"/>
            <w:webHidden/>
            <w:color w:val="000000" w:themeColor="text1"/>
            <w:sz w:val="28"/>
            <w:szCs w:val="28"/>
          </w:rPr>
          <w:instrText xml:space="preserve"> PAGEREF _Toc220058968 \h </w:instrText>
        </w:r>
        <w:r w:rsidRPr="00474543">
          <w:rPr>
            <w:rFonts w:ascii="Times New Roman" w:hAnsi="Times New Roman" w:cs="Times New Roman"/>
            <w:webHidden/>
            <w:color w:val="000000" w:themeColor="text1"/>
            <w:sz w:val="28"/>
            <w:szCs w:val="28"/>
          </w:rPr>
        </w:r>
        <w:r w:rsidRPr="00474543">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240</w:t>
        </w:r>
        <w:r w:rsidRPr="00474543">
          <w:rPr>
            <w:rFonts w:ascii="Times New Roman" w:hAnsi="Times New Roman" w:cs="Times New Roman"/>
            <w:webHidden/>
            <w:color w:val="000000" w:themeColor="text1"/>
            <w:sz w:val="28"/>
            <w:szCs w:val="28"/>
          </w:rPr>
          <w:fldChar w:fldCharType="end"/>
        </w:r>
      </w:hyperlink>
    </w:p>
    <w:p w:rsidR="002E04F9" w:rsidRPr="00474543" w:rsidRDefault="00785319" w:rsidP="00047411">
      <w:pPr>
        <w:pStyle w:val="27"/>
        <w:widowControl w:val="0"/>
        <w:rPr>
          <w:noProof w:val="0"/>
          <w:color w:val="000000" w:themeColor="text1"/>
        </w:rPr>
      </w:pPr>
      <w:hyperlink w:anchor="_Toc220058969" w:history="1">
        <w:r w:rsidR="002E04F9" w:rsidRPr="00474543">
          <w:rPr>
            <w:rStyle w:val="af3"/>
            <w:bCs/>
            <w:noProof w:val="0"/>
            <w:color w:val="000000" w:themeColor="text1"/>
            <w:kern w:val="36"/>
            <w:lang w:eastAsia="ru-RU"/>
          </w:rPr>
          <w:t>Висновки до розділу 9</w:t>
        </w:r>
        <w:r w:rsidR="002E04F9" w:rsidRPr="00474543">
          <w:rPr>
            <w:noProof w:val="0"/>
            <w:webHidden/>
            <w:color w:val="000000" w:themeColor="text1"/>
          </w:rPr>
          <w:tab/>
        </w:r>
        <w:r w:rsidRPr="00474543">
          <w:rPr>
            <w:noProof w:val="0"/>
            <w:webHidden/>
            <w:color w:val="000000" w:themeColor="text1"/>
          </w:rPr>
          <w:fldChar w:fldCharType="begin"/>
        </w:r>
        <w:r w:rsidR="002E04F9" w:rsidRPr="00474543">
          <w:rPr>
            <w:noProof w:val="0"/>
            <w:webHidden/>
            <w:color w:val="000000" w:themeColor="text1"/>
          </w:rPr>
          <w:instrText xml:space="preserve"> PAGEREF _Toc220058969 \h </w:instrText>
        </w:r>
        <w:r w:rsidRPr="00474543">
          <w:rPr>
            <w:noProof w:val="0"/>
            <w:webHidden/>
            <w:color w:val="000000" w:themeColor="text1"/>
          </w:rPr>
        </w:r>
        <w:r w:rsidRPr="00474543">
          <w:rPr>
            <w:noProof w:val="0"/>
            <w:webHidden/>
            <w:color w:val="000000" w:themeColor="text1"/>
          </w:rPr>
          <w:fldChar w:fldCharType="separate"/>
        </w:r>
        <w:r w:rsidR="004027F3">
          <w:rPr>
            <w:webHidden/>
            <w:color w:val="000000" w:themeColor="text1"/>
          </w:rPr>
          <w:t>251</w:t>
        </w:r>
        <w:r w:rsidRPr="00474543">
          <w:rPr>
            <w:noProof w:val="0"/>
            <w:webHidden/>
            <w:color w:val="000000" w:themeColor="text1"/>
          </w:rPr>
          <w:fldChar w:fldCharType="end"/>
        </w:r>
      </w:hyperlink>
    </w:p>
    <w:p w:rsidR="002E04F9" w:rsidRPr="00474543"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70" w:history="1">
        <w:r w:rsidR="002E04F9" w:rsidRPr="00474543">
          <w:rPr>
            <w:rStyle w:val="af3"/>
            <w:rFonts w:ascii="Times New Roman" w:hAnsi="Times New Roman" w:cs="Times New Roman"/>
            <w:bCs/>
            <w:color w:val="000000" w:themeColor="text1"/>
            <w:sz w:val="28"/>
            <w:szCs w:val="28"/>
          </w:rPr>
          <w:t>ВИСНОВКИ</w:t>
        </w:r>
        <w:r w:rsidR="002E04F9" w:rsidRPr="00474543">
          <w:rPr>
            <w:rFonts w:ascii="Times New Roman" w:hAnsi="Times New Roman" w:cs="Times New Roman"/>
            <w:webHidden/>
            <w:color w:val="000000" w:themeColor="text1"/>
            <w:sz w:val="28"/>
            <w:szCs w:val="28"/>
          </w:rPr>
          <w:tab/>
        </w:r>
        <w:r w:rsidRPr="00474543">
          <w:rPr>
            <w:rFonts w:ascii="Times New Roman" w:hAnsi="Times New Roman" w:cs="Times New Roman"/>
            <w:webHidden/>
            <w:color w:val="000000" w:themeColor="text1"/>
            <w:sz w:val="28"/>
            <w:szCs w:val="28"/>
          </w:rPr>
          <w:fldChar w:fldCharType="begin"/>
        </w:r>
        <w:r w:rsidR="002E04F9" w:rsidRPr="00474543">
          <w:rPr>
            <w:rFonts w:ascii="Times New Roman" w:hAnsi="Times New Roman" w:cs="Times New Roman"/>
            <w:webHidden/>
            <w:color w:val="000000" w:themeColor="text1"/>
            <w:sz w:val="28"/>
            <w:szCs w:val="28"/>
          </w:rPr>
          <w:instrText xml:space="preserve"> PAGEREF _Toc220058970 \h </w:instrText>
        </w:r>
        <w:r w:rsidRPr="00474543">
          <w:rPr>
            <w:rFonts w:ascii="Times New Roman" w:hAnsi="Times New Roman" w:cs="Times New Roman"/>
            <w:webHidden/>
            <w:color w:val="000000" w:themeColor="text1"/>
            <w:sz w:val="28"/>
            <w:szCs w:val="28"/>
          </w:rPr>
        </w:r>
        <w:r w:rsidRPr="00474543">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255</w:t>
        </w:r>
        <w:r w:rsidRPr="00474543">
          <w:rPr>
            <w:rFonts w:ascii="Times New Roman" w:hAnsi="Times New Roman" w:cs="Times New Roman"/>
            <w:webHidden/>
            <w:color w:val="000000" w:themeColor="text1"/>
            <w:sz w:val="28"/>
            <w:szCs w:val="28"/>
          </w:rPr>
          <w:fldChar w:fldCharType="end"/>
        </w:r>
      </w:hyperlink>
    </w:p>
    <w:p w:rsidR="002E04F9" w:rsidRPr="00474543"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71" w:history="1">
        <w:r w:rsidR="002E04F9" w:rsidRPr="00474543">
          <w:rPr>
            <w:rStyle w:val="af3"/>
            <w:rFonts w:ascii="Times New Roman" w:hAnsi="Times New Roman" w:cs="Times New Roman"/>
            <w:caps/>
            <w:color w:val="000000" w:themeColor="text1"/>
            <w:sz w:val="28"/>
            <w:szCs w:val="28"/>
          </w:rPr>
          <w:t>Практичні рекомендації ЩОДО</w:t>
        </w:r>
        <w:r w:rsidR="002E04F9" w:rsidRPr="00474543">
          <w:rPr>
            <w:rStyle w:val="af3"/>
            <w:rFonts w:ascii="Times New Roman" w:hAnsi="Times New Roman" w:cs="Times New Roman"/>
            <w:color w:val="000000" w:themeColor="text1"/>
            <w:sz w:val="28"/>
            <w:szCs w:val="28"/>
          </w:rPr>
          <w:t xml:space="preserve"> ЗАСТОСУВАННЯ РЕЗУЛЬТАТІВ </w:t>
        </w:r>
        <w:r w:rsidR="002E04F9" w:rsidRPr="00474543">
          <w:rPr>
            <w:rStyle w:val="af3"/>
            <w:rFonts w:ascii="Times New Roman" w:hAnsi="Times New Roman" w:cs="Times New Roman"/>
            <w:caps/>
            <w:color w:val="000000" w:themeColor="text1"/>
            <w:sz w:val="28"/>
            <w:szCs w:val="28"/>
          </w:rPr>
          <w:t>наукового</w:t>
        </w:r>
        <w:r w:rsidR="002E04F9" w:rsidRPr="00474543">
          <w:rPr>
            <w:rStyle w:val="af3"/>
            <w:rFonts w:ascii="Times New Roman" w:hAnsi="Times New Roman" w:cs="Times New Roman"/>
            <w:color w:val="000000" w:themeColor="text1"/>
            <w:sz w:val="28"/>
            <w:szCs w:val="28"/>
          </w:rPr>
          <w:t xml:space="preserve"> ДОСЛІДЖЕННЯ</w:t>
        </w:r>
        <w:r w:rsidR="002E04F9" w:rsidRPr="00474543">
          <w:rPr>
            <w:rFonts w:ascii="Times New Roman" w:hAnsi="Times New Roman" w:cs="Times New Roman"/>
            <w:webHidden/>
            <w:color w:val="000000" w:themeColor="text1"/>
            <w:sz w:val="28"/>
            <w:szCs w:val="28"/>
          </w:rPr>
          <w:tab/>
        </w:r>
        <w:r w:rsidRPr="00474543">
          <w:rPr>
            <w:rFonts w:ascii="Times New Roman" w:hAnsi="Times New Roman" w:cs="Times New Roman"/>
            <w:webHidden/>
            <w:color w:val="000000" w:themeColor="text1"/>
            <w:sz w:val="28"/>
            <w:szCs w:val="28"/>
          </w:rPr>
          <w:fldChar w:fldCharType="begin"/>
        </w:r>
        <w:r w:rsidR="002E04F9" w:rsidRPr="00474543">
          <w:rPr>
            <w:rFonts w:ascii="Times New Roman" w:hAnsi="Times New Roman" w:cs="Times New Roman"/>
            <w:webHidden/>
            <w:color w:val="000000" w:themeColor="text1"/>
            <w:sz w:val="28"/>
            <w:szCs w:val="28"/>
          </w:rPr>
          <w:instrText xml:space="preserve"> PAGEREF _Toc220058971 \h </w:instrText>
        </w:r>
        <w:r w:rsidRPr="00474543">
          <w:rPr>
            <w:rFonts w:ascii="Times New Roman" w:hAnsi="Times New Roman" w:cs="Times New Roman"/>
            <w:webHidden/>
            <w:color w:val="000000" w:themeColor="text1"/>
            <w:sz w:val="28"/>
            <w:szCs w:val="28"/>
          </w:rPr>
        </w:r>
        <w:r w:rsidRPr="00474543">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264</w:t>
        </w:r>
        <w:r w:rsidRPr="00474543">
          <w:rPr>
            <w:rFonts w:ascii="Times New Roman" w:hAnsi="Times New Roman" w:cs="Times New Roman"/>
            <w:webHidden/>
            <w:color w:val="000000" w:themeColor="text1"/>
            <w:sz w:val="28"/>
            <w:szCs w:val="28"/>
          </w:rPr>
          <w:fldChar w:fldCharType="end"/>
        </w:r>
      </w:hyperlink>
    </w:p>
    <w:p w:rsidR="002E04F9" w:rsidRPr="00474543"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72" w:history="1">
        <w:r w:rsidR="002E04F9" w:rsidRPr="00474543">
          <w:rPr>
            <w:rStyle w:val="af3"/>
            <w:rFonts w:ascii="Times New Roman" w:hAnsi="Times New Roman" w:cs="Times New Roman"/>
            <w:color w:val="000000" w:themeColor="text1"/>
            <w:sz w:val="28"/>
            <w:szCs w:val="28"/>
          </w:rPr>
          <w:t>СПИСОК ВИКОРИСТАНИХ ДЖЕРЕЛ</w:t>
        </w:r>
        <w:r w:rsidR="002E04F9" w:rsidRPr="00474543">
          <w:rPr>
            <w:rFonts w:ascii="Times New Roman" w:hAnsi="Times New Roman" w:cs="Times New Roman"/>
            <w:webHidden/>
            <w:color w:val="000000" w:themeColor="text1"/>
            <w:sz w:val="28"/>
            <w:szCs w:val="28"/>
          </w:rPr>
          <w:tab/>
        </w:r>
        <w:r w:rsidRPr="00474543">
          <w:rPr>
            <w:rFonts w:ascii="Times New Roman" w:hAnsi="Times New Roman" w:cs="Times New Roman"/>
            <w:webHidden/>
            <w:color w:val="000000" w:themeColor="text1"/>
            <w:sz w:val="28"/>
            <w:szCs w:val="28"/>
          </w:rPr>
          <w:fldChar w:fldCharType="begin"/>
        </w:r>
        <w:r w:rsidR="002E04F9" w:rsidRPr="00474543">
          <w:rPr>
            <w:rFonts w:ascii="Times New Roman" w:hAnsi="Times New Roman" w:cs="Times New Roman"/>
            <w:webHidden/>
            <w:color w:val="000000" w:themeColor="text1"/>
            <w:sz w:val="28"/>
            <w:szCs w:val="28"/>
          </w:rPr>
          <w:instrText xml:space="preserve"> PAGEREF _Toc220058972 \h </w:instrText>
        </w:r>
        <w:r w:rsidRPr="00474543">
          <w:rPr>
            <w:rFonts w:ascii="Times New Roman" w:hAnsi="Times New Roman" w:cs="Times New Roman"/>
            <w:webHidden/>
            <w:color w:val="000000" w:themeColor="text1"/>
            <w:sz w:val="28"/>
            <w:szCs w:val="28"/>
          </w:rPr>
        </w:r>
        <w:r w:rsidRPr="00474543">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268</w:t>
        </w:r>
        <w:r w:rsidRPr="00474543">
          <w:rPr>
            <w:rFonts w:ascii="Times New Roman" w:hAnsi="Times New Roman" w:cs="Times New Roman"/>
            <w:webHidden/>
            <w:color w:val="000000" w:themeColor="text1"/>
            <w:sz w:val="28"/>
            <w:szCs w:val="28"/>
          </w:rPr>
          <w:fldChar w:fldCharType="end"/>
        </w:r>
      </w:hyperlink>
    </w:p>
    <w:p w:rsidR="002E04F9" w:rsidRPr="00474543" w:rsidRDefault="00785319" w:rsidP="00047411">
      <w:pPr>
        <w:pStyle w:val="1a"/>
        <w:widowControl w:val="0"/>
        <w:tabs>
          <w:tab w:val="right" w:leader="dot" w:pos="9343"/>
        </w:tabs>
        <w:spacing w:after="0" w:line="360" w:lineRule="auto"/>
        <w:jc w:val="both"/>
        <w:rPr>
          <w:rFonts w:ascii="Times New Roman" w:hAnsi="Times New Roman" w:cs="Times New Roman"/>
          <w:color w:val="000000" w:themeColor="text1"/>
          <w:sz w:val="28"/>
          <w:szCs w:val="28"/>
        </w:rPr>
      </w:pPr>
      <w:hyperlink w:anchor="_Toc220058973" w:history="1">
        <w:r w:rsidR="002E04F9" w:rsidRPr="00474543">
          <w:rPr>
            <w:rStyle w:val="af3"/>
            <w:rFonts w:ascii="Times New Roman" w:eastAsia="NSimSun" w:hAnsi="Times New Roman" w:cs="Times New Roman"/>
            <w:color w:val="000000" w:themeColor="text1"/>
            <w:kern w:val="3"/>
            <w:sz w:val="28"/>
            <w:szCs w:val="28"/>
            <w:lang w:eastAsia="zh-CN" w:bidi="hi-IN"/>
          </w:rPr>
          <w:t>ДОДАТКИ</w:t>
        </w:r>
        <w:r w:rsidR="002E04F9" w:rsidRPr="00474543">
          <w:rPr>
            <w:rFonts w:ascii="Times New Roman" w:hAnsi="Times New Roman" w:cs="Times New Roman"/>
            <w:webHidden/>
            <w:color w:val="000000" w:themeColor="text1"/>
            <w:sz w:val="28"/>
            <w:szCs w:val="28"/>
          </w:rPr>
          <w:tab/>
        </w:r>
        <w:r w:rsidRPr="00474543">
          <w:rPr>
            <w:rFonts w:ascii="Times New Roman" w:hAnsi="Times New Roman" w:cs="Times New Roman"/>
            <w:webHidden/>
            <w:color w:val="000000" w:themeColor="text1"/>
            <w:sz w:val="28"/>
            <w:szCs w:val="28"/>
          </w:rPr>
          <w:fldChar w:fldCharType="begin"/>
        </w:r>
        <w:r w:rsidR="002E04F9" w:rsidRPr="00474543">
          <w:rPr>
            <w:rFonts w:ascii="Times New Roman" w:hAnsi="Times New Roman" w:cs="Times New Roman"/>
            <w:webHidden/>
            <w:color w:val="000000" w:themeColor="text1"/>
            <w:sz w:val="28"/>
            <w:szCs w:val="28"/>
          </w:rPr>
          <w:instrText xml:space="preserve"> PAGEREF _Toc220058973 \h </w:instrText>
        </w:r>
        <w:r w:rsidRPr="00474543">
          <w:rPr>
            <w:rFonts w:ascii="Times New Roman" w:hAnsi="Times New Roman" w:cs="Times New Roman"/>
            <w:webHidden/>
            <w:color w:val="000000" w:themeColor="text1"/>
            <w:sz w:val="28"/>
            <w:szCs w:val="28"/>
          </w:rPr>
        </w:r>
        <w:r w:rsidRPr="00474543">
          <w:rPr>
            <w:rFonts w:ascii="Times New Roman" w:hAnsi="Times New Roman" w:cs="Times New Roman"/>
            <w:webHidden/>
            <w:color w:val="000000" w:themeColor="text1"/>
            <w:sz w:val="28"/>
            <w:szCs w:val="28"/>
          </w:rPr>
          <w:fldChar w:fldCharType="separate"/>
        </w:r>
        <w:r w:rsidR="004027F3">
          <w:rPr>
            <w:rFonts w:ascii="Times New Roman" w:hAnsi="Times New Roman" w:cs="Times New Roman"/>
            <w:noProof/>
            <w:webHidden/>
            <w:color w:val="000000" w:themeColor="text1"/>
            <w:sz w:val="28"/>
            <w:szCs w:val="28"/>
          </w:rPr>
          <w:t>302</w:t>
        </w:r>
        <w:r w:rsidRPr="00474543">
          <w:rPr>
            <w:rFonts w:ascii="Times New Roman" w:hAnsi="Times New Roman" w:cs="Times New Roman"/>
            <w:webHidden/>
            <w:color w:val="000000" w:themeColor="text1"/>
            <w:sz w:val="28"/>
            <w:szCs w:val="28"/>
          </w:rPr>
          <w:fldChar w:fldCharType="end"/>
        </w:r>
      </w:hyperlink>
    </w:p>
    <w:p w:rsidR="00131529" w:rsidRPr="00CC7883" w:rsidRDefault="00785319" w:rsidP="00047411">
      <w:pPr>
        <w:widowControl w:val="0"/>
        <w:spacing w:after="0" w:line="360" w:lineRule="auto"/>
        <w:jc w:val="both"/>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fldChar w:fldCharType="end"/>
      </w:r>
      <w:r w:rsidR="00131529" w:rsidRPr="00CC7883">
        <w:rPr>
          <w:rFonts w:ascii="Times New Roman" w:eastAsia="Calibri" w:hAnsi="Times New Roman" w:cs="Times New Roman"/>
          <w:color w:val="000000" w:themeColor="text1"/>
          <w:kern w:val="0"/>
          <w:sz w:val="28"/>
          <w:szCs w:val="28"/>
        </w:rPr>
        <w:br w:type="page"/>
      </w:r>
    </w:p>
    <w:p w:rsidR="00B92086" w:rsidRPr="00CC7883" w:rsidRDefault="00B92086" w:rsidP="00047411">
      <w:pPr>
        <w:widowControl w:val="0"/>
        <w:spacing w:after="0" w:line="360"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lastRenderedPageBreak/>
        <w:t>ПЕРЕЛІК УМОВНИХ ПОЗНАЧЕНЬ</w:t>
      </w:r>
    </w:p>
    <w:p w:rsidR="00B92086" w:rsidRPr="00CC7883" w:rsidRDefault="00B92086" w:rsidP="00047411">
      <w:pPr>
        <w:widowControl w:val="0"/>
        <w:spacing w:after="0" w:line="360" w:lineRule="auto"/>
        <w:jc w:val="center"/>
        <w:rPr>
          <w:rFonts w:ascii="Times New Roman" w:eastAsia="Calibri" w:hAnsi="Times New Roman" w:cs="Times New Roman"/>
          <w:color w:val="000000" w:themeColor="text1"/>
          <w:kern w:val="0"/>
          <w:sz w:val="28"/>
          <w:szCs w:val="28"/>
        </w:rPr>
      </w:pPr>
    </w:p>
    <w:p w:rsidR="00B92086" w:rsidRPr="00CC7883" w:rsidRDefault="00B92086" w:rsidP="00047411">
      <w:pPr>
        <w:widowControl w:val="0"/>
        <w:spacing w:after="0" w:line="360" w:lineRule="auto"/>
        <w:jc w:val="both"/>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MS – поживне середовище Мурасіге і Скуга</w:t>
      </w:r>
    </w:p>
    <w:p w:rsidR="00B92086" w:rsidRPr="00CC7883" w:rsidRDefault="00B92086" w:rsidP="00047411">
      <w:pPr>
        <w:widowControl w:val="0"/>
        <w:spacing w:after="0" w:line="360" w:lineRule="auto"/>
        <w:jc w:val="both"/>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 xml:space="preserve">ІОК – </w:t>
      </w:r>
      <w:r w:rsidR="00732ABA" w:rsidRPr="00CC7883">
        <w:rPr>
          <w:rFonts w:ascii="Times New Roman" w:hAnsi="Times New Roman"/>
          <w:color w:val="000000" w:themeColor="text1"/>
          <w:sz w:val="28"/>
          <w:szCs w:val="28"/>
        </w:rPr>
        <w:t>індоліл-3-оцтова кислота</w:t>
      </w:r>
    </w:p>
    <w:p w:rsidR="00B92086" w:rsidRPr="00CC7883" w:rsidRDefault="00B92086" w:rsidP="00047411">
      <w:pPr>
        <w:widowControl w:val="0"/>
        <w:spacing w:after="0" w:line="360" w:lineRule="auto"/>
        <w:jc w:val="both"/>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ІМК – індоліл-масляна кислота</w:t>
      </w:r>
    </w:p>
    <w:p w:rsidR="00B92086" w:rsidRPr="00CC7883" w:rsidRDefault="00B92086" w:rsidP="00047411">
      <w:pPr>
        <w:widowControl w:val="0"/>
        <w:spacing w:after="0" w:line="360" w:lineRule="auto"/>
        <w:jc w:val="both"/>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6-БАП – 6-бензиламінопурин</w:t>
      </w:r>
    </w:p>
    <w:p w:rsidR="00B92086" w:rsidRPr="00CC7883" w:rsidRDefault="00B92086" w:rsidP="00047411">
      <w:pPr>
        <w:widowControl w:val="0"/>
        <w:spacing w:after="0" w:line="360" w:lineRule="auto"/>
        <w:jc w:val="both"/>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БАП – біологічно активні препарати</w:t>
      </w:r>
    </w:p>
    <w:p w:rsidR="00B92086" w:rsidRPr="00CC7883" w:rsidRDefault="00B92086"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br w:type="page"/>
      </w:r>
    </w:p>
    <w:p w:rsidR="00DA0FC3" w:rsidRPr="00CC7883" w:rsidRDefault="00DA0FC3" w:rsidP="00047411">
      <w:pPr>
        <w:widowControl w:val="0"/>
        <w:spacing w:after="0" w:line="360" w:lineRule="auto"/>
        <w:jc w:val="center"/>
        <w:outlineLvl w:val="0"/>
        <w:rPr>
          <w:rFonts w:ascii="Times New Roman" w:hAnsi="Times New Roman" w:cs="Times New Roman"/>
          <w:b/>
          <w:bCs/>
          <w:color w:val="000000" w:themeColor="text1"/>
          <w:sz w:val="28"/>
        </w:rPr>
      </w:pPr>
      <w:bookmarkStart w:id="1" w:name="_Toc220058913"/>
      <w:r w:rsidRPr="00CC7883">
        <w:rPr>
          <w:rFonts w:ascii="Times New Roman" w:hAnsi="Times New Roman" w:cs="Times New Roman"/>
          <w:b/>
          <w:bCs/>
          <w:color w:val="000000" w:themeColor="text1"/>
          <w:sz w:val="28"/>
        </w:rPr>
        <w:lastRenderedPageBreak/>
        <w:t>ВСТУП</w:t>
      </w:r>
      <w:bookmarkEnd w:id="1"/>
    </w:p>
    <w:p w:rsidR="00DA0FC3" w:rsidRPr="00CC7883" w:rsidRDefault="00DA0FC3" w:rsidP="00047411">
      <w:pPr>
        <w:widowControl w:val="0"/>
        <w:spacing w:after="0" w:line="360" w:lineRule="auto"/>
        <w:ind w:firstLine="720"/>
        <w:jc w:val="both"/>
        <w:rPr>
          <w:rFonts w:ascii="Times New Roman" w:hAnsi="Times New Roman" w:cs="Times New Roman"/>
          <w:b/>
          <w:color w:val="000000" w:themeColor="text1"/>
          <w:sz w:val="28"/>
        </w:rPr>
      </w:pPr>
    </w:p>
    <w:p w:rsidR="00DA0FC3" w:rsidRPr="00CC7883" w:rsidRDefault="00DA0FC3" w:rsidP="00047411">
      <w:pPr>
        <w:widowControl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b/>
          <w:color w:val="000000" w:themeColor="text1"/>
          <w:sz w:val="28"/>
        </w:rPr>
        <w:t>Актуальність теми</w:t>
      </w:r>
      <w:r w:rsidRPr="00CC7883">
        <w:rPr>
          <w:rFonts w:ascii="Times New Roman" w:hAnsi="Times New Roman" w:cs="Times New Roman"/>
          <w:color w:val="000000" w:themeColor="text1"/>
          <w:sz w:val="28"/>
        </w:rPr>
        <w:t xml:space="preserve">. Сучасне виноградарство потребує високоякісного, здорового та генетично стабільного садивного матеріалу, який є основою для закладання нових насаджень і комплексної реконструкції галузі виноградарства. Одним із ефективних способів його отримання є метод мікроклонального розмноження, який забезпечує швидке відтворення цінних, перспективних форм, сортів, клонів винограду. </w:t>
      </w:r>
    </w:p>
    <w:p w:rsidR="00DA0FC3" w:rsidRPr="00CC7883" w:rsidRDefault="00DA0FC3" w:rsidP="00047411">
      <w:pPr>
        <w:widowControl w:val="0"/>
        <w:spacing w:after="0" w:line="360" w:lineRule="auto"/>
        <w:ind w:firstLine="709"/>
        <w:jc w:val="both"/>
        <w:rPr>
          <w:rFonts w:ascii="Times New Roman" w:eastAsia="Times New Roman" w:hAnsi="Times New Roman" w:cs="Times New Roman"/>
          <w:i/>
          <w:iCs/>
          <w:color w:val="000000" w:themeColor="text1"/>
          <w:sz w:val="28"/>
          <w:szCs w:val="28"/>
        </w:rPr>
      </w:pPr>
      <w:r w:rsidRPr="00CC7883">
        <w:rPr>
          <w:rFonts w:ascii="Times New Roman" w:hAnsi="Times New Roman" w:cs="Times New Roman"/>
          <w:color w:val="000000" w:themeColor="text1"/>
          <w:sz w:val="28"/>
        </w:rPr>
        <w:t xml:space="preserve">Технологія вирощування рослин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rPr>
        <w:t xml:space="preserve"> складається з чітко визначених етапів: </w:t>
      </w:r>
      <w:r w:rsidRPr="00CC7883">
        <w:rPr>
          <w:rFonts w:ascii="Times New Roman" w:eastAsia="Times New Roman" w:hAnsi="Times New Roman" w:cs="Times New Roman"/>
          <w:color w:val="000000" w:themeColor="text1"/>
          <w:sz w:val="28"/>
          <w:szCs w:val="28"/>
        </w:rPr>
        <w:t xml:space="preserve">відбір, стерилізація, введення ініціальних експлантів у культуру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color w:val="000000" w:themeColor="text1"/>
          <w:sz w:val="28"/>
          <w:szCs w:val="28"/>
        </w:rPr>
        <w:t xml:space="preserve">, проліферація пазушних бруньок і ризогенез ініціальних експлантів, укорінення мікрочубуків та власне мікророзмноження, адаптація мікроклональних рослин до умов </w:t>
      </w:r>
      <w:r w:rsidR="00F5525C"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i/>
          <w:iCs/>
          <w:color w:val="000000" w:themeColor="text1"/>
          <w:sz w:val="28"/>
          <w:szCs w:val="28"/>
        </w:rPr>
        <w:t xml:space="preserve">. </w:t>
      </w:r>
    </w:p>
    <w:p w:rsidR="00DA0FC3" w:rsidRPr="00CC7883" w:rsidRDefault="00DA0FC3"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Кінцевим етапом у цій технології є адаптація рослин до нестерильних, неконтрольованих умов довкілля. Саме на цьому етапі гине чи ушкоджується найбільша кількість рослин. Це пов’язано з тим, що в культурі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xml:space="preserve"> рослини перебувають в умовах, які відрізняються від природних за багатьма фізико-хімічними параметрами: світловим, водним, температурним режимами, газовим складом повітря усередині культуральних єм</w:t>
      </w:r>
      <w:r w:rsidR="00404252" w:rsidRPr="00CC7883">
        <w:rPr>
          <w:rFonts w:ascii="Times New Roman" w:hAnsi="Times New Roman" w:cs="Times New Roman"/>
          <w:color w:val="000000" w:themeColor="text1"/>
          <w:sz w:val="28"/>
          <w:szCs w:val="28"/>
        </w:rPr>
        <w:t>н</w:t>
      </w:r>
      <w:r w:rsidRPr="00CC7883">
        <w:rPr>
          <w:rFonts w:ascii="Times New Roman" w:hAnsi="Times New Roman" w:cs="Times New Roman"/>
          <w:color w:val="000000" w:themeColor="text1"/>
          <w:sz w:val="28"/>
          <w:szCs w:val="28"/>
        </w:rPr>
        <w:t>остей, консистенцією поживного середовища, дотриманням режиму стерильності та ін. [2</w:t>
      </w:r>
      <w:r w:rsidR="00085799" w:rsidRPr="00CC7883">
        <w:rPr>
          <w:rFonts w:ascii="Times New Roman" w:hAnsi="Times New Roman" w:cs="Times New Roman"/>
          <w:color w:val="000000" w:themeColor="text1"/>
          <w:sz w:val="28"/>
          <w:szCs w:val="28"/>
        </w:rPr>
        <w:t>69</w:t>
      </w:r>
      <w:r w:rsidRPr="00CC7883">
        <w:rPr>
          <w:rFonts w:ascii="Times New Roman" w:hAnsi="Times New Roman" w:cs="Times New Roman"/>
          <w:color w:val="000000" w:themeColor="text1"/>
          <w:sz w:val="28"/>
          <w:szCs w:val="28"/>
        </w:rPr>
        <w:t xml:space="preserve">]. Усі ці умови в комплексі призводять до зміни морфо-анатомічних показників, перебігу фізіолого-біохімічних процесів та функціональних змін рослин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Зокрема, ці рослини, у т.</w:t>
      </w:r>
      <w:r w:rsidR="00AE53F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ч. і виноград, характеризуються недорозвиненою восковою кутикулою листків, пошкодженим продиховим апаратом, слабкою фотосинтетичною активністю, вітрифікацією, слабким судинним зв’язком між коренем та пагоном, нерозгалуженою кореневою системою та недорозв</w:t>
      </w:r>
      <w:r w:rsidR="00F210B7" w:rsidRPr="00CC7883">
        <w:rPr>
          <w:rFonts w:ascii="Times New Roman" w:hAnsi="Times New Roman" w:cs="Times New Roman"/>
          <w:color w:val="000000" w:themeColor="text1"/>
          <w:sz w:val="28"/>
          <w:szCs w:val="28"/>
        </w:rPr>
        <w:t>иненими кореневими волосками [13</w:t>
      </w:r>
      <w:r w:rsidR="00F44ECE" w:rsidRPr="00C634FF">
        <w:rPr>
          <w:rFonts w:ascii="Times New Roman" w:hAnsi="Times New Roman" w:cs="Times New Roman"/>
          <w:color w:val="000000" w:themeColor="text1"/>
          <w:sz w:val="28"/>
          <w:szCs w:val="28"/>
        </w:rPr>
        <w:t>,</w:t>
      </w:r>
      <w:r w:rsidR="00F210B7" w:rsidRPr="00CC7883">
        <w:rPr>
          <w:rFonts w:ascii="Times New Roman" w:hAnsi="Times New Roman" w:cs="Times New Roman"/>
          <w:color w:val="000000" w:themeColor="text1"/>
          <w:sz w:val="28"/>
          <w:szCs w:val="28"/>
        </w:rPr>
        <w:t xml:space="preserve"> 41</w:t>
      </w:r>
      <w:r w:rsidRPr="00CC7883">
        <w:rPr>
          <w:rFonts w:ascii="Times New Roman" w:hAnsi="Times New Roman" w:cs="Times New Roman"/>
          <w:color w:val="000000" w:themeColor="text1"/>
          <w:sz w:val="28"/>
          <w:szCs w:val="28"/>
        </w:rPr>
        <w:t xml:space="preserve">]. Тому для успішної адаптації мікроклональних рослин до умов </w:t>
      </w:r>
      <w:r w:rsidR="00F5525C" w:rsidRPr="00CC7883">
        <w:rPr>
          <w:rFonts w:ascii="Times New Roman" w:eastAsia="NSimSun" w:hAnsi="Times New Roman" w:cs="Times New Roman"/>
          <w:i/>
          <w:iCs/>
          <w:color w:val="000000" w:themeColor="text1"/>
          <w:kern w:val="3"/>
          <w:sz w:val="28"/>
          <w:szCs w:val="28"/>
        </w:rPr>
        <w:t>in vivo</w:t>
      </w:r>
      <w:r w:rsidR="00F5525C"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необхідно</w:t>
      </w:r>
      <w:r w:rsidR="00F704CB" w:rsidRPr="00CC7883">
        <w:rPr>
          <w:rFonts w:ascii="Times New Roman" w:hAnsi="Times New Roman" w:cs="Times New Roman"/>
          <w:color w:val="000000" w:themeColor="text1"/>
          <w:sz w:val="28"/>
          <w:szCs w:val="28"/>
        </w:rPr>
        <w:t>, по-перше</w:t>
      </w:r>
      <w:r w:rsidR="00405B39">
        <w:rPr>
          <w:rFonts w:ascii="Times New Roman" w:hAnsi="Times New Roman" w:cs="Times New Roman"/>
          <w:color w:val="000000" w:themeColor="text1"/>
          <w:sz w:val="28"/>
          <w:szCs w:val="28"/>
        </w:rPr>
        <w:t>,</w:t>
      </w:r>
      <w:r w:rsidR="00F704CB"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забезпечити </w:t>
      </w:r>
      <w:r w:rsidR="00302D95">
        <w:rPr>
          <w:rFonts w:ascii="Times New Roman" w:hAnsi="Times New Roman" w:cs="Times New Roman"/>
          <w:color w:val="000000" w:themeColor="text1"/>
          <w:sz w:val="28"/>
          <w:szCs w:val="28"/>
        </w:rPr>
        <w:t>низку</w:t>
      </w:r>
      <w:r w:rsidRPr="00CC7883">
        <w:rPr>
          <w:rFonts w:ascii="Times New Roman" w:hAnsi="Times New Roman" w:cs="Times New Roman"/>
          <w:color w:val="000000" w:themeColor="text1"/>
          <w:sz w:val="28"/>
          <w:szCs w:val="28"/>
        </w:rPr>
        <w:t xml:space="preserve"> оптимальних фізичних </w:t>
      </w:r>
      <w:r w:rsidR="00302D95">
        <w:rPr>
          <w:rFonts w:ascii="Times New Roman" w:hAnsi="Times New Roman" w:cs="Times New Roman"/>
          <w:color w:val="000000" w:themeColor="text1"/>
          <w:sz w:val="28"/>
          <w:szCs w:val="28"/>
        </w:rPr>
        <w:t>чинників</w:t>
      </w:r>
      <w:r w:rsidRPr="00CC7883">
        <w:rPr>
          <w:rFonts w:ascii="Times New Roman" w:hAnsi="Times New Roman" w:cs="Times New Roman"/>
          <w:color w:val="000000" w:themeColor="text1"/>
          <w:sz w:val="28"/>
          <w:szCs w:val="28"/>
        </w:rPr>
        <w:t xml:space="preserve"> (оптимальне поживне середовище чи субстрат, вологість повітря, вентиляція, кислотно-</w:t>
      </w:r>
      <w:r w:rsidRPr="00CC7883">
        <w:rPr>
          <w:rFonts w:ascii="Times New Roman" w:hAnsi="Times New Roman" w:cs="Times New Roman"/>
          <w:color w:val="000000" w:themeColor="text1"/>
          <w:sz w:val="28"/>
          <w:szCs w:val="28"/>
        </w:rPr>
        <w:lastRenderedPageBreak/>
        <w:t xml:space="preserve">лужний баланс (рН) та ін.), </w:t>
      </w:r>
      <w:r w:rsidR="00F704CB" w:rsidRPr="00CC7883">
        <w:rPr>
          <w:rFonts w:ascii="Times New Roman" w:hAnsi="Times New Roman" w:cs="Times New Roman"/>
          <w:color w:val="000000" w:themeColor="text1"/>
          <w:sz w:val="28"/>
          <w:szCs w:val="28"/>
        </w:rPr>
        <w:t>по-друге</w:t>
      </w:r>
      <w:r w:rsidR="00405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рослини повинні перебувати в такому морфо-анатомічному та фізіолого-біохімічному стані, щоб поступово адаптувалися до нових, неконтрольованих умов навколишнього середовища. Тобто ще на етапі культивування рослин в умовах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Pr="00CC7883">
        <w:rPr>
          <w:rFonts w:ascii="Times New Roman" w:hAnsi="Times New Roman" w:cs="Times New Roman"/>
          <w:color w:val="000000" w:themeColor="text1"/>
          <w:sz w:val="28"/>
          <w:szCs w:val="28"/>
        </w:rPr>
        <w:t xml:space="preserve"> необхідно створювати оптимальні умови росту та розвитку, які сприятимуть формуванню мікроклональних рослин з високим адаптаційним потенціалом до неконтрольованих, нестерильних умов.</w:t>
      </w:r>
    </w:p>
    <w:p w:rsidR="00DA0FC3" w:rsidRPr="00CC7883" w:rsidRDefault="00DA0FC3" w:rsidP="00047411">
      <w:pPr>
        <w:widowControl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За останні роки було проведено багато досліджень щодо розмноження винограду в культурі тканин та органів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vitro</w:t>
      </w:r>
      <w:r w:rsidRPr="00CC7883">
        <w:rPr>
          <w:rFonts w:ascii="Times New Roman" w:hAnsi="Times New Roman" w:cs="Times New Roman"/>
          <w:color w:val="000000" w:themeColor="text1"/>
          <w:sz w:val="28"/>
        </w:rPr>
        <w:t xml:space="preserve">. У цих дослідженнях основну увагу приділяли </w:t>
      </w:r>
      <w:r w:rsidRPr="00CC7883">
        <w:rPr>
          <w:rFonts w:ascii="Times New Roman" w:hAnsi="Times New Roman" w:cs="Times New Roman"/>
          <w:snapToGrid w:val="0"/>
          <w:color w:val="000000" w:themeColor="text1"/>
          <w:sz w:val="28"/>
          <w:szCs w:val="28"/>
        </w:rPr>
        <w:t>визначенню оптимального типу вихідного матеріалу винограду для введення у культуру тканин і органів</w:t>
      </w:r>
      <w:r w:rsidR="008B5203" w:rsidRPr="00CC7883">
        <w:rPr>
          <w:rFonts w:ascii="Times New Roman" w:hAnsi="Times New Roman" w:cs="Times New Roman"/>
          <w:snapToGrid w:val="0"/>
          <w:color w:val="000000" w:themeColor="text1"/>
          <w:sz w:val="28"/>
          <w:szCs w:val="28"/>
        </w:rPr>
        <w:t xml:space="preserve">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vitro</w:t>
      </w:r>
      <w:r w:rsidRPr="00CC7883">
        <w:rPr>
          <w:rFonts w:ascii="Times New Roman" w:hAnsi="Times New Roman" w:cs="Times New Roman"/>
          <w:snapToGrid w:val="0"/>
          <w:color w:val="000000" w:themeColor="text1"/>
          <w:sz w:val="28"/>
          <w:szCs w:val="28"/>
        </w:rPr>
        <w:t xml:space="preserve">, способам стерилізації ініціальних експлантів, розробці штучних поживних субстратів, дослідженню залежності процесів морфогенезу винограду </w:t>
      </w:r>
      <w:r w:rsidRPr="00CC7883">
        <w:rPr>
          <w:rFonts w:ascii="Times New Roman" w:hAnsi="Times New Roman" w:cs="Times New Roman"/>
          <w:i/>
          <w:snapToGrid w:val="0"/>
          <w:color w:val="000000" w:themeColor="text1"/>
          <w:sz w:val="28"/>
          <w:szCs w:val="28"/>
        </w:rPr>
        <w:t>in</w:t>
      </w:r>
      <w:r w:rsidR="008B5203" w:rsidRPr="00CC7883">
        <w:rPr>
          <w:rFonts w:ascii="Times New Roman" w:hAnsi="Times New Roman" w:cs="Times New Roman"/>
          <w:i/>
          <w:snapToGrid w:val="0"/>
          <w:color w:val="000000" w:themeColor="text1"/>
          <w:sz w:val="28"/>
          <w:szCs w:val="28"/>
        </w:rPr>
        <w:t> </w:t>
      </w:r>
      <w:r w:rsidRPr="00CC7883">
        <w:rPr>
          <w:rFonts w:ascii="Times New Roman" w:hAnsi="Times New Roman" w:cs="Times New Roman"/>
          <w:i/>
          <w:snapToGrid w:val="0"/>
          <w:color w:val="000000" w:themeColor="text1"/>
          <w:sz w:val="28"/>
          <w:szCs w:val="28"/>
        </w:rPr>
        <w:t>vitro</w:t>
      </w:r>
      <w:r w:rsidRPr="00CC7883">
        <w:rPr>
          <w:rFonts w:ascii="Times New Roman" w:hAnsi="Times New Roman" w:cs="Times New Roman"/>
          <w:snapToGrid w:val="0"/>
          <w:color w:val="000000" w:themeColor="text1"/>
          <w:sz w:val="28"/>
          <w:szCs w:val="28"/>
        </w:rPr>
        <w:t xml:space="preserve"> від спектрального складу світла культуральних приміщень </w:t>
      </w:r>
      <w:r w:rsidRPr="00CC7883">
        <w:rPr>
          <w:rFonts w:ascii="Times New Roman" w:hAnsi="Times New Roman" w:cs="Times New Roman"/>
          <w:color w:val="000000" w:themeColor="text1"/>
          <w:sz w:val="28"/>
        </w:rPr>
        <w:t>[5</w:t>
      </w:r>
      <w:r w:rsidR="00CD54C5" w:rsidRPr="00CC7883">
        <w:rPr>
          <w:rFonts w:ascii="Times New Roman" w:hAnsi="Times New Roman" w:cs="Times New Roman"/>
          <w:color w:val="000000" w:themeColor="text1"/>
          <w:sz w:val="28"/>
        </w:rPr>
        <w:t>5</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w:t>
      </w:r>
      <w:r w:rsidR="00F210B7" w:rsidRPr="00CC7883">
        <w:rPr>
          <w:rFonts w:ascii="Times New Roman" w:hAnsi="Times New Roman" w:cs="Times New Roman"/>
          <w:color w:val="000000" w:themeColor="text1"/>
          <w:sz w:val="28"/>
        </w:rPr>
        <w:t>6</w:t>
      </w:r>
      <w:r w:rsidR="00C333B3" w:rsidRPr="00CC7883">
        <w:rPr>
          <w:rFonts w:ascii="Times New Roman" w:hAnsi="Times New Roman" w:cs="Times New Roman"/>
          <w:color w:val="000000" w:themeColor="text1"/>
          <w:sz w:val="28"/>
        </w:rPr>
        <w:t>9</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w:t>
      </w:r>
      <w:r w:rsidR="00C333B3" w:rsidRPr="00CC7883">
        <w:rPr>
          <w:rFonts w:ascii="Times New Roman" w:hAnsi="Times New Roman" w:cs="Times New Roman"/>
          <w:color w:val="000000" w:themeColor="text1"/>
          <w:sz w:val="28"/>
        </w:rPr>
        <w:t>60</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1</w:t>
      </w:r>
      <w:r w:rsidR="00F210B7" w:rsidRPr="00CC7883">
        <w:rPr>
          <w:rFonts w:ascii="Times New Roman" w:hAnsi="Times New Roman" w:cs="Times New Roman"/>
          <w:color w:val="000000" w:themeColor="text1"/>
          <w:sz w:val="28"/>
        </w:rPr>
        <w:t>7</w:t>
      </w:r>
      <w:r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szCs w:val="28"/>
        </w:rPr>
        <w:t xml:space="preserve">удосконаленню методу культури недозрілих насіннєвих зародків винограду, пошуку нових </w:t>
      </w:r>
      <w:r w:rsidR="0058222B">
        <w:rPr>
          <w:rFonts w:ascii="Times New Roman" w:hAnsi="Times New Roman" w:cs="Times New Roman"/>
          <w:color w:val="000000" w:themeColor="text1"/>
          <w:sz w:val="28"/>
          <w:szCs w:val="28"/>
        </w:rPr>
        <w:t>гелеутворювальних</w:t>
      </w:r>
      <w:r w:rsidRPr="00CC7883">
        <w:rPr>
          <w:rFonts w:ascii="Times New Roman" w:hAnsi="Times New Roman" w:cs="Times New Roman"/>
          <w:color w:val="000000" w:themeColor="text1"/>
          <w:sz w:val="28"/>
          <w:szCs w:val="28"/>
        </w:rPr>
        <w:t xml:space="preserve"> речовин та розробці на їх основі поживних середовищ, прийомам індукції множинних пагонів </w:t>
      </w:r>
      <w:r w:rsidR="00824C8E">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 xml:space="preserve"> культурі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008B5203"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rPr>
        <w:t>[5</w:t>
      </w:r>
      <w:r w:rsidR="00C333B3" w:rsidRPr="00CC7883">
        <w:rPr>
          <w:rFonts w:ascii="Times New Roman" w:hAnsi="Times New Roman" w:cs="Times New Roman"/>
          <w:color w:val="000000" w:themeColor="text1"/>
          <w:sz w:val="28"/>
        </w:rPr>
        <w:t>5</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w:t>
      </w:r>
      <w:r w:rsidR="00C333B3" w:rsidRPr="00CC7883">
        <w:rPr>
          <w:rFonts w:ascii="Times New Roman" w:hAnsi="Times New Roman" w:cs="Times New Roman"/>
          <w:color w:val="000000" w:themeColor="text1"/>
          <w:sz w:val="28"/>
        </w:rPr>
        <w:t>60</w:t>
      </w:r>
      <w:r w:rsidRPr="00CC7883">
        <w:rPr>
          <w:rFonts w:ascii="Times New Roman" w:hAnsi="Times New Roman" w:cs="Times New Roman"/>
          <w:color w:val="000000" w:themeColor="text1"/>
          <w:sz w:val="28"/>
        </w:rPr>
        <w:t>]</w:t>
      </w:r>
      <w:r w:rsidRPr="00CC7883">
        <w:rPr>
          <w:rFonts w:ascii="Times New Roman" w:hAnsi="Times New Roman" w:cs="Times New Roman"/>
          <w:color w:val="000000" w:themeColor="text1"/>
          <w:sz w:val="28"/>
          <w:szCs w:val="28"/>
        </w:rPr>
        <w:t>, розробці експрес</w:t>
      </w:r>
      <w:r w:rsidR="00695BC9"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методу стійкості винограду </w:t>
      </w:r>
      <w:r w:rsidRPr="00CC7883">
        <w:rPr>
          <w:rFonts w:ascii="Times New Roman" w:hAnsi="Times New Roman" w:cs="Times New Roman"/>
          <w:i/>
          <w:snapToGrid w:val="0"/>
          <w:color w:val="000000" w:themeColor="text1"/>
          <w:sz w:val="28"/>
          <w:szCs w:val="28"/>
        </w:rPr>
        <w:t>in</w:t>
      </w:r>
      <w:r w:rsidR="008B5203" w:rsidRPr="00CC7883">
        <w:rPr>
          <w:rFonts w:ascii="Times New Roman" w:hAnsi="Times New Roman" w:cs="Times New Roman"/>
          <w:i/>
          <w:snapToGrid w:val="0"/>
          <w:color w:val="000000" w:themeColor="text1"/>
          <w:sz w:val="28"/>
          <w:szCs w:val="28"/>
        </w:rPr>
        <w:t> </w:t>
      </w:r>
      <w:r w:rsidRPr="00CC7883">
        <w:rPr>
          <w:rFonts w:ascii="Times New Roman" w:hAnsi="Times New Roman" w:cs="Times New Roman"/>
          <w:i/>
          <w:snapToGrid w:val="0"/>
          <w:color w:val="000000" w:themeColor="text1"/>
          <w:sz w:val="28"/>
          <w:szCs w:val="28"/>
        </w:rPr>
        <w:t>vitro</w:t>
      </w:r>
      <w:r w:rsidR="008B5203" w:rsidRPr="00CC7883">
        <w:rPr>
          <w:rFonts w:ascii="Times New Roman" w:hAnsi="Times New Roman" w:cs="Times New Roman"/>
          <w:i/>
          <w:snapToGrid w:val="0"/>
          <w:color w:val="000000" w:themeColor="text1"/>
          <w:sz w:val="28"/>
          <w:szCs w:val="28"/>
        </w:rPr>
        <w:t xml:space="preserve"> </w:t>
      </w:r>
      <w:r w:rsidRPr="00CC7883">
        <w:rPr>
          <w:rFonts w:ascii="Times New Roman" w:hAnsi="Times New Roman" w:cs="Times New Roman"/>
          <w:snapToGrid w:val="0"/>
          <w:color w:val="000000" w:themeColor="text1"/>
          <w:sz w:val="28"/>
          <w:szCs w:val="28"/>
        </w:rPr>
        <w:t>до</w:t>
      </w:r>
      <w:r w:rsidR="007073CE" w:rsidRPr="00CC7883">
        <w:rPr>
          <w:rFonts w:ascii="Times New Roman" w:hAnsi="Times New Roman" w:cs="Times New Roman"/>
          <w:snapToGrid w:val="0"/>
          <w:color w:val="000000" w:themeColor="text1"/>
          <w:sz w:val="28"/>
          <w:szCs w:val="28"/>
        </w:rPr>
        <w:t xml:space="preserve"> </w:t>
      </w:r>
      <w:r w:rsidRPr="00CC7883">
        <w:rPr>
          <w:rFonts w:ascii="Times New Roman" w:hAnsi="Times New Roman" w:cs="Times New Roman"/>
          <w:snapToGrid w:val="0"/>
          <w:color w:val="000000" w:themeColor="text1"/>
          <w:sz w:val="28"/>
          <w:szCs w:val="28"/>
        </w:rPr>
        <w:t>посухи та засолення</w:t>
      </w:r>
      <w:r w:rsidR="008B5203" w:rsidRPr="00CC7883">
        <w:rPr>
          <w:rFonts w:ascii="Times New Roman" w:hAnsi="Times New Roman" w:cs="Times New Roman"/>
          <w:snapToGrid w:val="0"/>
          <w:color w:val="000000" w:themeColor="text1"/>
          <w:sz w:val="28"/>
          <w:szCs w:val="28"/>
        </w:rPr>
        <w:t xml:space="preserve"> </w:t>
      </w:r>
      <w:r w:rsidR="00F210B7" w:rsidRPr="00CC7883">
        <w:rPr>
          <w:rFonts w:ascii="Times New Roman" w:hAnsi="Times New Roman" w:cs="Times New Roman"/>
          <w:color w:val="000000" w:themeColor="text1"/>
          <w:sz w:val="28"/>
        </w:rPr>
        <w:t>[9</w:t>
      </w:r>
      <w:r w:rsidR="00F44ECE" w:rsidRPr="00C634FF">
        <w:rPr>
          <w:rFonts w:ascii="Times New Roman" w:hAnsi="Times New Roman" w:cs="Times New Roman"/>
          <w:color w:val="000000" w:themeColor="text1"/>
          <w:sz w:val="28"/>
        </w:rPr>
        <w:t>,</w:t>
      </w:r>
      <w:r w:rsidR="00F210B7" w:rsidRPr="00CC7883">
        <w:rPr>
          <w:rFonts w:ascii="Times New Roman" w:hAnsi="Times New Roman" w:cs="Times New Roman"/>
          <w:color w:val="000000" w:themeColor="text1"/>
          <w:sz w:val="28"/>
        </w:rPr>
        <w:t xml:space="preserve"> 17</w:t>
      </w:r>
      <w:r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szCs w:val="28"/>
        </w:rPr>
        <w:t xml:space="preserve">визначенню ефективності нових екзогенних регуляторів росту рослин на основних етапах розмноження винограду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snapToGrid w:val="0"/>
          <w:color w:val="000000" w:themeColor="text1"/>
          <w:sz w:val="28"/>
          <w:szCs w:val="28"/>
        </w:rPr>
        <w:t xml:space="preserve">розробці прийомів адаптації вегетативної </w:t>
      </w:r>
      <w:r w:rsidR="008255F5" w:rsidRPr="00CC7883">
        <w:rPr>
          <w:rFonts w:ascii="Times New Roman" w:eastAsia="NSimSun" w:hAnsi="Times New Roman" w:cs="Times New Roman"/>
          <w:color w:val="000000" w:themeColor="text1"/>
          <w:kern w:val="3"/>
          <w:sz w:val="28"/>
          <w:szCs w:val="28"/>
        </w:rPr>
        <w:t>надземної</w:t>
      </w:r>
      <w:r w:rsidR="007073CE" w:rsidRPr="00CC7883">
        <w:rPr>
          <w:rFonts w:ascii="Times New Roman" w:eastAsia="NSimSun" w:hAnsi="Times New Roman" w:cs="Times New Roman"/>
          <w:color w:val="000000" w:themeColor="text1"/>
          <w:kern w:val="3"/>
          <w:sz w:val="28"/>
          <w:szCs w:val="28"/>
        </w:rPr>
        <w:t xml:space="preserve"> </w:t>
      </w:r>
      <w:r w:rsidRPr="00CC7883">
        <w:rPr>
          <w:rFonts w:ascii="Times New Roman" w:hAnsi="Times New Roman" w:cs="Times New Roman"/>
          <w:snapToGrid w:val="0"/>
          <w:color w:val="000000" w:themeColor="text1"/>
          <w:sz w:val="28"/>
          <w:szCs w:val="28"/>
        </w:rPr>
        <w:t xml:space="preserve">маси і кореневої системи мікроклонів винограду до умов </w:t>
      </w:r>
      <w:r w:rsidRPr="00CC7883">
        <w:rPr>
          <w:rFonts w:ascii="Times New Roman" w:hAnsi="Times New Roman" w:cs="Times New Roman"/>
          <w:i/>
          <w:snapToGrid w:val="0"/>
          <w:color w:val="000000" w:themeColor="text1"/>
          <w:sz w:val="28"/>
          <w:szCs w:val="28"/>
        </w:rPr>
        <w:t>in</w:t>
      </w:r>
      <w:r w:rsidR="008B5203" w:rsidRPr="00CC7883">
        <w:rPr>
          <w:rFonts w:ascii="Times New Roman" w:hAnsi="Times New Roman" w:cs="Times New Roman"/>
          <w:i/>
          <w:snapToGrid w:val="0"/>
          <w:color w:val="000000" w:themeColor="text1"/>
          <w:sz w:val="28"/>
          <w:szCs w:val="28"/>
        </w:rPr>
        <w:t> </w:t>
      </w:r>
      <w:r w:rsidRPr="00CC7883">
        <w:rPr>
          <w:rFonts w:ascii="Times New Roman" w:hAnsi="Times New Roman" w:cs="Times New Roman"/>
          <w:i/>
          <w:snapToGrid w:val="0"/>
          <w:color w:val="000000" w:themeColor="text1"/>
          <w:sz w:val="28"/>
          <w:szCs w:val="28"/>
        </w:rPr>
        <w:t>vivo</w:t>
      </w:r>
      <w:r w:rsidRPr="00CC7883">
        <w:rPr>
          <w:rFonts w:ascii="Times New Roman" w:hAnsi="Times New Roman" w:cs="Times New Roman"/>
          <w:snapToGrid w:val="0"/>
          <w:color w:val="000000" w:themeColor="text1"/>
          <w:sz w:val="28"/>
          <w:szCs w:val="28"/>
        </w:rPr>
        <w:t xml:space="preserve"> (</w:t>
      </w:r>
      <w:r w:rsidR="00F668FB">
        <w:rPr>
          <w:rFonts w:ascii="Times New Roman" w:eastAsia="Calibri" w:hAnsi="Times New Roman" w:cs="Times New Roman"/>
          <w:color w:val="000000" w:themeColor="text1"/>
          <w:sz w:val="28"/>
          <w:szCs w:val="28"/>
        </w:rPr>
        <w:t>добір</w:t>
      </w:r>
      <w:r w:rsidRPr="00CC7883">
        <w:rPr>
          <w:rFonts w:ascii="Times New Roman" w:hAnsi="Times New Roman" w:cs="Times New Roman"/>
          <w:snapToGrid w:val="0"/>
          <w:color w:val="000000" w:themeColor="text1"/>
          <w:sz w:val="28"/>
          <w:szCs w:val="28"/>
        </w:rPr>
        <w:t xml:space="preserve"> оптимальних субстратів, антитранспірантів, гідроабсорбентів та ін.)</w:t>
      </w:r>
      <w:r w:rsidR="00085799" w:rsidRPr="00CC7883">
        <w:rPr>
          <w:rFonts w:ascii="Times New Roman" w:hAnsi="Times New Roman" w:cs="Times New Roman"/>
          <w:snapToGrid w:val="0"/>
          <w:color w:val="000000" w:themeColor="text1"/>
          <w:sz w:val="28"/>
          <w:szCs w:val="28"/>
        </w:rPr>
        <w:t xml:space="preserve"> </w:t>
      </w:r>
      <w:r w:rsidRPr="00CC7883">
        <w:rPr>
          <w:rFonts w:ascii="Times New Roman" w:hAnsi="Times New Roman" w:cs="Times New Roman"/>
          <w:color w:val="000000" w:themeColor="text1"/>
          <w:sz w:val="28"/>
        </w:rPr>
        <w:t>[</w:t>
      </w:r>
      <w:r w:rsidR="00C333B3" w:rsidRPr="00CC7883">
        <w:rPr>
          <w:rFonts w:ascii="Times New Roman" w:hAnsi="Times New Roman" w:cs="Times New Roman"/>
          <w:color w:val="000000" w:themeColor="text1"/>
          <w:sz w:val="28"/>
        </w:rPr>
        <w:t>69</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w:t>
      </w:r>
      <w:r w:rsidR="00C333B3" w:rsidRPr="00CC7883">
        <w:rPr>
          <w:rFonts w:ascii="Times New Roman" w:hAnsi="Times New Roman" w:cs="Times New Roman"/>
          <w:color w:val="000000" w:themeColor="text1"/>
          <w:sz w:val="28"/>
        </w:rPr>
        <w:t>88</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9</w:t>
      </w:r>
      <w:r w:rsidR="00C333B3" w:rsidRPr="00CC7883">
        <w:rPr>
          <w:rFonts w:ascii="Times New Roman" w:hAnsi="Times New Roman" w:cs="Times New Roman"/>
          <w:color w:val="000000" w:themeColor="text1"/>
          <w:sz w:val="28"/>
        </w:rPr>
        <w:t>5</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9</w:t>
      </w:r>
      <w:r w:rsidR="00C333B3" w:rsidRPr="00CC7883">
        <w:rPr>
          <w:rFonts w:ascii="Times New Roman" w:hAnsi="Times New Roman" w:cs="Times New Roman"/>
          <w:color w:val="000000" w:themeColor="text1"/>
          <w:sz w:val="28"/>
        </w:rPr>
        <w:t>6</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1</w:t>
      </w:r>
      <w:r w:rsidR="00C333B3" w:rsidRPr="00CC7883">
        <w:rPr>
          <w:rFonts w:ascii="Times New Roman" w:hAnsi="Times New Roman" w:cs="Times New Roman"/>
          <w:color w:val="000000" w:themeColor="text1"/>
          <w:sz w:val="28"/>
        </w:rPr>
        <w:t>39</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18</w:t>
      </w:r>
      <w:r w:rsidR="00085799" w:rsidRPr="00CC7883">
        <w:rPr>
          <w:rFonts w:ascii="Times New Roman" w:hAnsi="Times New Roman" w:cs="Times New Roman"/>
          <w:color w:val="000000" w:themeColor="text1"/>
          <w:sz w:val="28"/>
        </w:rPr>
        <w:t>7</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w:t>
      </w:r>
      <w:r w:rsidR="00F210B7" w:rsidRPr="00CC7883">
        <w:rPr>
          <w:rFonts w:ascii="Times New Roman" w:hAnsi="Times New Roman" w:cs="Times New Roman"/>
          <w:color w:val="000000" w:themeColor="text1"/>
          <w:sz w:val="28"/>
        </w:rPr>
        <w:t>9</w:t>
      </w:r>
      <w:r w:rsidR="00F44ECE" w:rsidRPr="00C634FF">
        <w:rPr>
          <w:rFonts w:ascii="Times New Roman" w:hAnsi="Times New Roman" w:cs="Times New Roman"/>
          <w:color w:val="000000" w:themeColor="text1"/>
          <w:sz w:val="28"/>
        </w:rPr>
        <w:t>,</w:t>
      </w:r>
      <w:r w:rsidR="00F210B7" w:rsidRPr="00CC7883">
        <w:rPr>
          <w:rFonts w:ascii="Times New Roman" w:hAnsi="Times New Roman" w:cs="Times New Roman"/>
          <w:color w:val="000000" w:themeColor="text1"/>
          <w:sz w:val="28"/>
        </w:rPr>
        <w:t xml:space="preserve"> 17</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1</w:t>
      </w:r>
      <w:r w:rsidR="00670F92" w:rsidRPr="00CC7883">
        <w:rPr>
          <w:rFonts w:ascii="Times New Roman" w:hAnsi="Times New Roman" w:cs="Times New Roman"/>
          <w:color w:val="000000" w:themeColor="text1"/>
          <w:sz w:val="28"/>
        </w:rPr>
        <w:t>5</w:t>
      </w:r>
      <w:r w:rsidR="00085799" w:rsidRPr="00CC7883">
        <w:rPr>
          <w:rFonts w:ascii="Times New Roman" w:hAnsi="Times New Roman" w:cs="Times New Roman"/>
          <w:color w:val="000000" w:themeColor="text1"/>
          <w:sz w:val="28"/>
        </w:rPr>
        <w:t>2</w:t>
      </w:r>
      <w:r w:rsidR="00F44ECE" w:rsidRPr="00C634FF">
        <w:rPr>
          <w:rFonts w:ascii="Times New Roman" w:hAnsi="Times New Roman" w:cs="Times New Roman"/>
          <w:color w:val="000000" w:themeColor="text1"/>
          <w:sz w:val="28"/>
        </w:rPr>
        <w:t>,</w:t>
      </w:r>
      <w:r w:rsidR="00AB77B3"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9</w:t>
      </w:r>
      <w:r w:rsidR="00C333B3" w:rsidRPr="00CC7883">
        <w:rPr>
          <w:rFonts w:ascii="Times New Roman" w:hAnsi="Times New Roman" w:cs="Times New Roman"/>
          <w:color w:val="000000" w:themeColor="text1"/>
          <w:sz w:val="28"/>
        </w:rPr>
        <w:t>4</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6</w:t>
      </w:r>
      <w:r w:rsidR="00C333B3" w:rsidRPr="00CC7883">
        <w:rPr>
          <w:rFonts w:ascii="Times New Roman" w:hAnsi="Times New Roman" w:cs="Times New Roman"/>
          <w:color w:val="000000" w:themeColor="text1"/>
          <w:sz w:val="28"/>
        </w:rPr>
        <w:t>1</w:t>
      </w:r>
      <w:r w:rsidR="00F44ECE" w:rsidRPr="00C634FF">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1</w:t>
      </w:r>
      <w:r w:rsidR="00670F92" w:rsidRPr="00CC7883">
        <w:rPr>
          <w:rFonts w:ascii="Times New Roman" w:hAnsi="Times New Roman" w:cs="Times New Roman"/>
          <w:color w:val="000000" w:themeColor="text1"/>
          <w:sz w:val="28"/>
        </w:rPr>
        <w:t>5</w:t>
      </w:r>
      <w:r w:rsidR="00085799" w:rsidRPr="00CC7883">
        <w:rPr>
          <w:rFonts w:ascii="Times New Roman" w:hAnsi="Times New Roman" w:cs="Times New Roman"/>
          <w:color w:val="000000" w:themeColor="text1"/>
          <w:sz w:val="28"/>
        </w:rPr>
        <w:t>3</w:t>
      </w:r>
      <w:r w:rsidRPr="00CC7883">
        <w:rPr>
          <w:rFonts w:ascii="Times New Roman" w:hAnsi="Times New Roman" w:cs="Times New Roman"/>
          <w:color w:val="000000" w:themeColor="text1"/>
          <w:sz w:val="28"/>
        </w:rPr>
        <w:t xml:space="preserve">]. </w:t>
      </w:r>
    </w:p>
    <w:p w:rsidR="00DA0FC3" w:rsidRPr="00CC7883" w:rsidRDefault="00DA0FC3"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Водночас питання, що стосуються особливостей формування регенераційного потенціалу ініціальних експлантів винограду, розвитку вегетативної надземної маси та кореневої системи мікроклонів, будови нижнього епідермісу їх листкових пластинок, визначення показників основних фізіолого-біохімічних процесів в умовах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vitro</w:t>
      </w:r>
      <w:r w:rsidRPr="00CC7883">
        <w:rPr>
          <w:rFonts w:ascii="Times New Roman" w:hAnsi="Times New Roman" w:cs="Times New Roman"/>
          <w:color w:val="000000" w:themeColor="text1"/>
          <w:sz w:val="28"/>
        </w:rPr>
        <w:t xml:space="preserve">, а також встановлення чинників, що забезпечують їх оптимізацію для подальшої успішної адаптації мікроклональних рослин винограду до умов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vivo</w:t>
      </w:r>
      <w:r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lastRenderedPageBreak/>
        <w:t xml:space="preserve">висвітлено недостатньо або зовсім не розкрито. Наявні літературні джерела лише частково розкривають ці питання і не </w:t>
      </w:r>
      <w:r w:rsidR="00D71D4B">
        <w:rPr>
          <w:rFonts w:ascii="Times New Roman" w:hAnsi="Times New Roman" w:cs="Times New Roman"/>
          <w:color w:val="000000" w:themeColor="text1"/>
          <w:sz w:val="28"/>
        </w:rPr>
        <w:t>містять</w:t>
      </w:r>
      <w:r w:rsidRPr="00CC7883">
        <w:rPr>
          <w:rFonts w:ascii="Times New Roman" w:hAnsi="Times New Roman" w:cs="Times New Roman"/>
          <w:color w:val="000000" w:themeColor="text1"/>
          <w:sz w:val="28"/>
        </w:rPr>
        <w:t xml:space="preserve"> узагальнених даних щодо морфологічних особливостей та фізіолого-біохімічного стану вегетативних органів мікроклонів винограду. Дослідження, присвячені адаптації мікроклональних рослин винограду в умовах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vivo</w:t>
      </w:r>
      <w:r w:rsidRPr="00CC7883">
        <w:rPr>
          <w:rFonts w:ascii="Times New Roman" w:hAnsi="Times New Roman" w:cs="Times New Roman"/>
          <w:color w:val="000000" w:themeColor="text1"/>
          <w:sz w:val="28"/>
        </w:rPr>
        <w:t xml:space="preserve">, проводили, однак отримані результати є розрізненими, суперечливими та недостатньо інформативними. У зв’язку з цим пошук оптимальних прийомів, спрямованих на підвищення приживлюваності мікроклонів винограду в умовах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vivo</w:t>
      </w:r>
      <w:r w:rsidRPr="00CC7883">
        <w:rPr>
          <w:rFonts w:ascii="Times New Roman" w:hAnsi="Times New Roman" w:cs="Times New Roman"/>
          <w:color w:val="000000" w:themeColor="text1"/>
          <w:sz w:val="28"/>
        </w:rPr>
        <w:t xml:space="preserve">, набуває важливого теоретичного значення для розроблення стабільної технології виробництва оздоровленого садивного матеріалу. Особливо актуальним є комплексне дослідження морфолого-анатомічних та фізіолого-біохімічних показників розвитку мікроклонів у різних умовах культивування, що </w:t>
      </w:r>
      <w:r w:rsidR="00921A77">
        <w:rPr>
          <w:rFonts w:ascii="Times New Roman" w:hAnsi="Times New Roman" w:cs="Times New Roman"/>
          <w:color w:val="000000" w:themeColor="text1"/>
          <w:sz w:val="28"/>
        </w:rPr>
        <w:t>дасть змогу</w:t>
      </w:r>
      <w:r w:rsidRPr="00CC7883">
        <w:rPr>
          <w:rFonts w:ascii="Times New Roman" w:hAnsi="Times New Roman" w:cs="Times New Roman"/>
          <w:color w:val="000000" w:themeColor="text1"/>
          <w:sz w:val="28"/>
        </w:rPr>
        <w:t xml:space="preserve"> обґрунтувати біологічні закономірності їх адаптації.</w:t>
      </w:r>
    </w:p>
    <w:p w:rsidR="00DA0FC3" w:rsidRPr="00CC7883" w:rsidRDefault="00DA0FC3"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b/>
          <w:color w:val="000000" w:themeColor="text1"/>
          <w:sz w:val="28"/>
          <w:szCs w:val="28"/>
        </w:rPr>
        <w:t>Зв’язок роботи з науковими програмами, планами, темами</w:t>
      </w:r>
      <w:r w:rsidRPr="00CC7883">
        <w:rPr>
          <w:rFonts w:ascii="Times New Roman" w:hAnsi="Times New Roman" w:cs="Times New Roman"/>
          <w:color w:val="000000" w:themeColor="text1"/>
          <w:sz w:val="28"/>
          <w:szCs w:val="28"/>
        </w:rPr>
        <w:t>. Дисертаційне дослідження є складовою частиною науково-дослідної роботи відділу розсадництва, розмноження і біотехнології винограду Національного наукового центру «Інститут виноградарства і виноробства імені В.</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Є.</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Таїрова» НААН України за завданням 21.00.03.02. Ф </w:t>
      </w:r>
      <w:r w:rsidRPr="00CC7883">
        <w:rPr>
          <w:rFonts w:ascii="Times New Roman" w:hAnsi="Times New Roman" w:cs="Times New Roman"/>
          <w:caps/>
          <w:color w:val="000000" w:themeColor="text1"/>
          <w:sz w:val="28"/>
          <w:szCs w:val="28"/>
        </w:rPr>
        <w:t>«</w:t>
      </w:r>
      <w:r w:rsidRPr="00CC7883">
        <w:rPr>
          <w:rFonts w:ascii="Times New Roman" w:hAnsi="Times New Roman" w:cs="Times New Roman"/>
          <w:color w:val="000000" w:themeColor="text1"/>
          <w:sz w:val="28"/>
          <w:szCs w:val="28"/>
        </w:rPr>
        <w:t xml:space="preserve">Розробити та теоретично обґрунтувати шляхи оптимізації умов вегетації маточних насаджень та щеплених саджанців винограду для одержання садивного матеріалу з високим адаптаційним потенціалом» (номер державної реєстрації 0111U001164) у рамках ПНД НААН № 2. Адаптація виноградарства і виноробства України до змін клімату та вимог збереження ресурсів і стану навколишнього середовища в умовах посилення світових інтеграційних процесів («Виноградарство і виноробство»), </w:t>
      </w:r>
      <w:r w:rsidR="00405B39">
        <w:rPr>
          <w:rFonts w:ascii="Times New Roman" w:hAnsi="Times New Roman" w:cs="Times New Roman"/>
          <w:color w:val="000000" w:themeColor="text1"/>
          <w:sz w:val="28"/>
          <w:szCs w:val="28"/>
        </w:rPr>
        <w:t>за</w:t>
      </w:r>
      <w:r w:rsidRPr="00CC7883">
        <w:rPr>
          <w:rFonts w:ascii="Times New Roman" w:hAnsi="Times New Roman" w:cs="Times New Roman"/>
          <w:color w:val="000000" w:themeColor="text1"/>
          <w:sz w:val="28"/>
          <w:szCs w:val="28"/>
        </w:rPr>
        <w:t xml:space="preserve"> завданн</w:t>
      </w:r>
      <w:r w:rsidR="00405B39">
        <w:rPr>
          <w:rFonts w:ascii="Times New Roman" w:hAnsi="Times New Roman" w:cs="Times New Roman"/>
          <w:color w:val="000000" w:themeColor="text1"/>
          <w:sz w:val="28"/>
          <w:szCs w:val="28"/>
        </w:rPr>
        <w:t>ям</w:t>
      </w:r>
      <w:r w:rsidRPr="00CC7883">
        <w:rPr>
          <w:rFonts w:ascii="Times New Roman" w:hAnsi="Times New Roman" w:cs="Times New Roman"/>
          <w:color w:val="000000" w:themeColor="text1"/>
          <w:sz w:val="28"/>
          <w:szCs w:val="28"/>
        </w:rPr>
        <w:t xml:space="preserve"> 23.00.02.02.Ф. «</w:t>
      </w:r>
      <w:r w:rsidRPr="00CC7883">
        <w:rPr>
          <w:rFonts w:ascii="Times New Roman" w:eastAsia="Calibri" w:hAnsi="Times New Roman" w:cs="Times New Roman"/>
          <w:color w:val="000000" w:themeColor="text1"/>
          <w:sz w:val="28"/>
          <w:szCs w:val="28"/>
        </w:rPr>
        <w:t xml:space="preserve">Наукові основи прояву </w:t>
      </w:r>
      <w:r w:rsidRPr="00CC7883">
        <w:rPr>
          <w:rFonts w:ascii="Times New Roman" w:hAnsi="Times New Roman" w:cs="Times New Roman"/>
          <w:color w:val="000000" w:themeColor="text1"/>
          <w:sz w:val="28"/>
          <w:szCs w:val="28"/>
        </w:rPr>
        <w:t xml:space="preserve">регенераційної здатності винограду та шляхи її підвищення у процесі виробництва садивного матеріалу категорій </w:t>
      </w:r>
      <w:r w:rsidR="00405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базовий</w:t>
      </w:r>
      <w:r w:rsidR="00405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і </w:t>
      </w:r>
      <w:r w:rsidR="00405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сертифікований</w:t>
      </w:r>
      <w:r w:rsidR="00405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(номер державної реєстрації 0121U107839) у рамках ПНД НААН № 23 «Розвиток виноградарства і виноробства» (Виноградарство і </w:t>
      </w:r>
      <w:r w:rsidRPr="00CC7883">
        <w:rPr>
          <w:rFonts w:ascii="Times New Roman" w:hAnsi="Times New Roman" w:cs="Times New Roman"/>
          <w:color w:val="000000" w:themeColor="text1"/>
          <w:sz w:val="28"/>
          <w:szCs w:val="28"/>
        </w:rPr>
        <w:lastRenderedPageBreak/>
        <w:t>виноробство).</w:t>
      </w:r>
    </w:p>
    <w:p w:rsidR="00DA0FC3" w:rsidRPr="00CC7883" w:rsidRDefault="00DA0FC3"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b/>
          <w:color w:val="000000" w:themeColor="text1"/>
          <w:sz w:val="28"/>
        </w:rPr>
        <w:t>Мета і завдання дослідження</w:t>
      </w:r>
      <w:r w:rsidRPr="00CC7883">
        <w:rPr>
          <w:rFonts w:ascii="Times New Roman" w:hAnsi="Times New Roman" w:cs="Times New Roman"/>
          <w:color w:val="000000" w:themeColor="text1"/>
          <w:sz w:val="28"/>
        </w:rPr>
        <w:t xml:space="preserve">. </w:t>
      </w:r>
      <w:r w:rsidRPr="00CC7883">
        <w:rPr>
          <w:rStyle w:val="af2"/>
          <w:rFonts w:ascii="Times New Roman" w:hAnsi="Times New Roman" w:cs="Times New Roman"/>
          <w:color w:val="000000" w:themeColor="text1"/>
          <w:sz w:val="28"/>
          <w:szCs w:val="28"/>
        </w:rPr>
        <w:t>Мета дослідження</w:t>
      </w:r>
      <w:r w:rsidRPr="00CC7883">
        <w:rPr>
          <w:rFonts w:ascii="Times New Roman" w:hAnsi="Times New Roman" w:cs="Times New Roman"/>
          <w:color w:val="000000" w:themeColor="text1"/>
          <w:sz w:val="28"/>
          <w:szCs w:val="28"/>
        </w:rPr>
        <w:t xml:space="preserve"> – встановити особливості морфогенезу мікроклонів підщепних і технічних сортів винограду після культивування на різних типах поживних середовищ, мінеральних субстратів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Pr="00CC7883">
        <w:rPr>
          <w:rFonts w:ascii="Times New Roman" w:hAnsi="Times New Roman" w:cs="Times New Roman"/>
          <w:color w:val="000000" w:themeColor="text1"/>
          <w:sz w:val="28"/>
          <w:szCs w:val="28"/>
        </w:rPr>
        <w:t xml:space="preserve"> для підвищення їх адаптаційної здатності в умовах </w:t>
      </w:r>
      <w:r w:rsidRPr="00CC7883">
        <w:rPr>
          <w:rFonts w:ascii="Times New Roman" w:hAnsi="Times New Roman" w:cs="Times New Roman"/>
          <w:i/>
          <w:color w:val="000000" w:themeColor="text1"/>
          <w:sz w:val="28"/>
          <w:szCs w:val="28"/>
        </w:rPr>
        <w:t>in</w:t>
      </w:r>
      <w:r w:rsidR="008B5203"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vivo</w:t>
      </w:r>
      <w:r w:rsidRPr="00CC7883">
        <w:rPr>
          <w:rFonts w:ascii="Times New Roman" w:hAnsi="Times New Roman" w:cs="Times New Roman"/>
          <w:color w:val="000000" w:themeColor="text1"/>
          <w:sz w:val="28"/>
          <w:szCs w:val="28"/>
        </w:rPr>
        <w:t>.</w:t>
      </w:r>
    </w:p>
    <w:p w:rsidR="00DA0FC3" w:rsidRPr="00CC7883" w:rsidRDefault="00DA0FC3"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Для досягнення поставленої мети необхідно було розв’язати </w:t>
      </w:r>
      <w:r w:rsidR="00744DDE">
        <w:rPr>
          <w:rFonts w:ascii="Times New Roman" w:hAnsi="Times New Roman" w:cs="Times New Roman"/>
          <w:color w:val="000000" w:themeColor="text1"/>
          <w:sz w:val="28"/>
        </w:rPr>
        <w:t>такі</w:t>
      </w:r>
      <w:r w:rsidRPr="00CC7883">
        <w:rPr>
          <w:rFonts w:ascii="Times New Roman" w:hAnsi="Times New Roman" w:cs="Times New Roman"/>
          <w:color w:val="000000" w:themeColor="text1"/>
          <w:sz w:val="28"/>
        </w:rPr>
        <w:t xml:space="preserve"> </w:t>
      </w:r>
      <w:r w:rsidRPr="00CC7883">
        <w:rPr>
          <w:rFonts w:ascii="Times New Roman" w:hAnsi="Times New Roman" w:cs="Times New Roman"/>
          <w:bCs/>
          <w:color w:val="000000" w:themeColor="text1"/>
          <w:sz w:val="28"/>
        </w:rPr>
        <w:t>завдання:</w:t>
      </w:r>
    </w:p>
    <w:p w:rsidR="00DA0FC3" w:rsidRPr="00CC7883" w:rsidRDefault="00DA0FC3" w:rsidP="00047411">
      <w:pPr>
        <w:pStyle w:val="a7"/>
        <w:widowControl w:val="0"/>
        <w:numPr>
          <w:ilvl w:val="0"/>
          <w:numId w:val="6"/>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Визначити вплив модифікованих поживних середовищ та мінеральних субстратів для культивування в умовах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vitro</w:t>
      </w:r>
      <w:r w:rsidR="008B5203" w:rsidRPr="00CC7883">
        <w:rPr>
          <w:rFonts w:ascii="Times New Roman" w:hAnsi="Times New Roman" w:cs="Times New Roman"/>
          <w:i/>
          <w:color w:val="000000" w:themeColor="text1"/>
          <w:sz w:val="28"/>
        </w:rPr>
        <w:t xml:space="preserve"> </w:t>
      </w:r>
      <w:r w:rsidRPr="00CC7883">
        <w:rPr>
          <w:rFonts w:ascii="Times New Roman" w:hAnsi="Times New Roman" w:cs="Times New Roman"/>
          <w:color w:val="000000" w:themeColor="text1"/>
          <w:sz w:val="28"/>
        </w:rPr>
        <w:t xml:space="preserve">на: </w:t>
      </w:r>
    </w:p>
    <w:p w:rsidR="00DA0FC3" w:rsidRPr="00CC7883" w:rsidRDefault="00DA0FC3" w:rsidP="00047411">
      <w:pPr>
        <w:pStyle w:val="a7"/>
        <w:widowControl w:val="0"/>
        <w:numPr>
          <w:ilvl w:val="0"/>
          <w:numId w:val="7"/>
        </w:numPr>
        <w:spacing w:after="0" w:line="360" w:lineRule="auto"/>
        <w:ind w:left="567" w:hanging="567"/>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регенераційні показники ініціальних експлантів винограду;</w:t>
      </w:r>
    </w:p>
    <w:p w:rsidR="00DA0FC3" w:rsidRPr="00CC7883" w:rsidRDefault="00DA0FC3" w:rsidP="00047411">
      <w:pPr>
        <w:pStyle w:val="a7"/>
        <w:widowControl w:val="0"/>
        <w:numPr>
          <w:ilvl w:val="0"/>
          <w:numId w:val="7"/>
        </w:numPr>
        <w:spacing w:after="0" w:line="360" w:lineRule="auto"/>
        <w:ind w:left="567" w:hanging="567"/>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основні фізіолого-біохімічні показники тканин вегетативної надземної маси та кореневої системи мікроклонів винограду;</w:t>
      </w:r>
    </w:p>
    <w:p w:rsidR="00DA0FC3" w:rsidRPr="00CC7883" w:rsidRDefault="00DA0FC3" w:rsidP="00047411">
      <w:pPr>
        <w:pStyle w:val="a7"/>
        <w:widowControl w:val="0"/>
        <w:numPr>
          <w:ilvl w:val="0"/>
          <w:numId w:val="7"/>
        </w:numPr>
        <w:spacing w:after="0" w:line="360" w:lineRule="auto"/>
        <w:ind w:left="567" w:hanging="567"/>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показники анатомічної будови продихового апарату нижнього епідермісу листкової пластинки мікроклонів винограду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i/>
          <w:color w:val="000000" w:themeColor="text1"/>
          <w:sz w:val="28"/>
        </w:rPr>
        <w:t xml:space="preserve"> </w:t>
      </w:r>
      <w:r w:rsidRPr="00CC7883">
        <w:rPr>
          <w:rFonts w:ascii="Times New Roman" w:hAnsi="Times New Roman" w:cs="Times New Roman"/>
          <w:color w:val="000000" w:themeColor="text1"/>
          <w:sz w:val="28"/>
        </w:rPr>
        <w:t>та</w:t>
      </w:r>
      <w:r w:rsidRPr="00CC7883">
        <w:rPr>
          <w:rFonts w:ascii="Times New Roman" w:hAnsi="Times New Roman" w:cs="Times New Roman"/>
          <w:i/>
          <w:color w:val="000000" w:themeColor="text1"/>
          <w:sz w:val="28"/>
        </w:rPr>
        <w:t xml:space="preserve"> 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vivo</w:t>
      </w:r>
      <w:r w:rsidRPr="00CC7883">
        <w:rPr>
          <w:rFonts w:ascii="Times New Roman" w:hAnsi="Times New Roman" w:cs="Times New Roman"/>
          <w:color w:val="000000" w:themeColor="text1"/>
          <w:sz w:val="28"/>
        </w:rPr>
        <w:t>;</w:t>
      </w:r>
    </w:p>
    <w:p w:rsidR="00DA0FC3" w:rsidRPr="00CC7883" w:rsidRDefault="00DA0FC3" w:rsidP="00047411">
      <w:pPr>
        <w:pStyle w:val="a7"/>
        <w:widowControl w:val="0"/>
        <w:numPr>
          <w:ilvl w:val="0"/>
          <w:numId w:val="7"/>
        </w:numPr>
        <w:spacing w:after="0" w:line="360" w:lineRule="auto"/>
        <w:ind w:left="567" w:hanging="567"/>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біометричні показники росту і розвитку вегетативної надземної маси та кореневої системи мікроклонів винограду;</w:t>
      </w:r>
    </w:p>
    <w:p w:rsidR="00DA0FC3" w:rsidRPr="00CC7883" w:rsidRDefault="00DA0FC3" w:rsidP="00047411">
      <w:pPr>
        <w:pStyle w:val="a7"/>
        <w:widowControl w:val="0"/>
        <w:numPr>
          <w:ilvl w:val="0"/>
          <w:numId w:val="7"/>
        </w:numPr>
        <w:spacing w:after="0" w:line="360" w:lineRule="auto"/>
        <w:ind w:left="567" w:hanging="567"/>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приживлюваність мікроклонів винограду в умовах</w:t>
      </w:r>
      <w:r w:rsidR="008B5203" w:rsidRPr="00CC7883">
        <w:rPr>
          <w:rFonts w:ascii="Times New Roman" w:hAnsi="Times New Roman" w:cs="Times New Roman"/>
          <w:color w:val="000000" w:themeColor="text1"/>
          <w:sz w:val="28"/>
        </w:rPr>
        <w:t xml:space="preserve">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vivo</w:t>
      </w:r>
      <w:r w:rsidR="00ED25FC" w:rsidRPr="00CC7883">
        <w:rPr>
          <w:rFonts w:ascii="Times New Roman" w:hAnsi="Times New Roman" w:cs="Times New Roman"/>
          <w:color w:val="000000" w:themeColor="text1"/>
          <w:sz w:val="28"/>
        </w:rPr>
        <w:t>.</w:t>
      </w:r>
    </w:p>
    <w:p w:rsidR="00DA0FC3" w:rsidRPr="00CC7883" w:rsidRDefault="00DA0FC3" w:rsidP="00047411">
      <w:pPr>
        <w:pStyle w:val="a7"/>
        <w:widowControl w:val="0"/>
        <w:numPr>
          <w:ilvl w:val="0"/>
          <w:numId w:val="6"/>
        </w:numPr>
        <w:spacing w:after="0" w:line="360" w:lineRule="auto"/>
        <w:ind w:left="0" w:firstLine="0"/>
        <w:jc w:val="both"/>
        <w:rPr>
          <w:rFonts w:ascii="Times New Roman" w:hAnsi="Times New Roman" w:cs="Times New Roman"/>
          <w:iCs/>
          <w:color w:val="000000" w:themeColor="text1"/>
          <w:sz w:val="28"/>
        </w:rPr>
      </w:pPr>
      <w:r w:rsidRPr="00CC7883">
        <w:rPr>
          <w:rFonts w:ascii="Times New Roman" w:hAnsi="Times New Roman" w:cs="Times New Roman"/>
          <w:color w:val="000000" w:themeColor="text1"/>
          <w:sz w:val="28"/>
        </w:rPr>
        <w:t xml:space="preserve">Встановити частку впливу умов культивування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 xml:space="preserve">vitro </w:t>
      </w:r>
      <w:r w:rsidRPr="00CC7883">
        <w:rPr>
          <w:rFonts w:ascii="Times New Roman" w:hAnsi="Times New Roman" w:cs="Times New Roman"/>
          <w:iCs/>
          <w:color w:val="000000" w:themeColor="text1"/>
          <w:sz w:val="28"/>
        </w:rPr>
        <w:t xml:space="preserve">на морфофункціональні характеристики мікроклонів винограду на етапі передадаптації та визначити їх взаємозв’язок із приживлюваністю рослин в умовах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vivo.</w:t>
      </w:r>
    </w:p>
    <w:p w:rsidR="00DA0FC3" w:rsidRPr="00CC7883" w:rsidRDefault="00A36590" w:rsidP="00047411">
      <w:pPr>
        <w:pStyle w:val="a7"/>
        <w:widowControl w:val="0"/>
        <w:numPr>
          <w:ilvl w:val="0"/>
          <w:numId w:val="6"/>
        </w:numPr>
        <w:spacing w:after="0" w:line="360" w:lineRule="auto"/>
        <w:ind w:left="0" w:firstLine="0"/>
        <w:jc w:val="both"/>
        <w:rPr>
          <w:rFonts w:ascii="Times New Roman" w:hAnsi="Times New Roman" w:cs="Times New Roman"/>
          <w:color w:val="000000" w:themeColor="text1"/>
          <w:sz w:val="28"/>
        </w:rPr>
      </w:pPr>
      <w:r>
        <w:rPr>
          <w:rFonts w:ascii="Times New Roman" w:hAnsi="Times New Roman" w:cs="Times New Roman"/>
          <w:snapToGrid w:val="0"/>
          <w:color w:val="000000" w:themeColor="text1"/>
          <w:sz w:val="28"/>
          <w:szCs w:val="28"/>
        </w:rPr>
        <w:t>Провести</w:t>
      </w:r>
      <w:r w:rsidR="00DA0FC3" w:rsidRPr="00CC7883">
        <w:rPr>
          <w:rFonts w:ascii="Times New Roman" w:hAnsi="Times New Roman" w:cs="Times New Roman"/>
          <w:snapToGrid w:val="0"/>
          <w:color w:val="000000" w:themeColor="text1"/>
          <w:sz w:val="28"/>
          <w:szCs w:val="28"/>
        </w:rPr>
        <w:t xml:space="preserve"> економічну оцінку розробленим технологічним прийомам культивування винограду </w:t>
      </w:r>
      <w:r w:rsidR="00DA0FC3"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00DA0FC3" w:rsidRPr="00CC7883">
        <w:rPr>
          <w:rFonts w:ascii="Times New Roman" w:hAnsi="Times New Roman" w:cs="Times New Roman"/>
          <w:i/>
          <w:color w:val="000000" w:themeColor="text1"/>
          <w:sz w:val="28"/>
        </w:rPr>
        <w:t xml:space="preserve">vitro. </w:t>
      </w:r>
    </w:p>
    <w:p w:rsidR="00DA0FC3" w:rsidRPr="00CC7883" w:rsidRDefault="00DA0FC3"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i/>
          <w:color w:val="000000" w:themeColor="text1"/>
          <w:sz w:val="28"/>
        </w:rPr>
        <w:t>Об’єкт дослідження</w:t>
      </w:r>
      <w:r w:rsidRPr="00CC7883">
        <w:rPr>
          <w:rFonts w:ascii="Times New Roman" w:hAnsi="Times New Roman" w:cs="Times New Roman"/>
          <w:color w:val="000000" w:themeColor="text1"/>
          <w:sz w:val="28"/>
        </w:rPr>
        <w:t xml:space="preserve"> – технологічні прийоми культивування винограду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i/>
          <w:color w:val="000000" w:themeColor="text1"/>
          <w:sz w:val="28"/>
        </w:rPr>
        <w:t>,</w:t>
      </w:r>
      <w:r w:rsidRPr="00CC7883">
        <w:rPr>
          <w:rFonts w:ascii="Times New Roman" w:hAnsi="Times New Roman" w:cs="Times New Roman"/>
          <w:color w:val="000000" w:themeColor="text1"/>
          <w:sz w:val="28"/>
        </w:rPr>
        <w:t xml:space="preserve"> процес адаптації мікроклонів винограду до умов</w:t>
      </w:r>
      <w:r w:rsidR="00836B7C" w:rsidRPr="00CC7883">
        <w:rPr>
          <w:rFonts w:ascii="Times New Roman" w:hAnsi="Times New Roman" w:cs="Times New Roman"/>
          <w:color w:val="000000" w:themeColor="text1"/>
          <w:sz w:val="28"/>
        </w:rPr>
        <w:t xml:space="preserve"> </w:t>
      </w:r>
      <w:r w:rsidRPr="00CC7883">
        <w:rPr>
          <w:rFonts w:ascii="Times New Roman" w:hAnsi="Times New Roman" w:cs="Times New Roman"/>
          <w:i/>
          <w:color w:val="000000" w:themeColor="text1"/>
          <w:sz w:val="28"/>
        </w:rPr>
        <w:t>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vivo</w:t>
      </w:r>
      <w:r w:rsidRPr="00CC7883">
        <w:rPr>
          <w:rFonts w:ascii="Times New Roman" w:hAnsi="Times New Roman" w:cs="Times New Roman"/>
          <w:color w:val="000000" w:themeColor="text1"/>
          <w:sz w:val="28"/>
        </w:rPr>
        <w:t xml:space="preserve">. </w:t>
      </w:r>
    </w:p>
    <w:p w:rsidR="00DA0FC3" w:rsidRPr="00CC7883" w:rsidRDefault="00DA0FC3" w:rsidP="00047411">
      <w:pPr>
        <w:pStyle w:val="a7"/>
        <w:widowControl w:val="0"/>
        <w:spacing w:after="0" w:line="360" w:lineRule="auto"/>
        <w:ind w:left="0" w:firstLine="720"/>
        <w:jc w:val="both"/>
        <w:rPr>
          <w:rFonts w:ascii="Times New Roman" w:hAnsi="Times New Roman" w:cs="Times New Roman"/>
          <w:iCs/>
          <w:color w:val="000000" w:themeColor="text1"/>
          <w:sz w:val="28"/>
        </w:rPr>
      </w:pPr>
      <w:r w:rsidRPr="00CC7883">
        <w:rPr>
          <w:rFonts w:ascii="Times New Roman" w:hAnsi="Times New Roman" w:cs="Times New Roman"/>
          <w:i/>
          <w:color w:val="000000" w:themeColor="text1"/>
          <w:sz w:val="28"/>
        </w:rPr>
        <w:t>Предмет дослідження</w:t>
      </w:r>
      <w:r w:rsidRPr="00CC7883">
        <w:rPr>
          <w:rFonts w:ascii="Times New Roman" w:hAnsi="Times New Roman" w:cs="Times New Roman"/>
          <w:color w:val="000000" w:themeColor="text1"/>
          <w:sz w:val="28"/>
        </w:rPr>
        <w:t xml:space="preserve"> – морфогенез ініціальних експлантів, мікроклонів винограду на етапі передадаптації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rPr>
        <w:t xml:space="preserve"> за різних умов культивування, життєздатність мікроклонів винограду в умовах</w:t>
      </w:r>
      <w:r w:rsidRPr="00CC7883">
        <w:rPr>
          <w:rFonts w:ascii="Times New Roman" w:hAnsi="Times New Roman" w:cs="Times New Roman"/>
          <w:i/>
          <w:color w:val="000000" w:themeColor="text1"/>
          <w:sz w:val="28"/>
        </w:rPr>
        <w:t xml:space="preserve"> in</w:t>
      </w:r>
      <w:r w:rsidR="008B5203" w:rsidRPr="00CC7883">
        <w:rPr>
          <w:rFonts w:ascii="Times New Roman" w:hAnsi="Times New Roman" w:cs="Times New Roman"/>
          <w:i/>
          <w:color w:val="000000" w:themeColor="text1"/>
          <w:sz w:val="28"/>
        </w:rPr>
        <w:t> </w:t>
      </w:r>
      <w:r w:rsidRPr="00CC7883">
        <w:rPr>
          <w:rFonts w:ascii="Times New Roman" w:hAnsi="Times New Roman" w:cs="Times New Roman"/>
          <w:i/>
          <w:color w:val="000000" w:themeColor="text1"/>
          <w:sz w:val="28"/>
        </w:rPr>
        <w:t xml:space="preserve">vivo </w:t>
      </w:r>
      <w:r w:rsidRPr="00CC7883">
        <w:rPr>
          <w:rFonts w:ascii="Times New Roman" w:hAnsi="Times New Roman" w:cs="Times New Roman"/>
          <w:iCs/>
          <w:color w:val="000000" w:themeColor="text1"/>
          <w:sz w:val="28"/>
        </w:rPr>
        <w:t>та</w:t>
      </w:r>
      <w:r w:rsidR="00B52E9D" w:rsidRPr="00CC7883">
        <w:rPr>
          <w:rFonts w:ascii="Times New Roman" w:hAnsi="Times New Roman" w:cs="Times New Roman"/>
          <w:iCs/>
          <w:color w:val="000000" w:themeColor="text1"/>
          <w:sz w:val="28"/>
        </w:rPr>
        <w:t xml:space="preserve"> </w:t>
      </w:r>
      <w:r w:rsidRPr="00CC7883">
        <w:rPr>
          <w:rFonts w:ascii="Times New Roman" w:hAnsi="Times New Roman" w:cs="Times New Roman"/>
          <w:iCs/>
          <w:color w:val="000000" w:themeColor="text1"/>
          <w:sz w:val="28"/>
        </w:rPr>
        <w:t>її залежність від особливостей їх морфогенезу.</w:t>
      </w:r>
    </w:p>
    <w:p w:rsidR="00DA0FC3" w:rsidRPr="00CC7883" w:rsidRDefault="00DA0FC3" w:rsidP="00047411">
      <w:pPr>
        <w:pStyle w:val="a7"/>
        <w:widowControl w:val="0"/>
        <w:spacing w:after="0" w:line="360" w:lineRule="auto"/>
        <w:ind w:left="0" w:firstLine="709"/>
        <w:jc w:val="both"/>
        <w:rPr>
          <w:rFonts w:ascii="Times New Roman" w:hAnsi="Times New Roman" w:cs="Times New Roman"/>
          <w:color w:val="000000" w:themeColor="text1"/>
          <w:sz w:val="28"/>
        </w:rPr>
      </w:pPr>
      <w:r w:rsidRPr="00CC7883">
        <w:rPr>
          <w:rFonts w:ascii="Times New Roman" w:hAnsi="Times New Roman" w:cs="Times New Roman"/>
          <w:b/>
          <w:color w:val="000000" w:themeColor="text1"/>
          <w:sz w:val="28"/>
        </w:rPr>
        <w:lastRenderedPageBreak/>
        <w:t>Методи досліджен</w:t>
      </w:r>
      <w:r w:rsidR="00D446B8">
        <w:rPr>
          <w:rFonts w:ascii="Times New Roman" w:hAnsi="Times New Roman" w:cs="Times New Roman"/>
          <w:b/>
          <w:color w:val="000000" w:themeColor="text1"/>
          <w:sz w:val="28"/>
        </w:rPr>
        <w:t>ня</w:t>
      </w:r>
      <w:r w:rsidRPr="00CC7883">
        <w:rPr>
          <w:rFonts w:ascii="Times New Roman" w:hAnsi="Times New Roman" w:cs="Times New Roman"/>
          <w:color w:val="000000" w:themeColor="text1"/>
          <w:sz w:val="28"/>
        </w:rPr>
        <w:t>. У дослідженні було застосовано комплекс загальноприйнятих у виноградному розсадництві методів:</w:t>
      </w:r>
      <w:r w:rsidRPr="00CC7883">
        <w:rPr>
          <w:rFonts w:ascii="Times New Roman" w:hAnsi="Times New Roman" w:cs="Times New Roman"/>
          <w:color w:val="000000" w:themeColor="text1"/>
          <w:sz w:val="28"/>
        </w:rPr>
        <w:br/>
        <w:t>–</w:t>
      </w:r>
      <w:r w:rsidRPr="00CC7883">
        <w:rPr>
          <w:rFonts w:ascii="Times New Roman" w:hAnsi="Times New Roman" w:cs="Times New Roman"/>
          <w:color w:val="000000" w:themeColor="text1"/>
          <w:sz w:val="28"/>
        </w:rPr>
        <w:tab/>
      </w:r>
      <w:r w:rsidRPr="00CC7883">
        <w:rPr>
          <w:rFonts w:ascii="Times New Roman" w:hAnsi="Times New Roman" w:cs="Times New Roman"/>
          <w:i/>
          <w:iCs/>
          <w:color w:val="000000" w:themeColor="text1"/>
          <w:sz w:val="28"/>
        </w:rPr>
        <w:t>біотехнологічні</w:t>
      </w:r>
      <w:r w:rsidR="00C30B8B" w:rsidRPr="00CC7883">
        <w:rPr>
          <w:rFonts w:ascii="Times New Roman" w:hAnsi="Times New Roman" w:cs="Times New Roman"/>
          <w:i/>
          <w:iCs/>
          <w:color w:val="000000" w:themeColor="text1"/>
          <w:sz w:val="28"/>
        </w:rPr>
        <w:t xml:space="preserve"> </w:t>
      </w:r>
      <w:r w:rsidRPr="00CC7883">
        <w:rPr>
          <w:rFonts w:ascii="Times New Roman" w:hAnsi="Times New Roman" w:cs="Times New Roman"/>
          <w:color w:val="000000" w:themeColor="text1"/>
          <w:sz w:val="28"/>
        </w:rPr>
        <w:t xml:space="preserve">– для встановлення особливостей культивування та розвитку мікроклонів винограду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rPr>
        <w:t>;</w:t>
      </w:r>
    </w:p>
    <w:p w:rsidR="00DA0FC3" w:rsidRPr="00CC7883" w:rsidRDefault="00DA0FC3" w:rsidP="00047411">
      <w:pPr>
        <w:pStyle w:val="a7"/>
        <w:widowControl w:val="0"/>
        <w:numPr>
          <w:ilvl w:val="0"/>
          <w:numId w:val="8"/>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i/>
          <w:iCs/>
          <w:color w:val="000000" w:themeColor="text1"/>
          <w:sz w:val="28"/>
        </w:rPr>
        <w:t>фізіологічні та біохімічні</w:t>
      </w:r>
      <w:r w:rsidRPr="00CC7883">
        <w:rPr>
          <w:rFonts w:ascii="Times New Roman" w:hAnsi="Times New Roman" w:cs="Times New Roman"/>
          <w:color w:val="000000" w:themeColor="text1"/>
          <w:sz w:val="28"/>
        </w:rPr>
        <w:t xml:space="preserve"> – для визначення показників водного режиму, пігментного комплексу, рівня інтенсивності транспірації мікроклонів винограду;</w:t>
      </w:r>
      <w:r w:rsidRPr="00CC7883">
        <w:rPr>
          <w:rFonts w:ascii="Times New Roman" w:hAnsi="Times New Roman" w:cs="Times New Roman"/>
          <w:color w:val="000000" w:themeColor="text1"/>
          <w:sz w:val="28"/>
        </w:rPr>
        <w:br/>
        <w:t>–</w:t>
      </w:r>
      <w:r w:rsidRPr="00CC7883">
        <w:rPr>
          <w:rFonts w:ascii="Times New Roman" w:hAnsi="Times New Roman" w:cs="Times New Roman"/>
          <w:color w:val="000000" w:themeColor="text1"/>
          <w:sz w:val="28"/>
        </w:rPr>
        <w:tab/>
      </w:r>
      <w:r w:rsidRPr="00CC7883">
        <w:rPr>
          <w:rFonts w:ascii="Times New Roman" w:hAnsi="Times New Roman" w:cs="Times New Roman"/>
          <w:i/>
          <w:iCs/>
          <w:color w:val="000000" w:themeColor="text1"/>
          <w:sz w:val="28"/>
        </w:rPr>
        <w:t xml:space="preserve">анатомічні </w:t>
      </w:r>
      <w:r w:rsidRPr="00CC7883">
        <w:rPr>
          <w:rFonts w:ascii="Times New Roman" w:hAnsi="Times New Roman" w:cs="Times New Roman"/>
          <w:color w:val="000000" w:themeColor="text1"/>
          <w:sz w:val="28"/>
        </w:rPr>
        <w:t>– для визначення особливостей формування продихового апарату нижнього епідермісу листків мікроклонів винограду;</w:t>
      </w:r>
    </w:p>
    <w:p w:rsidR="00DA0FC3" w:rsidRPr="00CC7883" w:rsidRDefault="00DA0FC3" w:rsidP="00047411">
      <w:pPr>
        <w:pStyle w:val="a7"/>
        <w:widowControl w:val="0"/>
        <w:numPr>
          <w:ilvl w:val="0"/>
          <w:numId w:val="8"/>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i/>
          <w:iCs/>
          <w:color w:val="000000" w:themeColor="text1"/>
          <w:sz w:val="28"/>
        </w:rPr>
        <w:t xml:space="preserve">агробіологічні </w:t>
      </w:r>
      <w:r w:rsidRPr="00CC7883">
        <w:rPr>
          <w:rFonts w:ascii="Times New Roman" w:hAnsi="Times New Roman" w:cs="Times New Roman"/>
          <w:color w:val="000000" w:themeColor="text1"/>
          <w:sz w:val="28"/>
        </w:rPr>
        <w:t>– для оцінки показників та динаміки росту вегетативної маси мікроклонів винограду;</w:t>
      </w:r>
    </w:p>
    <w:p w:rsidR="00DA0FC3" w:rsidRPr="00CC7883" w:rsidRDefault="00DA0FC3" w:rsidP="00047411">
      <w:pPr>
        <w:pStyle w:val="a7"/>
        <w:widowControl w:val="0"/>
        <w:numPr>
          <w:ilvl w:val="0"/>
          <w:numId w:val="8"/>
        </w:numPr>
        <w:spacing w:after="0" w:line="360" w:lineRule="auto"/>
        <w:ind w:left="0" w:firstLine="0"/>
        <w:jc w:val="both"/>
        <w:rPr>
          <w:rFonts w:ascii="Times New Roman" w:hAnsi="Times New Roman" w:cs="Times New Roman"/>
          <w:iCs/>
          <w:color w:val="000000" w:themeColor="text1"/>
          <w:sz w:val="28"/>
        </w:rPr>
      </w:pPr>
      <w:r w:rsidRPr="00CC7883">
        <w:rPr>
          <w:rFonts w:ascii="Times New Roman" w:hAnsi="Times New Roman" w:cs="Times New Roman"/>
          <w:i/>
          <w:iCs/>
          <w:color w:val="000000" w:themeColor="text1"/>
          <w:sz w:val="28"/>
        </w:rPr>
        <w:t>порівняльно-розрахункові</w:t>
      </w:r>
      <w:r w:rsidRPr="00CC7883">
        <w:rPr>
          <w:rFonts w:ascii="Times New Roman" w:hAnsi="Times New Roman" w:cs="Times New Roman"/>
          <w:color w:val="000000" w:themeColor="text1"/>
          <w:sz w:val="28"/>
        </w:rPr>
        <w:t xml:space="preserve"> – для економічної оцінки культивування мікроклонів винограду</w:t>
      </w:r>
      <w:r w:rsidRPr="00CC7883">
        <w:rPr>
          <w:rFonts w:ascii="Times New Roman" w:hAnsi="Times New Roman" w:cs="Times New Roman"/>
          <w:i/>
          <w:color w:val="000000" w:themeColor="text1"/>
          <w:sz w:val="28"/>
        </w:rPr>
        <w:t xml:space="preserve">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i/>
          <w:color w:val="000000" w:themeColor="text1"/>
          <w:sz w:val="28"/>
        </w:rPr>
        <w:t xml:space="preserve"> </w:t>
      </w:r>
      <w:r w:rsidRPr="00CC7883">
        <w:rPr>
          <w:rFonts w:ascii="Times New Roman" w:hAnsi="Times New Roman" w:cs="Times New Roman"/>
          <w:iCs/>
          <w:color w:val="000000" w:themeColor="text1"/>
          <w:sz w:val="28"/>
        </w:rPr>
        <w:t>за різних умов;</w:t>
      </w:r>
    </w:p>
    <w:p w:rsidR="00DA0FC3" w:rsidRPr="00CC7883" w:rsidRDefault="00DA0FC3" w:rsidP="00047411">
      <w:pPr>
        <w:pStyle w:val="a7"/>
        <w:widowControl w:val="0"/>
        <w:numPr>
          <w:ilvl w:val="0"/>
          <w:numId w:val="8"/>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i/>
          <w:iCs/>
          <w:color w:val="000000" w:themeColor="text1"/>
          <w:sz w:val="28"/>
        </w:rPr>
        <w:t>дисперсійного аналізу</w:t>
      </w:r>
      <w:r w:rsidRPr="00CC7883">
        <w:rPr>
          <w:rFonts w:ascii="Times New Roman" w:hAnsi="Times New Roman" w:cs="Times New Roman"/>
          <w:color w:val="000000" w:themeColor="text1"/>
          <w:sz w:val="28"/>
        </w:rPr>
        <w:t xml:space="preserve"> – для статистичної обробки отриманих експериментальних даних.</w:t>
      </w:r>
    </w:p>
    <w:p w:rsidR="00DA0FC3" w:rsidRPr="00CC7883" w:rsidRDefault="00DA0FC3" w:rsidP="00047411">
      <w:pPr>
        <w:widowControl w:val="0"/>
        <w:tabs>
          <w:tab w:val="left" w:pos="0"/>
        </w:tabs>
        <w:autoSpaceDE w:val="0"/>
        <w:spacing w:after="0" w:line="360" w:lineRule="auto"/>
        <w:jc w:val="both"/>
        <w:rPr>
          <w:rFonts w:ascii="Times New Roman" w:hAnsi="Times New Roman" w:cs="Times New Roman"/>
          <w:color w:val="000000" w:themeColor="text1"/>
          <w:sz w:val="28"/>
        </w:rPr>
      </w:pPr>
      <w:r w:rsidRPr="00CC7883">
        <w:rPr>
          <w:rFonts w:ascii="Times New Roman" w:hAnsi="Times New Roman" w:cs="Times New Roman"/>
          <w:b/>
          <w:color w:val="000000" w:themeColor="text1"/>
          <w:sz w:val="28"/>
        </w:rPr>
        <w:tab/>
        <w:t>Наукова новизна</w:t>
      </w:r>
      <w:r w:rsidRPr="00CC7883">
        <w:rPr>
          <w:rFonts w:ascii="Times New Roman" w:hAnsi="Times New Roman" w:cs="Times New Roman"/>
          <w:color w:val="000000" w:themeColor="text1"/>
          <w:sz w:val="28"/>
        </w:rPr>
        <w:t xml:space="preserve">. Наукова новизна отриманих результатів дисертаційної роботи розкривається у таких положеннях. </w:t>
      </w:r>
    </w:p>
    <w:p w:rsidR="00DA0FC3" w:rsidRPr="00CC7883" w:rsidRDefault="00DA0FC3" w:rsidP="00047411">
      <w:pPr>
        <w:widowControl w:val="0"/>
        <w:tabs>
          <w:tab w:val="left" w:pos="0"/>
        </w:tabs>
        <w:autoSpaceDE w:val="0"/>
        <w:spacing w:after="0" w:line="360" w:lineRule="auto"/>
        <w:jc w:val="both"/>
        <w:rPr>
          <w:rFonts w:ascii="Times New Roman" w:hAnsi="Times New Roman" w:cs="Times New Roman"/>
          <w:color w:val="000000" w:themeColor="text1"/>
          <w:sz w:val="28"/>
          <w:szCs w:val="28"/>
          <w:u w:val="single"/>
        </w:rPr>
      </w:pPr>
      <w:r w:rsidRPr="00CC7883">
        <w:rPr>
          <w:rFonts w:ascii="Times New Roman" w:hAnsi="Times New Roman" w:cs="Times New Roman"/>
          <w:i/>
          <w:iCs/>
          <w:color w:val="000000" w:themeColor="text1"/>
          <w:sz w:val="28"/>
          <w:szCs w:val="28"/>
          <w:u w:val="single"/>
        </w:rPr>
        <w:t>Вперше</w:t>
      </w:r>
      <w:r w:rsidRPr="00CC7883">
        <w:rPr>
          <w:rFonts w:ascii="Times New Roman" w:hAnsi="Times New Roman" w:cs="Times New Roman"/>
          <w:color w:val="000000" w:themeColor="text1"/>
          <w:sz w:val="28"/>
          <w:szCs w:val="28"/>
          <w:u w:val="single"/>
        </w:rPr>
        <w:t xml:space="preserve">: </w:t>
      </w:r>
    </w:p>
    <w:p w:rsidR="00DA0FC3" w:rsidRPr="00CC7883" w:rsidRDefault="00DA0FC3"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 xml:space="preserve">встановлено та охарактеризовано закономірності впливу різних типів поживних середовищ і мінеральних субстратів на ключові фізіологічні (рівень загального обводнення, кількість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Pr="00CC7883">
        <w:rPr>
          <w:rFonts w:ascii="Times New Roman" w:hAnsi="Times New Roman" w:cs="Times New Roman"/>
          <w:color w:val="000000" w:themeColor="text1"/>
          <w:sz w:val="28"/>
          <w:szCs w:val="28"/>
        </w:rPr>
        <w:t xml:space="preserve">ої води, </w:t>
      </w:r>
      <w:r w:rsidR="007211E4" w:rsidRPr="00CC7883">
        <w:rPr>
          <w:rFonts w:ascii="Times New Roman" w:hAnsi="Times New Roman" w:cs="Times New Roman"/>
          <w:color w:val="000000" w:themeColor="text1"/>
          <w:sz w:val="28"/>
          <w:szCs w:val="28"/>
        </w:rPr>
        <w:t>водо</w:t>
      </w:r>
      <w:r w:rsidR="007211E4">
        <w:rPr>
          <w:rFonts w:ascii="Times New Roman" w:hAnsi="Times New Roman" w:cs="Times New Roman"/>
          <w:color w:val="000000" w:themeColor="text1"/>
          <w:sz w:val="28"/>
          <w:szCs w:val="28"/>
        </w:rPr>
        <w:t>у</w:t>
      </w:r>
      <w:r w:rsidR="007211E4" w:rsidRPr="00CC7883">
        <w:rPr>
          <w:rFonts w:ascii="Times New Roman" w:hAnsi="Times New Roman" w:cs="Times New Roman"/>
          <w:color w:val="000000" w:themeColor="text1"/>
          <w:sz w:val="28"/>
          <w:szCs w:val="28"/>
        </w:rPr>
        <w:t>триму</w:t>
      </w:r>
      <w:r w:rsidR="007211E4">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у здатність, інтенсивність транспірації) та біохімічні (вміст сухих речовин і пігментів) показники тканин листків, пагонів і коренів мікроклонів винограду підщепних і технічних сортів під час їх культивування </w:t>
      </w:r>
      <w:r w:rsidR="000553AD" w:rsidRPr="00CC7883">
        <w:rPr>
          <w:rFonts w:ascii="Times New Roman" w:hAnsi="Times New Roman" w:cs="Times New Roman"/>
          <w:i/>
          <w:color w:val="000000" w:themeColor="text1"/>
          <w:sz w:val="28"/>
        </w:rPr>
        <w:t>in vitro</w:t>
      </w:r>
      <w:r w:rsidR="004908A5" w:rsidRPr="00CC7883">
        <w:rPr>
          <w:rFonts w:ascii="Times New Roman" w:hAnsi="Times New Roman" w:cs="Times New Roman"/>
          <w:color w:val="000000" w:themeColor="text1"/>
          <w:sz w:val="28"/>
          <w:szCs w:val="28"/>
        </w:rPr>
        <w:t>;</w:t>
      </w:r>
    </w:p>
    <w:p w:rsidR="00DA0FC3" w:rsidRPr="00CC7883" w:rsidRDefault="00DA0FC3"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 xml:space="preserve">досліджено особливості формування продихового апарату нижнього епідермісу листкових пластинок мікроклонів винограду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xml:space="preserve"> та </w:t>
      </w:r>
      <w:r w:rsidR="00F5525C"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szCs w:val="28"/>
        </w:rPr>
        <w:t xml:space="preserve">, встановлено його реакцію на вплив різних типів поживних середовищ і мінеральних субстратів, з’ясовано його роль у формуванні адаптаційної здатності рослин під час переходу до умов </w:t>
      </w:r>
      <w:r w:rsidR="00F5525C" w:rsidRPr="00CC7883">
        <w:rPr>
          <w:rFonts w:ascii="Times New Roman" w:eastAsia="NSimSun" w:hAnsi="Times New Roman" w:cs="Times New Roman"/>
          <w:i/>
          <w:iCs/>
          <w:color w:val="000000" w:themeColor="text1"/>
          <w:kern w:val="3"/>
          <w:sz w:val="28"/>
          <w:szCs w:val="28"/>
        </w:rPr>
        <w:t>in vivo</w:t>
      </w:r>
      <w:r w:rsidR="004908A5" w:rsidRPr="00CC7883">
        <w:rPr>
          <w:rFonts w:ascii="Times New Roman" w:hAnsi="Times New Roman" w:cs="Times New Roman"/>
          <w:color w:val="000000" w:themeColor="text1"/>
          <w:sz w:val="28"/>
          <w:szCs w:val="28"/>
        </w:rPr>
        <w:t>;</w:t>
      </w:r>
    </w:p>
    <w:p w:rsidR="00DA0FC3" w:rsidRPr="00CC7883" w:rsidRDefault="00DA0FC3"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w:t>
      </w:r>
      <w:r w:rsidRPr="00CC7883">
        <w:rPr>
          <w:rFonts w:ascii="Times New Roman" w:hAnsi="Times New Roman" w:cs="Times New Roman"/>
          <w:color w:val="000000" w:themeColor="text1"/>
          <w:sz w:val="28"/>
          <w:szCs w:val="28"/>
        </w:rPr>
        <w:tab/>
        <w:t xml:space="preserve">встановлено взаємозв’язок між регенераційними, морфолого-анатомічними, біометричними та фізіолого-біохімічними характеристиками мікроклонів винограду та умовами їх культивування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зокрема складом поживних середовищ і типами мінеральних субстратів</w:t>
      </w:r>
      <w:r w:rsidR="004908A5" w:rsidRPr="00CC7883">
        <w:rPr>
          <w:rFonts w:ascii="Times New Roman" w:hAnsi="Times New Roman" w:cs="Times New Roman"/>
          <w:color w:val="000000" w:themeColor="text1"/>
          <w:sz w:val="28"/>
          <w:szCs w:val="28"/>
        </w:rPr>
        <w:t>;</w:t>
      </w:r>
    </w:p>
    <w:p w:rsidR="00DA0FC3" w:rsidRPr="00CC7883" w:rsidRDefault="00DA0FC3"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 xml:space="preserve">доведено частку впливу умов культивування мікроклонів винограду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що включа</w:t>
      </w:r>
      <w:r w:rsidR="004B64FE">
        <w:rPr>
          <w:rFonts w:ascii="Times New Roman" w:hAnsi="Times New Roman" w:cs="Times New Roman"/>
          <w:color w:val="000000" w:themeColor="text1"/>
          <w:sz w:val="28"/>
          <w:szCs w:val="28"/>
        </w:rPr>
        <w:t>ють</w:t>
      </w:r>
      <w:r w:rsidRPr="00CC7883">
        <w:rPr>
          <w:rFonts w:ascii="Times New Roman" w:hAnsi="Times New Roman" w:cs="Times New Roman"/>
          <w:color w:val="000000" w:themeColor="text1"/>
          <w:sz w:val="28"/>
          <w:szCs w:val="28"/>
        </w:rPr>
        <w:t xml:space="preserve"> модифікацію поживних середовищ і типи мінеральних субстратів, на формування ключових морфогенетичних характеристик, зокрема фізіологічних (рівень загального обводнення, 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hAnsi="Times New Roman" w:cs="Times New Roman"/>
          <w:color w:val="000000" w:themeColor="text1"/>
          <w:sz w:val="28"/>
          <w:szCs w:val="28"/>
        </w:rPr>
        <w:t xml:space="preserve"> води, </w:t>
      </w:r>
      <w:r w:rsidR="007211E4" w:rsidRPr="00CC7883">
        <w:rPr>
          <w:rFonts w:ascii="Times New Roman" w:hAnsi="Times New Roman" w:cs="Times New Roman"/>
          <w:color w:val="000000" w:themeColor="text1"/>
          <w:sz w:val="28"/>
          <w:szCs w:val="28"/>
        </w:rPr>
        <w:t>водо</w:t>
      </w:r>
      <w:r w:rsidR="007211E4">
        <w:rPr>
          <w:rFonts w:ascii="Times New Roman" w:hAnsi="Times New Roman" w:cs="Times New Roman"/>
          <w:color w:val="000000" w:themeColor="text1"/>
          <w:sz w:val="28"/>
          <w:szCs w:val="28"/>
        </w:rPr>
        <w:t>у</w:t>
      </w:r>
      <w:r w:rsidR="007211E4" w:rsidRPr="00CC7883">
        <w:rPr>
          <w:rFonts w:ascii="Times New Roman" w:hAnsi="Times New Roman" w:cs="Times New Roman"/>
          <w:color w:val="000000" w:themeColor="text1"/>
          <w:sz w:val="28"/>
          <w:szCs w:val="28"/>
        </w:rPr>
        <w:t>триму</w:t>
      </w:r>
      <w:r w:rsidR="007211E4">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а здатність, інтенсивність транспірації), біохімічних (вміст сухих речовин і пігментів) та анатомічних (особливості продихового апарату нижнього епідермісу листкових пластинок) показників вегетативної маси мікроклонів, а також на їх подальшу життєздатність в умовах </w:t>
      </w:r>
      <w:r w:rsidR="00F5525C" w:rsidRPr="00CC7883">
        <w:rPr>
          <w:rFonts w:ascii="Times New Roman" w:eastAsia="NSimSun" w:hAnsi="Times New Roman" w:cs="Times New Roman"/>
          <w:i/>
          <w:iCs/>
          <w:color w:val="000000" w:themeColor="text1"/>
          <w:kern w:val="3"/>
          <w:sz w:val="28"/>
          <w:szCs w:val="28"/>
        </w:rPr>
        <w:t>in vivo</w:t>
      </w:r>
      <w:r w:rsidR="007B5368" w:rsidRPr="00CC7883">
        <w:rPr>
          <w:rFonts w:ascii="Times New Roman" w:hAnsi="Times New Roman" w:cs="Times New Roman"/>
          <w:color w:val="000000" w:themeColor="text1"/>
          <w:sz w:val="28"/>
          <w:szCs w:val="28"/>
        </w:rPr>
        <w:t>.</w:t>
      </w:r>
    </w:p>
    <w:p w:rsidR="00DA0FC3" w:rsidRPr="00CC7883" w:rsidRDefault="00DA0FC3" w:rsidP="00047411">
      <w:pPr>
        <w:widowControl w:val="0"/>
        <w:jc w:val="both"/>
        <w:rPr>
          <w:rFonts w:ascii="Times New Roman" w:hAnsi="Times New Roman" w:cs="Times New Roman"/>
          <w:color w:val="000000" w:themeColor="text1"/>
          <w:sz w:val="28"/>
        </w:rPr>
      </w:pPr>
      <w:r w:rsidRPr="00CC7883">
        <w:rPr>
          <w:rFonts w:ascii="Times New Roman" w:hAnsi="Times New Roman" w:cs="Times New Roman"/>
          <w:i/>
          <w:color w:val="000000" w:themeColor="text1"/>
          <w:sz w:val="28"/>
          <w:u w:val="single"/>
        </w:rPr>
        <w:t>Удосконалено:</w:t>
      </w:r>
    </w:p>
    <w:p w:rsidR="00DA0FC3" w:rsidRPr="00CC7883" w:rsidRDefault="00DA0FC3" w:rsidP="00047411">
      <w:pPr>
        <w:pStyle w:val="a7"/>
        <w:widowControl w:val="0"/>
        <w:numPr>
          <w:ilvl w:val="0"/>
          <w:numId w:val="8"/>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окремі технологічні етапи культивування винограду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xml:space="preserve"> (проліферація пазушних бруньок і ризогенез ініціальних експлантів, укорінення мікрочубуків, процес мікророзмноження та адаптація мікроклональних рослин до умов </w:t>
      </w:r>
      <w:r w:rsidR="00F5525C"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szCs w:val="28"/>
        </w:rPr>
        <w:t xml:space="preserve">). Зокрема, модифіковано склад поживних середовищ (на основі MS) шляхом зміни фітогормонального складу, використання біологічно активних препаратів – Радіфарм і Clonex gel та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hAnsi="Times New Roman" w:cs="Times New Roman"/>
          <w:color w:val="000000" w:themeColor="text1"/>
          <w:sz w:val="28"/>
          <w:szCs w:val="28"/>
        </w:rPr>
        <w:t>их компонентів – агроперліт, вермикуліт, агроперліт + вермикуліт</w:t>
      </w:r>
      <w:r w:rsidR="004908A5" w:rsidRPr="00CC7883">
        <w:rPr>
          <w:rFonts w:ascii="Times New Roman" w:hAnsi="Times New Roman" w:cs="Times New Roman"/>
          <w:color w:val="000000" w:themeColor="text1"/>
          <w:sz w:val="28"/>
          <w:szCs w:val="28"/>
        </w:rPr>
        <w:t>;</w:t>
      </w:r>
    </w:p>
    <w:p w:rsidR="00DA0FC3" w:rsidRPr="00CC7883" w:rsidRDefault="00DA0FC3" w:rsidP="00047411">
      <w:pPr>
        <w:pStyle w:val="a7"/>
        <w:widowControl w:val="0"/>
        <w:numPr>
          <w:ilvl w:val="0"/>
          <w:numId w:val="8"/>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підхід до оцінювання адаптаційного потенціалу мікроклонів винограду на основі комплексу морфогенетичних та фізіолого-біохімічних показників.</w:t>
      </w:r>
    </w:p>
    <w:p w:rsidR="00DA0FC3" w:rsidRPr="00CC7883" w:rsidRDefault="00DA0FC3" w:rsidP="00047411">
      <w:pPr>
        <w:widowControl w:val="0"/>
        <w:spacing w:after="0" w:line="360" w:lineRule="auto"/>
        <w:contextualSpacing/>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u w:val="single"/>
        </w:rPr>
        <w:t>Набули подальшого розвитку</w:t>
      </w:r>
      <w:r w:rsidRPr="00CC7883">
        <w:rPr>
          <w:rFonts w:ascii="Times New Roman" w:hAnsi="Times New Roman" w:cs="Times New Roman"/>
          <w:color w:val="000000" w:themeColor="text1"/>
          <w:sz w:val="28"/>
          <w:szCs w:val="28"/>
        </w:rPr>
        <w:t xml:space="preserve">: </w:t>
      </w:r>
    </w:p>
    <w:p w:rsidR="00DA0FC3" w:rsidRPr="00CC7883" w:rsidRDefault="00DA0FC3" w:rsidP="00047411">
      <w:pPr>
        <w:pStyle w:val="a7"/>
        <w:widowControl w:val="0"/>
        <w:numPr>
          <w:ilvl w:val="0"/>
          <w:numId w:val="8"/>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дослідження щодо впливу різних умов культивування на регенераційні властивості винограду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xml:space="preserve">, одержання мікроклонів винограду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xml:space="preserve"> з кількісними і якісними показниками розвитку вегетативної надземної маси і кореневої системи, що </w:t>
      </w:r>
      <w:r w:rsidR="002D226D">
        <w:rPr>
          <w:rFonts w:ascii="Times New Roman" w:hAnsi="Times New Roman" w:cs="Times New Roman"/>
          <w:color w:val="000000" w:themeColor="text1"/>
          <w:sz w:val="28"/>
          <w:szCs w:val="28"/>
        </w:rPr>
        <w:t>дає змогу</w:t>
      </w:r>
      <w:r w:rsidRPr="00CC7883">
        <w:rPr>
          <w:rFonts w:ascii="Times New Roman" w:hAnsi="Times New Roman" w:cs="Times New Roman"/>
          <w:color w:val="000000" w:themeColor="text1"/>
          <w:sz w:val="28"/>
          <w:szCs w:val="28"/>
        </w:rPr>
        <w:t xml:space="preserve"> підвищити вихід адаптованих до умов </w:t>
      </w:r>
      <w:r w:rsidR="00F5525C"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szCs w:val="28"/>
        </w:rPr>
        <w:t xml:space="preserve"> мікроклонів винограду</w:t>
      </w:r>
      <w:r w:rsidR="00ED25FC" w:rsidRPr="00CC7883">
        <w:rPr>
          <w:rFonts w:ascii="Times New Roman" w:hAnsi="Times New Roman" w:cs="Times New Roman"/>
          <w:color w:val="000000" w:themeColor="text1"/>
          <w:sz w:val="28"/>
          <w:szCs w:val="28"/>
        </w:rPr>
        <w:t>;</w:t>
      </w:r>
    </w:p>
    <w:p w:rsidR="00DA0FC3" w:rsidRPr="00CC7883" w:rsidRDefault="00DA0FC3" w:rsidP="00047411">
      <w:pPr>
        <w:pStyle w:val="a7"/>
        <w:widowControl w:val="0"/>
        <w:numPr>
          <w:ilvl w:val="0"/>
          <w:numId w:val="8"/>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доведено економічну ефективність та доцільність практичного </w:t>
      </w:r>
      <w:r w:rsidRPr="00CC7883">
        <w:rPr>
          <w:rFonts w:ascii="Times New Roman" w:hAnsi="Times New Roman" w:cs="Times New Roman"/>
          <w:color w:val="000000" w:themeColor="text1"/>
          <w:sz w:val="28"/>
          <w:szCs w:val="28"/>
        </w:rPr>
        <w:lastRenderedPageBreak/>
        <w:t xml:space="preserve">застосування удосконалених технологічних прийомів культивування винограду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w:t>
      </w:r>
    </w:p>
    <w:p w:rsidR="00DA0FC3" w:rsidRPr="00CC7883" w:rsidRDefault="00DA0FC3" w:rsidP="00047411">
      <w:pPr>
        <w:widowControl w:val="0"/>
        <w:spacing w:after="0" w:line="360" w:lineRule="auto"/>
        <w:ind w:firstLine="709"/>
        <w:contextualSpacing/>
        <w:jc w:val="both"/>
        <w:rPr>
          <w:rFonts w:ascii="Times New Roman" w:eastAsia="Andale Sans UI" w:hAnsi="Times New Roman" w:cs="Times New Roman"/>
          <w:color w:val="000000" w:themeColor="text1"/>
          <w:spacing w:val="-4"/>
          <w:sz w:val="28"/>
          <w:szCs w:val="28"/>
          <w:lang w:eastAsia="ar-SA"/>
        </w:rPr>
      </w:pPr>
      <w:r w:rsidRPr="00CC7883">
        <w:rPr>
          <w:rFonts w:ascii="Times New Roman" w:hAnsi="Times New Roman" w:cs="Times New Roman"/>
          <w:b/>
          <w:color w:val="000000" w:themeColor="text1"/>
          <w:sz w:val="28"/>
        </w:rPr>
        <w:t>Практичне значення</w:t>
      </w:r>
      <w:r w:rsidRPr="00CC7883">
        <w:rPr>
          <w:rFonts w:ascii="Times New Roman" w:hAnsi="Times New Roman" w:cs="Times New Roman"/>
          <w:color w:val="000000" w:themeColor="text1"/>
          <w:sz w:val="28"/>
        </w:rPr>
        <w:t xml:space="preserve">. Удосконалені технологічні прийоми, представлені у дисертаційній роботі, доповнюють </w:t>
      </w:r>
      <w:r w:rsidR="007F4C36">
        <w:rPr>
          <w:rFonts w:ascii="Times New Roman" w:hAnsi="Times New Roman" w:cs="Times New Roman"/>
          <w:color w:val="000000" w:themeColor="text1"/>
          <w:sz w:val="28"/>
        </w:rPr>
        <w:t>наявну</w:t>
      </w:r>
      <w:r w:rsidRPr="00CC7883">
        <w:rPr>
          <w:rFonts w:ascii="Times New Roman" w:hAnsi="Times New Roman" w:cs="Times New Roman"/>
          <w:color w:val="000000" w:themeColor="text1"/>
          <w:sz w:val="28"/>
        </w:rPr>
        <w:t xml:space="preserve"> технологію прискореного мікроклонального розмноження винограду </w:t>
      </w:r>
      <w:r w:rsidR="00732ABA" w:rsidRPr="00CC7883">
        <w:rPr>
          <w:rFonts w:ascii="Times New Roman" w:hAnsi="Times New Roman" w:cs="Times New Roman"/>
          <w:color w:val="000000" w:themeColor="text1"/>
          <w:sz w:val="28"/>
        </w:rPr>
        <w:t>і</w:t>
      </w:r>
      <w:r w:rsidRPr="00CC7883">
        <w:rPr>
          <w:rFonts w:ascii="Times New Roman" w:hAnsi="Times New Roman" w:cs="Times New Roman"/>
          <w:color w:val="000000" w:themeColor="text1"/>
          <w:sz w:val="28"/>
        </w:rPr>
        <w:t xml:space="preserve"> сприятимуть вирощуванню садивного матеріалу винограду біологічних категорій якості – </w:t>
      </w:r>
      <w:r w:rsidRPr="00CC7883">
        <w:rPr>
          <w:rFonts w:ascii="Times New Roman" w:hAnsi="Times New Roman" w:cs="Times New Roman"/>
          <w:i/>
          <w:color w:val="000000" w:themeColor="text1"/>
          <w:sz w:val="28"/>
        </w:rPr>
        <w:t>вихідний</w:t>
      </w:r>
      <w:r w:rsidRPr="00CC7883">
        <w:rPr>
          <w:rFonts w:ascii="Times New Roman" w:hAnsi="Times New Roman" w:cs="Times New Roman"/>
          <w:color w:val="000000" w:themeColor="text1"/>
          <w:sz w:val="28"/>
        </w:rPr>
        <w:t xml:space="preserve"> і </w:t>
      </w:r>
      <w:r w:rsidRPr="00CC7883">
        <w:rPr>
          <w:rFonts w:ascii="Times New Roman" w:hAnsi="Times New Roman" w:cs="Times New Roman"/>
          <w:i/>
          <w:color w:val="000000" w:themeColor="text1"/>
          <w:sz w:val="28"/>
        </w:rPr>
        <w:t>базовий</w:t>
      </w:r>
      <w:r w:rsidRPr="00CC7883">
        <w:rPr>
          <w:rFonts w:ascii="Times New Roman" w:hAnsi="Times New Roman" w:cs="Times New Roman"/>
          <w:color w:val="000000" w:themeColor="text1"/>
          <w:sz w:val="28"/>
        </w:rPr>
        <w:t xml:space="preserve">. Розроблені технологічні прийоми пройшли виробничу перевірку </w:t>
      </w:r>
      <w:r w:rsidRPr="00CC7883">
        <w:rPr>
          <w:rFonts w:ascii="Times New Roman" w:hAnsi="Times New Roman" w:cs="Times New Roman"/>
          <w:color w:val="000000" w:themeColor="text1"/>
          <w:sz w:val="28"/>
          <w:szCs w:val="28"/>
        </w:rPr>
        <w:t xml:space="preserve">та застосовуються для вирощування мікроклональних підщепних саджанців винограду </w:t>
      </w:r>
      <w:r w:rsidR="00732ABA" w:rsidRPr="00CC7883">
        <w:rPr>
          <w:rFonts w:ascii="Times New Roman" w:eastAsia="Andale Sans UI" w:hAnsi="Times New Roman" w:cs="Times New Roman"/>
          <w:color w:val="000000" w:themeColor="text1"/>
          <w:sz w:val="28"/>
          <w:szCs w:val="28"/>
          <w:lang w:eastAsia="ar-SA"/>
        </w:rPr>
        <w:t>для</w:t>
      </w:r>
      <w:r w:rsidRPr="00CC7883">
        <w:rPr>
          <w:rFonts w:ascii="Times New Roman" w:eastAsia="Andale Sans UI" w:hAnsi="Times New Roman" w:cs="Times New Roman"/>
          <w:color w:val="000000" w:themeColor="text1"/>
          <w:sz w:val="28"/>
          <w:szCs w:val="28"/>
          <w:lang w:eastAsia="ar-SA"/>
        </w:rPr>
        <w:t xml:space="preserve"> ДП «ДГ </w:t>
      </w:r>
      <w:r w:rsidRPr="00CC7883">
        <w:rPr>
          <w:rFonts w:ascii="Times New Roman" w:eastAsia="Andale Sans UI" w:hAnsi="Times New Roman" w:cs="Times New Roman"/>
          <w:color w:val="000000" w:themeColor="text1"/>
          <w:spacing w:val="-4"/>
          <w:sz w:val="28"/>
          <w:szCs w:val="28"/>
          <w:lang w:eastAsia="ar-SA"/>
        </w:rPr>
        <w:t xml:space="preserve">«Таїровське» </w:t>
      </w:r>
      <w:r w:rsidRPr="00CC7883">
        <w:rPr>
          <w:rFonts w:ascii="Times New Roman" w:hAnsi="Times New Roman" w:cs="Times New Roman"/>
          <w:color w:val="000000" w:themeColor="text1"/>
          <w:spacing w:val="-4"/>
          <w:sz w:val="28"/>
          <w:szCs w:val="28"/>
        </w:rPr>
        <w:t>ННЦ «ІВіВ ім. В.</w:t>
      </w:r>
      <w:r w:rsidR="00396E12">
        <w:rPr>
          <w:rFonts w:ascii="Times New Roman" w:hAnsi="Times New Roman" w:cs="Times New Roman"/>
          <w:color w:val="000000" w:themeColor="text1"/>
          <w:spacing w:val="-4"/>
          <w:sz w:val="28"/>
          <w:szCs w:val="28"/>
        </w:rPr>
        <w:t> </w:t>
      </w:r>
      <w:r w:rsidRPr="00CC7883">
        <w:rPr>
          <w:rFonts w:ascii="Times New Roman" w:hAnsi="Times New Roman" w:cs="Times New Roman"/>
          <w:color w:val="000000" w:themeColor="text1"/>
          <w:spacing w:val="-4"/>
          <w:sz w:val="28"/>
          <w:szCs w:val="28"/>
        </w:rPr>
        <w:t>Є.</w:t>
      </w:r>
      <w:r w:rsidR="00396E12">
        <w:rPr>
          <w:rFonts w:ascii="Times New Roman" w:hAnsi="Times New Roman" w:cs="Times New Roman"/>
          <w:color w:val="000000" w:themeColor="text1"/>
          <w:spacing w:val="-4"/>
          <w:sz w:val="28"/>
          <w:szCs w:val="28"/>
        </w:rPr>
        <w:t> </w:t>
      </w:r>
      <w:r w:rsidRPr="00CC7883">
        <w:rPr>
          <w:rFonts w:ascii="Times New Roman" w:hAnsi="Times New Roman" w:cs="Times New Roman"/>
          <w:color w:val="000000" w:themeColor="text1"/>
          <w:spacing w:val="-4"/>
          <w:sz w:val="28"/>
          <w:szCs w:val="28"/>
        </w:rPr>
        <w:t>Таїрова»</w:t>
      </w:r>
      <w:r w:rsidRPr="00CC7883">
        <w:rPr>
          <w:rFonts w:ascii="Times New Roman" w:eastAsia="Andale Sans UI" w:hAnsi="Times New Roman" w:cs="Times New Roman"/>
          <w:color w:val="000000" w:themeColor="text1"/>
          <w:spacing w:val="-4"/>
          <w:sz w:val="28"/>
          <w:szCs w:val="28"/>
          <w:lang w:eastAsia="ar-SA"/>
        </w:rPr>
        <w:t xml:space="preserve"> НААН України, про що свідч</w:t>
      </w:r>
      <w:r w:rsidR="00732ABA" w:rsidRPr="00CC7883">
        <w:rPr>
          <w:rFonts w:ascii="Times New Roman" w:eastAsia="Andale Sans UI" w:hAnsi="Times New Roman" w:cs="Times New Roman"/>
          <w:color w:val="000000" w:themeColor="text1"/>
          <w:spacing w:val="-4"/>
          <w:sz w:val="28"/>
          <w:szCs w:val="28"/>
          <w:lang w:eastAsia="ar-SA"/>
        </w:rPr>
        <w:t>ить</w:t>
      </w:r>
      <w:r w:rsidRPr="00CC7883">
        <w:rPr>
          <w:rFonts w:ascii="Times New Roman" w:eastAsia="Andale Sans UI" w:hAnsi="Times New Roman" w:cs="Times New Roman"/>
          <w:color w:val="000000" w:themeColor="text1"/>
          <w:spacing w:val="-4"/>
          <w:sz w:val="28"/>
          <w:szCs w:val="28"/>
          <w:lang w:eastAsia="ar-SA"/>
        </w:rPr>
        <w:t xml:space="preserve"> акт впровадження</w:t>
      </w:r>
      <w:r w:rsidR="00AF6C3E" w:rsidRPr="00CC7883">
        <w:rPr>
          <w:rFonts w:ascii="Times New Roman" w:eastAsia="Andale Sans UI" w:hAnsi="Times New Roman" w:cs="Times New Roman"/>
          <w:color w:val="000000" w:themeColor="text1"/>
          <w:spacing w:val="-4"/>
          <w:sz w:val="28"/>
          <w:szCs w:val="28"/>
          <w:lang w:eastAsia="ar-SA"/>
        </w:rPr>
        <w:t xml:space="preserve"> </w:t>
      </w:r>
      <w:r w:rsidR="00732ABA" w:rsidRPr="00CC7883">
        <w:rPr>
          <w:rFonts w:ascii="Times New Roman" w:hAnsi="Times New Roman" w:cs="Times New Roman"/>
          <w:color w:val="000000" w:themeColor="text1"/>
          <w:sz w:val="28"/>
          <w:szCs w:val="28"/>
        </w:rPr>
        <w:t>(</w:t>
      </w:r>
      <w:r w:rsidR="002C064A">
        <w:rPr>
          <w:rFonts w:ascii="Times New Roman" w:hAnsi="Times New Roman" w:cs="Times New Roman"/>
          <w:color w:val="000000" w:themeColor="text1"/>
          <w:sz w:val="28"/>
          <w:szCs w:val="28"/>
        </w:rPr>
        <w:t>д</w:t>
      </w:r>
      <w:r w:rsidR="00732ABA" w:rsidRPr="00CC7883">
        <w:rPr>
          <w:rFonts w:ascii="Times New Roman" w:hAnsi="Times New Roman" w:cs="Times New Roman"/>
          <w:color w:val="000000" w:themeColor="text1"/>
          <w:sz w:val="28"/>
          <w:szCs w:val="28"/>
        </w:rPr>
        <w:t xml:space="preserve">одаток </w:t>
      </w:r>
      <w:r w:rsidR="009D6D3A" w:rsidRPr="00CC7883">
        <w:rPr>
          <w:rFonts w:ascii="Times New Roman" w:hAnsi="Times New Roman" w:cs="Times New Roman"/>
          <w:color w:val="000000" w:themeColor="text1"/>
          <w:sz w:val="28"/>
          <w:szCs w:val="28"/>
        </w:rPr>
        <w:t>А.</w:t>
      </w:r>
      <w:r w:rsidR="002F704F">
        <w:rPr>
          <w:rFonts w:ascii="Times New Roman" w:hAnsi="Times New Roman" w:cs="Times New Roman"/>
          <w:color w:val="000000" w:themeColor="text1"/>
          <w:sz w:val="28"/>
          <w:szCs w:val="28"/>
        </w:rPr>
        <w:t xml:space="preserve"> </w:t>
      </w:r>
      <w:r w:rsidR="009D6D3A" w:rsidRPr="00CC7883">
        <w:rPr>
          <w:rFonts w:ascii="Times New Roman" w:hAnsi="Times New Roman" w:cs="Times New Roman"/>
          <w:color w:val="000000" w:themeColor="text1"/>
          <w:sz w:val="28"/>
          <w:szCs w:val="28"/>
        </w:rPr>
        <w:t>1</w:t>
      </w:r>
      <w:r w:rsidR="00732ABA" w:rsidRPr="00CC7883">
        <w:rPr>
          <w:rFonts w:ascii="Times New Roman" w:hAnsi="Times New Roman" w:cs="Times New Roman"/>
          <w:color w:val="000000" w:themeColor="text1"/>
          <w:sz w:val="28"/>
          <w:szCs w:val="28"/>
        </w:rPr>
        <w:t>)</w:t>
      </w:r>
      <w:r w:rsidRPr="00CC7883">
        <w:rPr>
          <w:rFonts w:ascii="Times New Roman" w:eastAsia="Andale Sans UI" w:hAnsi="Times New Roman" w:cs="Times New Roman"/>
          <w:color w:val="000000" w:themeColor="text1"/>
          <w:spacing w:val="-4"/>
          <w:sz w:val="28"/>
          <w:szCs w:val="28"/>
          <w:lang w:eastAsia="ar-SA"/>
        </w:rPr>
        <w:t>.</w:t>
      </w:r>
    </w:p>
    <w:p w:rsidR="00DA0FC3" w:rsidRPr="00CC7883" w:rsidRDefault="00732ABA" w:rsidP="00047411">
      <w:pPr>
        <w:pStyle w:val="afb"/>
        <w:widowControl w:val="0"/>
        <w:spacing w:line="360" w:lineRule="auto"/>
        <w:ind w:firstLine="709"/>
        <w:jc w:val="both"/>
        <w:rPr>
          <w:rFonts w:ascii="Times New Roman" w:hAnsi="Times New Roman" w:cs="Times New Roman"/>
          <w:color w:val="000000" w:themeColor="text1"/>
          <w:sz w:val="28"/>
          <w:szCs w:val="28"/>
          <w:lang w:val="uk-UA"/>
        </w:rPr>
      </w:pPr>
      <w:r w:rsidRPr="00CC7883">
        <w:rPr>
          <w:rFonts w:ascii="Times New Roman" w:hAnsi="Times New Roman"/>
          <w:color w:val="000000" w:themeColor="text1"/>
          <w:sz w:val="28"/>
          <w:lang w:val="uk-UA"/>
        </w:rPr>
        <w:t>Результати, отримані під час виконання дисертаційної роботи з питань технології вирощування мікроклональних саджанців винограду високих біологічних категорій якості, пройшли апробацію і використовуються в освітньому процесі під час підготовки аспірантів, які навчаються за ОНП «Виноградарство» в ННЦ «ІВіВ ім. В.</w:t>
      </w:r>
      <w:r w:rsidR="00396E12">
        <w:rPr>
          <w:rFonts w:ascii="Times New Roman" w:hAnsi="Times New Roman"/>
          <w:color w:val="000000" w:themeColor="text1"/>
          <w:sz w:val="28"/>
          <w:lang w:val="uk-UA"/>
        </w:rPr>
        <w:t> </w:t>
      </w:r>
      <w:r w:rsidRPr="00CC7883">
        <w:rPr>
          <w:rFonts w:ascii="Times New Roman" w:hAnsi="Times New Roman"/>
          <w:color w:val="000000" w:themeColor="text1"/>
          <w:sz w:val="28"/>
          <w:lang w:val="uk-UA"/>
        </w:rPr>
        <w:t>Є.</w:t>
      </w:r>
      <w:r w:rsidR="00396E12">
        <w:rPr>
          <w:rFonts w:ascii="Times New Roman" w:hAnsi="Times New Roman"/>
          <w:color w:val="000000" w:themeColor="text1"/>
          <w:sz w:val="28"/>
          <w:lang w:val="uk-UA"/>
        </w:rPr>
        <w:t> </w:t>
      </w:r>
      <w:r w:rsidRPr="00CC7883">
        <w:rPr>
          <w:rFonts w:ascii="Times New Roman" w:hAnsi="Times New Roman"/>
          <w:color w:val="000000" w:themeColor="text1"/>
          <w:sz w:val="28"/>
          <w:lang w:val="uk-UA"/>
        </w:rPr>
        <w:t xml:space="preserve">Таїрова» </w:t>
      </w:r>
      <w:r w:rsidR="00DA0FC3" w:rsidRPr="00CC7883">
        <w:rPr>
          <w:rFonts w:ascii="Times New Roman" w:hAnsi="Times New Roman" w:cs="Times New Roman"/>
          <w:color w:val="000000" w:themeColor="text1"/>
          <w:sz w:val="28"/>
          <w:szCs w:val="28"/>
          <w:lang w:val="uk-UA"/>
        </w:rPr>
        <w:t>(</w:t>
      </w:r>
      <w:r w:rsidR="002C064A">
        <w:rPr>
          <w:rFonts w:ascii="Times New Roman" w:hAnsi="Times New Roman" w:cs="Times New Roman"/>
          <w:color w:val="000000" w:themeColor="text1"/>
          <w:sz w:val="28"/>
          <w:szCs w:val="28"/>
          <w:lang w:val="uk-UA"/>
        </w:rPr>
        <w:t>д</w:t>
      </w:r>
      <w:r w:rsidR="00DA0FC3" w:rsidRPr="00CC7883">
        <w:rPr>
          <w:rFonts w:ascii="Times New Roman" w:hAnsi="Times New Roman" w:cs="Times New Roman"/>
          <w:color w:val="000000" w:themeColor="text1"/>
          <w:sz w:val="28"/>
          <w:szCs w:val="28"/>
          <w:lang w:val="uk-UA"/>
        </w:rPr>
        <w:t xml:space="preserve">одаток </w:t>
      </w:r>
      <w:r w:rsidR="009D6D3A" w:rsidRPr="00CC7883">
        <w:rPr>
          <w:rFonts w:ascii="Times New Roman" w:hAnsi="Times New Roman" w:cs="Times New Roman"/>
          <w:color w:val="000000" w:themeColor="text1"/>
          <w:sz w:val="28"/>
          <w:szCs w:val="28"/>
          <w:lang w:val="uk-UA"/>
        </w:rPr>
        <w:t>А.</w:t>
      </w:r>
      <w:r w:rsidR="002F704F">
        <w:rPr>
          <w:rFonts w:ascii="Times New Roman" w:hAnsi="Times New Roman" w:cs="Times New Roman"/>
          <w:color w:val="000000" w:themeColor="text1"/>
          <w:sz w:val="28"/>
          <w:szCs w:val="28"/>
          <w:lang w:val="uk-UA"/>
        </w:rPr>
        <w:t xml:space="preserve"> </w:t>
      </w:r>
      <w:r w:rsidR="009D6D3A" w:rsidRPr="00CC7883">
        <w:rPr>
          <w:rFonts w:ascii="Times New Roman" w:hAnsi="Times New Roman" w:cs="Times New Roman"/>
          <w:color w:val="000000" w:themeColor="text1"/>
          <w:sz w:val="28"/>
          <w:szCs w:val="28"/>
          <w:lang w:val="uk-UA"/>
        </w:rPr>
        <w:t>2</w:t>
      </w:r>
      <w:r w:rsidR="00DA0FC3" w:rsidRPr="00CC7883">
        <w:rPr>
          <w:rFonts w:ascii="Times New Roman" w:hAnsi="Times New Roman" w:cs="Times New Roman"/>
          <w:color w:val="000000" w:themeColor="text1"/>
          <w:sz w:val="28"/>
          <w:szCs w:val="28"/>
          <w:lang w:val="uk-UA"/>
        </w:rPr>
        <w:t>).</w:t>
      </w:r>
    </w:p>
    <w:p w:rsidR="00DA0FC3" w:rsidRPr="00CC7883" w:rsidRDefault="00DA0FC3" w:rsidP="00047411">
      <w:pPr>
        <w:pStyle w:val="a7"/>
        <w:widowControl w:val="0"/>
        <w:spacing w:after="0" w:line="360" w:lineRule="auto"/>
        <w:ind w:left="0" w:firstLine="720"/>
        <w:jc w:val="both"/>
        <w:rPr>
          <w:rFonts w:ascii="Times New Roman" w:hAnsi="Times New Roman" w:cs="Times New Roman"/>
          <w:color w:val="000000" w:themeColor="text1"/>
          <w:sz w:val="28"/>
          <w:szCs w:val="28"/>
        </w:rPr>
      </w:pPr>
      <w:r w:rsidRPr="00CC7883">
        <w:rPr>
          <w:rFonts w:ascii="Times New Roman" w:hAnsi="Times New Roman" w:cs="Times New Roman"/>
          <w:b/>
          <w:color w:val="000000" w:themeColor="text1"/>
          <w:sz w:val="28"/>
        </w:rPr>
        <w:t>Особистий внесок здобувача</w:t>
      </w:r>
      <w:r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szCs w:val="28"/>
        </w:rPr>
        <w:t>Дисертаційна робота виконана здобувачем як самостійне наукове дослідження. Автором здійснено широкий інформаційний пошук і комплексний аналіз наукових джерел за тематикою роботи, сформульовано мету та завдання. Для отримання наукових результатів було розроблено схеми та закладено лабораторні досліди, виконано обробку й узагальнення отриманих даних, підготовлено публікації за матеріалами дисертації. Виконано роботи з вирощування мікроклональних саджанців винограду для закл</w:t>
      </w:r>
      <w:r w:rsidR="004B64FE">
        <w:rPr>
          <w:rFonts w:ascii="Times New Roman" w:hAnsi="Times New Roman" w:cs="Times New Roman"/>
          <w:color w:val="000000" w:themeColor="text1"/>
          <w:sz w:val="28"/>
          <w:szCs w:val="28"/>
        </w:rPr>
        <w:t>адання</w:t>
      </w:r>
      <w:r w:rsidRPr="00CC7883">
        <w:rPr>
          <w:rFonts w:ascii="Times New Roman" w:hAnsi="Times New Roman" w:cs="Times New Roman"/>
          <w:color w:val="000000" w:themeColor="text1"/>
          <w:sz w:val="28"/>
          <w:szCs w:val="28"/>
        </w:rPr>
        <w:t xml:space="preserve"> базового маточника в польових умовах. Під час узагальнення результатів та формування висновків враховано рекомендації наукового керівника та фахівців ННЦ «ІВіВ імені В.</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Є.</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Таїрова» НААН України.</w:t>
      </w:r>
    </w:p>
    <w:p w:rsidR="00DA0FC3" w:rsidRPr="00CC7883" w:rsidRDefault="00DA0FC3" w:rsidP="00047411">
      <w:pPr>
        <w:pStyle w:val="a7"/>
        <w:widowControl w:val="0"/>
        <w:spacing w:after="0" w:line="360" w:lineRule="auto"/>
        <w:ind w:left="0" w:firstLine="720"/>
        <w:jc w:val="both"/>
        <w:rPr>
          <w:rFonts w:ascii="Times New Roman" w:hAnsi="Times New Roman" w:cs="Times New Roman"/>
          <w:color w:val="000000" w:themeColor="text1"/>
          <w:sz w:val="28"/>
        </w:rPr>
      </w:pPr>
      <w:r w:rsidRPr="00CC7883">
        <w:rPr>
          <w:rFonts w:ascii="Times New Roman" w:hAnsi="Times New Roman" w:cs="Times New Roman"/>
          <w:b/>
          <w:color w:val="000000" w:themeColor="text1"/>
          <w:sz w:val="28"/>
        </w:rPr>
        <w:t>Апробація результатів дисертації</w:t>
      </w:r>
      <w:r w:rsidRPr="00CC7883">
        <w:rPr>
          <w:rFonts w:ascii="Times New Roman" w:hAnsi="Times New Roman" w:cs="Times New Roman"/>
          <w:color w:val="000000" w:themeColor="text1"/>
          <w:sz w:val="28"/>
        </w:rPr>
        <w:t xml:space="preserve">. Основні результати дисертаційної роботи </w:t>
      </w:r>
      <w:r w:rsidR="00C528A3">
        <w:rPr>
          <w:rFonts w:ascii="Times New Roman" w:hAnsi="Times New Roman" w:cs="Times New Roman"/>
          <w:color w:val="000000" w:themeColor="text1"/>
          <w:sz w:val="28"/>
        </w:rPr>
        <w:t>були представлені</w:t>
      </w:r>
      <w:r w:rsidRPr="00CC7883">
        <w:rPr>
          <w:rFonts w:ascii="Times New Roman" w:hAnsi="Times New Roman" w:cs="Times New Roman"/>
          <w:color w:val="000000" w:themeColor="text1"/>
          <w:sz w:val="28"/>
        </w:rPr>
        <w:t xml:space="preserve"> </w:t>
      </w:r>
      <w:r w:rsidR="00C528A3">
        <w:rPr>
          <w:rFonts w:ascii="Times New Roman" w:hAnsi="Times New Roman" w:cs="Times New Roman"/>
          <w:color w:val="000000" w:themeColor="text1"/>
          <w:sz w:val="28"/>
        </w:rPr>
        <w:t>й</w:t>
      </w:r>
      <w:r w:rsidRPr="00CC7883">
        <w:rPr>
          <w:rFonts w:ascii="Times New Roman" w:hAnsi="Times New Roman" w:cs="Times New Roman"/>
          <w:color w:val="000000" w:themeColor="text1"/>
          <w:sz w:val="28"/>
        </w:rPr>
        <w:t xml:space="preserve"> обговор</w:t>
      </w:r>
      <w:r w:rsidR="00C528A3">
        <w:rPr>
          <w:rFonts w:ascii="Times New Roman" w:hAnsi="Times New Roman" w:cs="Times New Roman"/>
          <w:color w:val="000000" w:themeColor="text1"/>
          <w:sz w:val="28"/>
        </w:rPr>
        <w:t>ені</w:t>
      </w:r>
      <w:r w:rsidRPr="00CC7883">
        <w:rPr>
          <w:rFonts w:ascii="Times New Roman" w:hAnsi="Times New Roman" w:cs="Times New Roman"/>
          <w:color w:val="000000" w:themeColor="text1"/>
          <w:sz w:val="28"/>
        </w:rPr>
        <w:t xml:space="preserve"> на:</w:t>
      </w:r>
    </w:p>
    <w:p w:rsidR="00DA0FC3" w:rsidRPr="00CC7883" w:rsidRDefault="00DA0FC3"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засіданнях </w:t>
      </w:r>
      <w:r w:rsidR="001E2EFD" w:rsidRPr="00CC7883">
        <w:rPr>
          <w:rFonts w:ascii="Times New Roman" w:hAnsi="Times New Roman" w:cs="Times New Roman"/>
          <w:color w:val="000000" w:themeColor="text1"/>
          <w:sz w:val="28"/>
        </w:rPr>
        <w:t>В</w:t>
      </w:r>
      <w:r w:rsidRPr="00CC7883">
        <w:rPr>
          <w:rFonts w:ascii="Times New Roman" w:hAnsi="Times New Roman" w:cs="Times New Roman"/>
          <w:color w:val="000000" w:themeColor="text1"/>
          <w:sz w:val="28"/>
        </w:rPr>
        <w:t>ченої ради ННЦ «ІВіВ ім. В.</w:t>
      </w:r>
      <w:r w:rsidR="00396E12">
        <w:rPr>
          <w:rFonts w:ascii="Times New Roman" w:hAnsi="Times New Roman" w:cs="Times New Roman"/>
          <w:color w:val="000000" w:themeColor="text1"/>
          <w:sz w:val="28"/>
        </w:rPr>
        <w:t> </w:t>
      </w:r>
      <w:r w:rsidRPr="00CC7883">
        <w:rPr>
          <w:rFonts w:ascii="Times New Roman" w:hAnsi="Times New Roman" w:cs="Times New Roman"/>
          <w:color w:val="000000" w:themeColor="text1"/>
          <w:sz w:val="28"/>
        </w:rPr>
        <w:t>Є.</w:t>
      </w:r>
      <w:r w:rsidR="00396E12">
        <w:rPr>
          <w:rFonts w:ascii="Times New Roman" w:hAnsi="Times New Roman" w:cs="Times New Roman"/>
          <w:color w:val="000000" w:themeColor="text1"/>
          <w:sz w:val="28"/>
        </w:rPr>
        <w:t> </w:t>
      </w:r>
      <w:r w:rsidRPr="00CC7883">
        <w:rPr>
          <w:rFonts w:ascii="Times New Roman" w:hAnsi="Times New Roman" w:cs="Times New Roman"/>
          <w:color w:val="000000" w:themeColor="text1"/>
          <w:sz w:val="28"/>
        </w:rPr>
        <w:t>Таїрова» НААН України з 2019 по 2022 рр.;</w:t>
      </w:r>
    </w:p>
    <w:p w:rsidR="00DA0FC3" w:rsidRPr="00CC7883" w:rsidRDefault="00DA0FC3"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lastRenderedPageBreak/>
        <w:t>науково-практичній конференції «Розвиток наукових міжгалузевих досліджень» (м. Вінниця, Україна,</w:t>
      </w:r>
      <w:r w:rsidRPr="00CC7883">
        <w:rPr>
          <w:rFonts w:ascii="Times New Roman" w:hAnsi="Times New Roman" w:cs="Times New Roman"/>
          <w:color w:val="000000" w:themeColor="text1"/>
          <w:sz w:val="28"/>
          <w:szCs w:val="28"/>
        </w:rPr>
        <w:t xml:space="preserve"> 26–27 листопада 2021 р.</w:t>
      </w:r>
      <w:r w:rsidRPr="00CC7883">
        <w:rPr>
          <w:rFonts w:ascii="Times New Roman" w:hAnsi="Times New Roman" w:cs="Times New Roman"/>
          <w:color w:val="000000" w:themeColor="text1"/>
          <w:sz w:val="28"/>
        </w:rPr>
        <w:t>);</w:t>
      </w:r>
    </w:p>
    <w:p w:rsidR="00F210B7" w:rsidRPr="00CC7883"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international scientific conference «The Globalization of Scientific Knowledge: Theoretical and Practical Research» (м. Рига, Латвія, 17–18 грудня 2021 р.);</w:t>
      </w:r>
    </w:p>
    <w:p w:rsidR="00F210B7" w:rsidRPr="00CC7883"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international scientific conference «The latest scientific achievements in the modern agro-industrial complex» (м. Люблін, Польща, 28–29 грудня 2021 р.);</w:t>
      </w:r>
    </w:p>
    <w:p w:rsidR="00F210B7" w:rsidRPr="00CC7883"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the 7th international scientific and practical conference </w:t>
      </w:r>
      <w:r w:rsidR="008412A0">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International scientific innovations in human life</w:t>
      </w:r>
      <w:r w:rsidR="008412A0">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(м. </w:t>
      </w:r>
      <w:r w:rsidRPr="00CC7883">
        <w:rPr>
          <w:rFonts w:ascii="Times New Roman" w:hAnsi="Times New Roman" w:cs="Times New Roman"/>
          <w:color w:val="000000" w:themeColor="text1"/>
          <w:sz w:val="28"/>
          <w:szCs w:val="28"/>
        </w:rPr>
        <w:t>Манчестер, Велика Британія, 19–21 січня 2022 р.)</w:t>
      </w:r>
      <w:r w:rsidRPr="00CC7883">
        <w:rPr>
          <w:rFonts w:ascii="Times New Roman" w:hAnsi="Times New Roman" w:cs="Times New Roman"/>
          <w:color w:val="000000" w:themeColor="text1"/>
          <w:sz w:val="28"/>
        </w:rPr>
        <w:t xml:space="preserve">; </w:t>
      </w:r>
    </w:p>
    <w:p w:rsidR="00F210B7" w:rsidRPr="00CC7883"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the 6th international scientific and practical conference «Global and Regional Aspects of Sustainable Development» (м. Копенгаген, Данія, 26–28 лютня 2022 р.);</w:t>
      </w:r>
    </w:p>
    <w:p w:rsidR="00F210B7" w:rsidRPr="00CC7883"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the 11th international scientific and practical conference «Scientific Research in XXI Century» </w:t>
      </w:r>
      <w:r w:rsidRPr="00CC7883">
        <w:rPr>
          <w:rFonts w:ascii="Times New Roman" w:hAnsi="Times New Roman" w:cs="Times New Roman"/>
          <w:color w:val="000000" w:themeColor="text1"/>
          <w:sz w:val="28"/>
          <w:szCs w:val="28"/>
        </w:rPr>
        <w:t>(м. Оттава, Канада, 6–8 березня 2022 р.)</w:t>
      </w:r>
      <w:r w:rsidRPr="00CC7883">
        <w:rPr>
          <w:rFonts w:ascii="Times New Roman" w:hAnsi="Times New Roman" w:cs="Times New Roman"/>
          <w:color w:val="000000" w:themeColor="text1"/>
          <w:sz w:val="28"/>
        </w:rPr>
        <w:t>;</w:t>
      </w:r>
    </w:p>
    <w:p w:rsidR="00F210B7" w:rsidRPr="00CC7883"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Х міжнародній науково-практичній конференції молодих вчених і спеціалістів «Селекція, генетика та технології вирощування сільськогосподарських культур» (с. Центральне, Україна, 29 квітня 2022 р.);</w:t>
      </w:r>
    </w:p>
    <w:p w:rsidR="00F210B7" w:rsidRPr="00CC7883"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the 2nd international scientific and practical conference «Modern research in world science» </w:t>
      </w:r>
      <w:r w:rsidRPr="00CC7883">
        <w:rPr>
          <w:rFonts w:ascii="Times New Roman" w:hAnsi="Times New Roman" w:cs="Times New Roman"/>
          <w:color w:val="000000" w:themeColor="text1"/>
          <w:sz w:val="28"/>
          <w:szCs w:val="28"/>
        </w:rPr>
        <w:t>(м. Львів, Україна, 15–17 травня 2022 р.)</w:t>
      </w:r>
      <w:r w:rsidRPr="00CC7883">
        <w:rPr>
          <w:rFonts w:ascii="Times New Roman" w:hAnsi="Times New Roman" w:cs="Times New Roman"/>
          <w:color w:val="000000" w:themeColor="text1"/>
          <w:sz w:val="28"/>
        </w:rPr>
        <w:t>;</w:t>
      </w:r>
    </w:p>
    <w:p w:rsidR="00F210B7" w:rsidRPr="00CC7883"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всеукраїнській науковій інтернет-конференції «Сучасні проблеми біології в умовах змін клімату» (м. Умань, Україна, 22 червня 2022 р.);</w:t>
      </w:r>
    </w:p>
    <w:p w:rsidR="00F210B7" w:rsidRPr="00CC7883"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the 2nd international scientific and practical conference «Recent Advances in Scientific World» </w:t>
      </w:r>
      <w:r w:rsidRPr="00CC7883">
        <w:rPr>
          <w:rFonts w:ascii="Times New Roman" w:hAnsi="Times New Roman" w:cs="Times New Roman"/>
          <w:color w:val="000000" w:themeColor="text1"/>
          <w:sz w:val="28"/>
          <w:szCs w:val="28"/>
        </w:rPr>
        <w:t xml:space="preserve">(м. </w:t>
      </w:r>
      <w:r w:rsidR="004B64FE" w:rsidRPr="00CC7883">
        <w:rPr>
          <w:rFonts w:ascii="Times New Roman" w:hAnsi="Times New Roman" w:cs="Times New Roman"/>
          <w:color w:val="000000" w:themeColor="text1"/>
          <w:sz w:val="28"/>
          <w:szCs w:val="28"/>
        </w:rPr>
        <w:t>Монт</w:t>
      </w:r>
      <w:r w:rsidR="00354F0D">
        <w:rPr>
          <w:rFonts w:ascii="Times New Roman" w:hAnsi="Times New Roman" w:cs="Times New Roman"/>
          <w:color w:val="000000" w:themeColor="text1"/>
          <w:sz w:val="28"/>
          <w:szCs w:val="28"/>
        </w:rPr>
        <w:t>р</w:t>
      </w:r>
      <w:r w:rsidR="004B64FE" w:rsidRPr="00CC7883">
        <w:rPr>
          <w:rFonts w:ascii="Times New Roman" w:hAnsi="Times New Roman" w:cs="Times New Roman"/>
          <w:color w:val="000000" w:themeColor="text1"/>
          <w:sz w:val="28"/>
          <w:szCs w:val="28"/>
        </w:rPr>
        <w:t>ерре</w:t>
      </w:r>
      <w:r w:rsidR="004B64FE">
        <w:rPr>
          <w:rFonts w:ascii="Times New Roman" w:hAnsi="Times New Roman" w:cs="Times New Roman"/>
          <w:color w:val="000000" w:themeColor="text1"/>
          <w:sz w:val="28"/>
          <w:szCs w:val="28"/>
        </w:rPr>
        <w:t>й</w:t>
      </w:r>
      <w:r w:rsidRPr="00CC7883">
        <w:rPr>
          <w:rFonts w:ascii="Times New Roman" w:hAnsi="Times New Roman" w:cs="Times New Roman"/>
          <w:color w:val="000000" w:themeColor="text1"/>
          <w:sz w:val="28"/>
          <w:szCs w:val="28"/>
        </w:rPr>
        <w:t>, Мексика, 6–8 серпня 2022 р.)</w:t>
      </w:r>
      <w:r w:rsidRPr="00CC7883">
        <w:rPr>
          <w:rFonts w:ascii="Times New Roman" w:hAnsi="Times New Roman" w:cs="Times New Roman"/>
          <w:color w:val="000000" w:themeColor="text1"/>
          <w:sz w:val="28"/>
        </w:rPr>
        <w:t>;</w:t>
      </w:r>
    </w:p>
    <w:p w:rsidR="00F210B7" w:rsidRPr="00CC7883"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the 5th international scientific and practical conference «Modern research in world science» </w:t>
      </w:r>
      <w:r w:rsidRPr="00CC7883">
        <w:rPr>
          <w:rFonts w:ascii="Times New Roman" w:hAnsi="Times New Roman" w:cs="Times New Roman"/>
          <w:color w:val="000000" w:themeColor="text1"/>
          <w:sz w:val="28"/>
          <w:szCs w:val="28"/>
        </w:rPr>
        <w:t>(м. Львів, Україна, 7–9 серпня 2022 р.)</w:t>
      </w:r>
      <w:r w:rsidRPr="00CC7883">
        <w:rPr>
          <w:rFonts w:ascii="Times New Roman" w:hAnsi="Times New Roman" w:cs="Times New Roman"/>
          <w:color w:val="000000" w:themeColor="text1"/>
          <w:sz w:val="28"/>
        </w:rPr>
        <w:t>;</w:t>
      </w:r>
    </w:p>
    <w:p w:rsidR="00F210B7" w:rsidRDefault="00F210B7"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international scientific conference «Forecasts and prospects of scientific discoveries in agricultural sciences and food» </w:t>
      </w:r>
      <w:r w:rsidRPr="00CC7883">
        <w:rPr>
          <w:rFonts w:ascii="Times New Roman" w:hAnsi="Times New Roman" w:cs="Times New Roman"/>
          <w:color w:val="000000" w:themeColor="text1"/>
          <w:sz w:val="28"/>
          <w:szCs w:val="28"/>
        </w:rPr>
        <w:t>(м. Рига, Латвія, 30–31 серп</w:t>
      </w:r>
      <w:r w:rsidR="00824C8E">
        <w:rPr>
          <w:rFonts w:ascii="Times New Roman" w:hAnsi="Times New Roman" w:cs="Times New Roman"/>
          <w:color w:val="000000" w:themeColor="text1"/>
          <w:sz w:val="28"/>
          <w:szCs w:val="28"/>
        </w:rPr>
        <w:t>ня</w:t>
      </w:r>
      <w:r w:rsidRPr="00CC7883">
        <w:rPr>
          <w:rFonts w:ascii="Times New Roman" w:hAnsi="Times New Roman" w:cs="Times New Roman"/>
          <w:color w:val="000000" w:themeColor="text1"/>
          <w:sz w:val="28"/>
          <w:szCs w:val="28"/>
        </w:rPr>
        <w:t xml:space="preserve"> 2022 р.)</w:t>
      </w:r>
      <w:r w:rsidR="00824C8E">
        <w:rPr>
          <w:rFonts w:ascii="Times New Roman" w:hAnsi="Times New Roman" w:cs="Times New Roman"/>
          <w:color w:val="000000" w:themeColor="text1"/>
          <w:sz w:val="28"/>
        </w:rPr>
        <w:t>;</w:t>
      </w:r>
    </w:p>
    <w:p w:rsidR="00354F0D" w:rsidRPr="00CC7883" w:rsidRDefault="00354F0D" w:rsidP="007A1085">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354F0D">
        <w:rPr>
          <w:rFonts w:ascii="Times New Roman" w:hAnsi="Times New Roman" w:cs="Times New Roman"/>
          <w:color w:val="000000" w:themeColor="text1"/>
          <w:sz w:val="28"/>
        </w:rPr>
        <w:t>beynəlxalq konfrans</w:t>
      </w:r>
      <w:r w:rsidRPr="00354F0D">
        <w:rPr>
          <w:rFonts w:ascii="Times New Roman" w:hAnsi="Times New Roman" w:cs="Times New Roman" w:hint="cs"/>
          <w:color w:val="000000" w:themeColor="text1"/>
          <w:sz w:val="28"/>
        </w:rPr>
        <w:t>ı</w:t>
      </w:r>
      <w:r w:rsidRPr="00354F0D">
        <w:rPr>
          <w:rFonts w:ascii="Times New Roman" w:hAnsi="Times New Roman" w:cs="Times New Roman"/>
          <w:color w:val="000000" w:themeColor="text1"/>
          <w:sz w:val="28"/>
        </w:rPr>
        <w:t>n materiallar</w:t>
      </w:r>
      <w:r w:rsidRPr="00354F0D">
        <w:rPr>
          <w:rFonts w:ascii="Times New Roman" w:hAnsi="Times New Roman" w:cs="Times New Roman" w:hint="cs"/>
          <w:color w:val="000000" w:themeColor="text1"/>
          <w:sz w:val="28"/>
        </w:rPr>
        <w:t>ı</w:t>
      </w:r>
      <w:r w:rsidR="007A1085">
        <w:rPr>
          <w:rFonts w:ascii="Times New Roman" w:hAnsi="Times New Roman" w:cs="Times New Roman"/>
          <w:color w:val="000000" w:themeColor="text1"/>
          <w:sz w:val="28"/>
        </w:rPr>
        <w:t xml:space="preserve"> «</w:t>
      </w:r>
      <w:r w:rsidR="007A1085" w:rsidRPr="007A1085">
        <w:rPr>
          <w:rFonts w:ascii="Times New Roman" w:hAnsi="Times New Roman"/>
          <w:color w:val="000000" w:themeColor="text1"/>
          <w:sz w:val="28"/>
          <w:szCs w:val="28"/>
        </w:rPr>
        <w:t xml:space="preserve">Şuşa və ətraf ərazilərin biomüxtəlifliyi, </w:t>
      </w:r>
      <w:r w:rsidR="007A1085" w:rsidRPr="007A1085">
        <w:rPr>
          <w:rFonts w:ascii="Times New Roman" w:hAnsi="Times New Roman"/>
          <w:color w:val="000000" w:themeColor="text1"/>
          <w:sz w:val="28"/>
          <w:szCs w:val="28"/>
        </w:rPr>
        <w:lastRenderedPageBreak/>
        <w:t>torpaq və su ehtiyatları: gələcəyə baxış</w:t>
      </w:r>
      <w:r w:rsidR="007A1085">
        <w:rPr>
          <w:rFonts w:ascii="Times New Roman" w:hAnsi="Times New Roman"/>
          <w:color w:val="000000" w:themeColor="text1"/>
          <w:sz w:val="28"/>
          <w:szCs w:val="28"/>
        </w:rPr>
        <w:t>»</w:t>
      </w:r>
      <w:r w:rsidRPr="00354F0D">
        <w:rPr>
          <w:rFonts w:ascii="Times New Roman" w:hAnsi="Times New Roman" w:cs="Times New Roman"/>
          <w:color w:val="000000" w:themeColor="text1"/>
          <w:sz w:val="28"/>
        </w:rPr>
        <w:t xml:space="preserve"> (</w:t>
      </w:r>
      <w:r w:rsidRPr="00354F0D">
        <w:rPr>
          <w:rFonts w:ascii="Times New Roman" w:hAnsi="Times New Roman" w:cs="Times New Roman" w:hint="cs"/>
          <w:color w:val="000000" w:themeColor="text1"/>
          <w:sz w:val="28"/>
        </w:rPr>
        <w:t>Ş</w:t>
      </w:r>
      <w:r w:rsidRPr="00354F0D">
        <w:rPr>
          <w:rFonts w:ascii="Times New Roman" w:hAnsi="Times New Roman" w:cs="Times New Roman"/>
          <w:color w:val="000000" w:themeColor="text1"/>
          <w:sz w:val="28"/>
        </w:rPr>
        <w:t>u</w:t>
      </w:r>
      <w:r w:rsidRPr="00354F0D">
        <w:rPr>
          <w:rFonts w:ascii="Times New Roman" w:hAnsi="Times New Roman" w:cs="Times New Roman" w:hint="cs"/>
          <w:color w:val="000000" w:themeColor="text1"/>
          <w:sz w:val="28"/>
        </w:rPr>
        <w:t>şа</w:t>
      </w:r>
      <w:r w:rsidRPr="00354F0D">
        <w:rPr>
          <w:rFonts w:ascii="Times New Roman" w:hAnsi="Times New Roman" w:cs="Times New Roman"/>
          <w:color w:val="000000" w:themeColor="text1"/>
          <w:sz w:val="28"/>
        </w:rPr>
        <w:t>, 22</w:t>
      </w:r>
      <w:r w:rsidRPr="00354F0D">
        <w:rPr>
          <w:rFonts w:ascii="Times New Roman" w:hAnsi="Times New Roman" w:cs="Times New Roman" w:hint="cs"/>
          <w:color w:val="000000" w:themeColor="text1"/>
          <w:sz w:val="28"/>
        </w:rPr>
        <w:t>–</w:t>
      </w:r>
      <w:r w:rsidRPr="00354F0D">
        <w:rPr>
          <w:rFonts w:ascii="Times New Roman" w:hAnsi="Times New Roman" w:cs="Times New Roman"/>
          <w:color w:val="000000" w:themeColor="text1"/>
          <w:sz w:val="28"/>
        </w:rPr>
        <w:t>24 senyabr 2022-ci il)</w:t>
      </w:r>
      <w:r w:rsidR="007A1085">
        <w:rPr>
          <w:rFonts w:ascii="Times New Roman" w:hAnsi="Times New Roman" w:cs="Times New Roman"/>
          <w:color w:val="000000" w:themeColor="text1"/>
          <w:sz w:val="28"/>
        </w:rPr>
        <w:t>;</w:t>
      </w:r>
    </w:p>
    <w:p w:rsidR="00DA0FC3" w:rsidRPr="00CC7883" w:rsidRDefault="001E2EFD" w:rsidP="00047411">
      <w:pPr>
        <w:pStyle w:val="a7"/>
        <w:widowControl w:val="0"/>
        <w:numPr>
          <w:ilvl w:val="0"/>
          <w:numId w:val="9"/>
        </w:numPr>
        <w:spacing w:after="0" w:line="360" w:lineRule="auto"/>
        <w:ind w:left="0" w:firstLine="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п</w:t>
      </w:r>
      <w:r w:rsidR="00DA0FC3" w:rsidRPr="00CC7883">
        <w:rPr>
          <w:rFonts w:ascii="Times New Roman" w:hAnsi="Times New Roman" w:cs="Times New Roman"/>
          <w:color w:val="000000" w:themeColor="text1"/>
          <w:sz w:val="28"/>
        </w:rPr>
        <w:t xml:space="preserve">рограма курсів підвищення кваліфікації наукових і науково-педагогічних працівників «Удосконалені прийоми культивування винограду </w:t>
      </w:r>
      <w:r w:rsidR="000553AD" w:rsidRPr="00CC7883">
        <w:rPr>
          <w:rFonts w:ascii="Times New Roman" w:hAnsi="Times New Roman" w:cs="Times New Roman"/>
          <w:i/>
          <w:color w:val="000000" w:themeColor="text1"/>
          <w:sz w:val="28"/>
        </w:rPr>
        <w:t>in vitro</w:t>
      </w:r>
      <w:r w:rsidR="00DA0FC3" w:rsidRPr="00CC7883">
        <w:rPr>
          <w:rFonts w:ascii="Times New Roman" w:hAnsi="Times New Roman" w:cs="Times New Roman"/>
          <w:color w:val="000000" w:themeColor="text1"/>
          <w:sz w:val="28"/>
        </w:rPr>
        <w:t>» (м. Одеса, Україна, 2024 р.)</w:t>
      </w:r>
      <w:r w:rsidR="004B64FE">
        <w:rPr>
          <w:rFonts w:ascii="Times New Roman" w:hAnsi="Times New Roman" w:cs="Times New Roman"/>
          <w:color w:val="000000" w:themeColor="text1"/>
          <w:sz w:val="28"/>
        </w:rPr>
        <w:t>.</w:t>
      </w:r>
    </w:p>
    <w:p w:rsidR="00DA0FC3" w:rsidRPr="00CC7883" w:rsidRDefault="00DA0FC3" w:rsidP="00047411">
      <w:pPr>
        <w:pStyle w:val="a7"/>
        <w:widowControl w:val="0"/>
        <w:spacing w:after="0" w:line="360" w:lineRule="auto"/>
        <w:ind w:left="0" w:firstLine="720"/>
        <w:jc w:val="both"/>
        <w:rPr>
          <w:rFonts w:ascii="Times New Roman" w:hAnsi="Times New Roman" w:cs="Times New Roman"/>
          <w:color w:val="000000" w:themeColor="text1"/>
          <w:sz w:val="28"/>
          <w:szCs w:val="28"/>
        </w:rPr>
      </w:pPr>
      <w:r w:rsidRPr="00CC7883">
        <w:rPr>
          <w:rFonts w:ascii="Times New Roman" w:hAnsi="Times New Roman" w:cs="Times New Roman"/>
          <w:b/>
          <w:color w:val="000000" w:themeColor="text1"/>
          <w:sz w:val="28"/>
        </w:rPr>
        <w:t>Публікації</w:t>
      </w:r>
      <w:r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szCs w:val="28"/>
        </w:rPr>
        <w:t>За матеріалами дисертаційної роботи опубліковано</w:t>
      </w:r>
      <w:r w:rsidR="00AD70BD"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18</w:t>
      </w:r>
      <w:r w:rsidR="0067187F"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наукових праць,</w:t>
      </w:r>
      <w:r w:rsidR="00B52E9D"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у тому числі:</w:t>
      </w:r>
      <w:r w:rsidR="00B52E9D"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одна стаття у виданні, яке включене до міжнародної наукометричної бази Scopus, 3 статті у виданнях, включених до переліку фахових періодичних видань України, 1 стаття – у зарубіжн</w:t>
      </w:r>
      <w:r w:rsidR="0079090D" w:rsidRPr="00CC7883">
        <w:rPr>
          <w:rFonts w:ascii="Times New Roman" w:hAnsi="Times New Roman" w:cs="Times New Roman"/>
          <w:color w:val="000000" w:themeColor="text1"/>
          <w:sz w:val="28"/>
          <w:szCs w:val="28"/>
        </w:rPr>
        <w:t>ому</w:t>
      </w:r>
      <w:r w:rsidRPr="00CC7883">
        <w:rPr>
          <w:rFonts w:ascii="Times New Roman" w:hAnsi="Times New Roman" w:cs="Times New Roman"/>
          <w:color w:val="000000" w:themeColor="text1"/>
          <w:sz w:val="28"/>
          <w:szCs w:val="28"/>
        </w:rPr>
        <w:t xml:space="preserve"> виданн</w:t>
      </w:r>
      <w:r w:rsidR="0079090D" w:rsidRPr="00CC7883">
        <w:rPr>
          <w:rFonts w:ascii="Times New Roman" w:hAnsi="Times New Roman" w:cs="Times New Roman"/>
          <w:color w:val="000000" w:themeColor="text1"/>
          <w:sz w:val="28"/>
          <w:szCs w:val="28"/>
        </w:rPr>
        <w:t>і</w:t>
      </w:r>
      <w:r w:rsidRPr="00CC7883">
        <w:rPr>
          <w:rFonts w:ascii="Times New Roman" w:hAnsi="Times New Roman" w:cs="Times New Roman"/>
          <w:color w:val="000000" w:themeColor="text1"/>
          <w:sz w:val="28"/>
          <w:szCs w:val="28"/>
        </w:rPr>
        <w:t>, 13 публікацій – матеріали і тези конференцій (</w:t>
      </w:r>
      <w:r w:rsidR="002C064A">
        <w:rPr>
          <w:rFonts w:ascii="Times New Roman" w:hAnsi="Times New Roman" w:cs="Times New Roman"/>
          <w:color w:val="000000" w:themeColor="text1"/>
          <w:sz w:val="28"/>
          <w:szCs w:val="28"/>
        </w:rPr>
        <w:t>д</w:t>
      </w:r>
      <w:r w:rsidRPr="00CC7883">
        <w:rPr>
          <w:rFonts w:ascii="Times New Roman" w:hAnsi="Times New Roman" w:cs="Times New Roman"/>
          <w:color w:val="000000" w:themeColor="text1"/>
          <w:sz w:val="28"/>
          <w:szCs w:val="28"/>
        </w:rPr>
        <w:t xml:space="preserve">одаток </w:t>
      </w:r>
      <w:r w:rsidR="009D6D3A" w:rsidRPr="00CC7883">
        <w:rPr>
          <w:rFonts w:ascii="Times New Roman" w:hAnsi="Times New Roman" w:cs="Times New Roman"/>
          <w:color w:val="000000" w:themeColor="text1"/>
          <w:sz w:val="28"/>
          <w:szCs w:val="28"/>
        </w:rPr>
        <w:t>Б</w:t>
      </w:r>
      <w:r w:rsidRPr="00CC7883">
        <w:rPr>
          <w:rFonts w:ascii="Times New Roman" w:hAnsi="Times New Roman" w:cs="Times New Roman"/>
          <w:color w:val="000000" w:themeColor="text1"/>
          <w:sz w:val="28"/>
          <w:szCs w:val="28"/>
        </w:rPr>
        <w:t>).</w:t>
      </w:r>
    </w:p>
    <w:p w:rsidR="00B92086" w:rsidRPr="00CC7883" w:rsidRDefault="00DA0FC3" w:rsidP="00047411">
      <w:pPr>
        <w:pStyle w:val="a7"/>
        <w:widowControl w:val="0"/>
        <w:spacing w:after="0" w:line="360" w:lineRule="auto"/>
        <w:ind w:left="0" w:firstLine="720"/>
        <w:jc w:val="both"/>
        <w:rPr>
          <w:rFonts w:ascii="Times New Roman" w:hAnsi="Times New Roman" w:cs="Times New Roman"/>
          <w:color w:val="000000" w:themeColor="text1"/>
          <w:sz w:val="28"/>
          <w:szCs w:val="28"/>
        </w:rPr>
      </w:pPr>
      <w:r w:rsidRPr="00CC7883">
        <w:rPr>
          <w:rFonts w:ascii="Times New Roman" w:hAnsi="Times New Roman" w:cs="Times New Roman"/>
          <w:b/>
          <w:color w:val="000000" w:themeColor="text1"/>
          <w:sz w:val="28"/>
        </w:rPr>
        <w:t>Структура та обсяг роботи</w:t>
      </w:r>
      <w:r w:rsidRPr="00CC7883">
        <w:rPr>
          <w:rFonts w:ascii="Times New Roman" w:hAnsi="Times New Roman" w:cs="Times New Roman"/>
          <w:color w:val="000000" w:themeColor="text1"/>
          <w:sz w:val="28"/>
        </w:rPr>
        <w:t xml:space="preserve">. Дисертаційну роботу викладено на </w:t>
      </w:r>
      <w:r w:rsidR="00647B7A" w:rsidRPr="00CC7883">
        <w:rPr>
          <w:rFonts w:ascii="Times New Roman" w:hAnsi="Times New Roman" w:cs="Times New Roman"/>
          <w:color w:val="000000" w:themeColor="text1"/>
          <w:sz w:val="28"/>
        </w:rPr>
        <w:t>3</w:t>
      </w:r>
      <w:r w:rsidR="00D953A2" w:rsidRPr="00CC7883">
        <w:rPr>
          <w:rFonts w:ascii="Times New Roman" w:hAnsi="Times New Roman" w:cs="Times New Roman"/>
          <w:color w:val="000000" w:themeColor="text1"/>
          <w:sz w:val="28"/>
        </w:rPr>
        <w:t>7</w:t>
      </w:r>
      <w:r w:rsidR="00917B9C">
        <w:rPr>
          <w:rFonts w:ascii="Times New Roman" w:hAnsi="Times New Roman" w:cs="Times New Roman"/>
          <w:color w:val="000000" w:themeColor="text1"/>
          <w:sz w:val="28"/>
          <w:lang w:val="ru-RU"/>
        </w:rPr>
        <w:t>1</w:t>
      </w:r>
      <w:r w:rsidRPr="00CC7883">
        <w:rPr>
          <w:rFonts w:ascii="Times New Roman" w:hAnsi="Times New Roman" w:cs="Times New Roman"/>
          <w:color w:val="000000" w:themeColor="text1"/>
          <w:sz w:val="28"/>
        </w:rPr>
        <w:t xml:space="preserve"> сторінках друкованого</w:t>
      </w:r>
      <w:r w:rsidR="00CB0161" w:rsidRPr="00CC7883">
        <w:rPr>
          <w:rFonts w:ascii="Times New Roman" w:hAnsi="Times New Roman" w:cs="Times New Roman"/>
          <w:color w:val="000000" w:themeColor="text1"/>
          <w:sz w:val="28"/>
        </w:rPr>
        <w:t xml:space="preserve"> тексту, </w:t>
      </w:r>
      <w:r w:rsidR="00C449F1">
        <w:rPr>
          <w:rFonts w:ascii="Times New Roman" w:hAnsi="Times New Roman" w:cs="Times New Roman"/>
          <w:color w:val="000000" w:themeColor="text1"/>
          <w:sz w:val="28"/>
        </w:rPr>
        <w:t>що охоплює</w:t>
      </w:r>
      <w:r w:rsidR="00CB0161" w:rsidRPr="00CC7883">
        <w:rPr>
          <w:rFonts w:ascii="Times New Roman" w:hAnsi="Times New Roman" w:cs="Times New Roman"/>
          <w:color w:val="000000" w:themeColor="text1"/>
          <w:sz w:val="28"/>
        </w:rPr>
        <w:t>: вступ, 9</w:t>
      </w:r>
      <w:r w:rsidRPr="00CC7883">
        <w:rPr>
          <w:rFonts w:ascii="Times New Roman" w:hAnsi="Times New Roman" w:cs="Times New Roman"/>
          <w:color w:val="000000" w:themeColor="text1"/>
          <w:sz w:val="28"/>
        </w:rPr>
        <w:t xml:space="preserve"> розділів, висновки, практичні рекомендації, список використаних літературних джерел (із них </w:t>
      </w:r>
      <w:r w:rsidR="005B2DBA" w:rsidRPr="00CC7883">
        <w:rPr>
          <w:rFonts w:ascii="Times New Roman" w:hAnsi="Times New Roman" w:cs="Times New Roman"/>
          <w:color w:val="000000" w:themeColor="text1"/>
          <w:sz w:val="28"/>
        </w:rPr>
        <w:t>7</w:t>
      </w:r>
      <w:r w:rsidR="00AE53F0" w:rsidRPr="00CC7883">
        <w:rPr>
          <w:rFonts w:ascii="Times New Roman" w:hAnsi="Times New Roman" w:cs="Times New Roman"/>
          <w:color w:val="000000" w:themeColor="text1"/>
          <w:sz w:val="28"/>
        </w:rPr>
        <w:t>0</w:t>
      </w:r>
      <w:r w:rsidRPr="00CC7883">
        <w:rPr>
          <w:rFonts w:ascii="Times New Roman" w:hAnsi="Times New Roman" w:cs="Times New Roman"/>
          <w:color w:val="000000" w:themeColor="text1"/>
          <w:sz w:val="28"/>
        </w:rPr>
        <w:t xml:space="preserve"> кирилицею, </w:t>
      </w:r>
      <w:r w:rsidR="008D10C4" w:rsidRPr="00CC7883">
        <w:rPr>
          <w:rFonts w:ascii="Times New Roman" w:hAnsi="Times New Roman" w:cs="Times New Roman"/>
          <w:color w:val="000000" w:themeColor="text1"/>
          <w:sz w:val="28"/>
        </w:rPr>
        <w:t>201</w:t>
      </w:r>
      <w:r w:rsidRPr="00CC7883">
        <w:rPr>
          <w:rFonts w:ascii="Times New Roman" w:hAnsi="Times New Roman" w:cs="Times New Roman"/>
          <w:color w:val="000000" w:themeColor="text1"/>
          <w:sz w:val="28"/>
        </w:rPr>
        <w:t xml:space="preserve"> латиницею), додатки. Робота містить </w:t>
      </w:r>
      <w:r w:rsidR="001C664A" w:rsidRPr="00CC7883">
        <w:rPr>
          <w:rFonts w:ascii="Times New Roman" w:hAnsi="Times New Roman" w:cs="Times New Roman"/>
          <w:color w:val="000000" w:themeColor="text1"/>
          <w:sz w:val="28"/>
        </w:rPr>
        <w:t>12</w:t>
      </w:r>
      <w:r w:rsidRPr="00CC7883">
        <w:rPr>
          <w:rFonts w:ascii="Times New Roman" w:hAnsi="Times New Roman" w:cs="Times New Roman"/>
          <w:color w:val="000000" w:themeColor="text1"/>
          <w:sz w:val="28"/>
        </w:rPr>
        <w:t xml:space="preserve"> таблиць, </w:t>
      </w:r>
      <w:r w:rsidR="001C664A" w:rsidRPr="00CC7883">
        <w:rPr>
          <w:rFonts w:ascii="Times New Roman" w:hAnsi="Times New Roman" w:cs="Times New Roman"/>
          <w:color w:val="000000" w:themeColor="text1"/>
          <w:sz w:val="28"/>
        </w:rPr>
        <w:t>60</w:t>
      </w:r>
      <w:r w:rsidRPr="00CC7883">
        <w:rPr>
          <w:rFonts w:ascii="Times New Roman" w:hAnsi="Times New Roman" w:cs="Times New Roman"/>
          <w:color w:val="000000" w:themeColor="text1"/>
          <w:sz w:val="28"/>
        </w:rPr>
        <w:t xml:space="preserve"> рисунків.</w:t>
      </w:r>
      <w:r w:rsidR="00B92086" w:rsidRPr="00CC7883">
        <w:rPr>
          <w:rFonts w:ascii="Times New Roman" w:hAnsi="Times New Roman" w:cs="Times New Roman"/>
          <w:color w:val="000000" w:themeColor="text1"/>
          <w:sz w:val="28"/>
          <w:szCs w:val="28"/>
        </w:rPr>
        <w:br w:type="page"/>
      </w:r>
    </w:p>
    <w:p w:rsidR="00B01A54" w:rsidRPr="00CC7883" w:rsidRDefault="00B01A54" w:rsidP="00047411">
      <w:pPr>
        <w:widowControl w:val="0"/>
        <w:spacing w:after="0" w:line="360" w:lineRule="auto"/>
        <w:jc w:val="center"/>
        <w:outlineLvl w:val="0"/>
        <w:rPr>
          <w:rFonts w:ascii="Times New Roman" w:hAnsi="Times New Roman" w:cs="Times New Roman"/>
          <w:b/>
          <w:bCs/>
          <w:color w:val="000000" w:themeColor="text1"/>
          <w:sz w:val="28"/>
          <w:szCs w:val="28"/>
        </w:rPr>
      </w:pPr>
      <w:bookmarkStart w:id="2" w:name="_Hlk162204106"/>
      <w:bookmarkStart w:id="3" w:name="_Toc220058914"/>
      <w:bookmarkStart w:id="4" w:name="_Hlk217994494"/>
      <w:bookmarkEnd w:id="2"/>
      <w:r w:rsidRPr="00CC7883">
        <w:rPr>
          <w:rFonts w:ascii="Times New Roman" w:hAnsi="Times New Roman" w:cs="Times New Roman"/>
          <w:b/>
          <w:bCs/>
          <w:color w:val="000000" w:themeColor="text1"/>
          <w:sz w:val="28"/>
          <w:szCs w:val="28"/>
        </w:rPr>
        <w:lastRenderedPageBreak/>
        <w:t>РОЗДІЛ 1</w:t>
      </w:r>
      <w:bookmarkEnd w:id="3"/>
    </w:p>
    <w:p w:rsidR="00B01A54" w:rsidRPr="00CC7883" w:rsidRDefault="00B01A54" w:rsidP="00047411">
      <w:pPr>
        <w:widowControl w:val="0"/>
        <w:spacing w:after="0" w:line="360" w:lineRule="auto"/>
        <w:jc w:val="center"/>
        <w:outlineLvl w:val="0"/>
        <w:rPr>
          <w:rFonts w:ascii="Times New Roman" w:hAnsi="Times New Roman" w:cs="Times New Roman"/>
          <w:b/>
          <w:bCs/>
          <w:color w:val="000000" w:themeColor="text1"/>
          <w:sz w:val="28"/>
          <w:szCs w:val="28"/>
        </w:rPr>
      </w:pPr>
      <w:bookmarkStart w:id="5" w:name="_Toc220058915"/>
      <w:r w:rsidRPr="00CC7883">
        <w:rPr>
          <w:rFonts w:ascii="Times New Roman" w:hAnsi="Times New Roman" w:cs="Times New Roman"/>
          <w:b/>
          <w:bCs/>
          <w:caps/>
          <w:color w:val="000000" w:themeColor="text1"/>
          <w:sz w:val="28"/>
          <w:szCs w:val="28"/>
        </w:rPr>
        <w:t>Мікроклональне розмноження рослин, його етапи</w:t>
      </w:r>
      <w:r w:rsidRPr="00CC7883">
        <w:rPr>
          <w:rFonts w:ascii="Times New Roman" w:hAnsi="Times New Roman" w:cs="Times New Roman"/>
          <w:b/>
          <w:bCs/>
          <w:color w:val="000000" w:themeColor="text1"/>
          <w:sz w:val="28"/>
          <w:szCs w:val="28"/>
        </w:rPr>
        <w:t xml:space="preserve"> (ОГЛЯД ЛІТЕРАТУРИ)</w:t>
      </w:r>
      <w:bookmarkEnd w:id="5"/>
    </w:p>
    <w:p w:rsidR="00B01A54" w:rsidRPr="00CC7883" w:rsidRDefault="00B01A54" w:rsidP="00047411">
      <w:pPr>
        <w:pStyle w:val="a7"/>
        <w:widowControl w:val="0"/>
        <w:spacing w:after="0" w:line="360" w:lineRule="auto"/>
        <w:jc w:val="both"/>
        <w:rPr>
          <w:rFonts w:ascii="Times New Roman" w:hAnsi="Times New Roman" w:cs="Times New Roman"/>
          <w:b/>
          <w:bCs/>
          <w:color w:val="000000" w:themeColor="text1"/>
          <w:sz w:val="28"/>
          <w:szCs w:val="28"/>
        </w:rPr>
      </w:pP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Розмноження рослин із застосуванням методів культури тканин і органів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базується на таких законах біології, як тот</w:t>
      </w:r>
      <w:r w:rsidR="004B64FE">
        <w:rPr>
          <w:rFonts w:ascii="Times New Roman" w:eastAsia="Times New Roman" w:hAnsi="Times New Roman" w:cs="Times New Roman"/>
          <w:color w:val="000000" w:themeColor="text1"/>
          <w:sz w:val="28"/>
          <w:szCs w:val="28"/>
        </w:rPr>
        <w:t>и</w:t>
      </w:r>
      <w:r w:rsidRPr="00CC7883">
        <w:rPr>
          <w:rFonts w:ascii="Times New Roman" w:eastAsia="Times New Roman" w:hAnsi="Times New Roman" w:cs="Times New Roman"/>
          <w:color w:val="000000" w:themeColor="text1"/>
          <w:sz w:val="28"/>
          <w:szCs w:val="28"/>
        </w:rPr>
        <w:t xml:space="preserve">потентність клітин, апікальне домінування, регенерація. Існують та знаходять практичне застосування декілька способів розмноження рослин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color w:val="000000" w:themeColor="text1"/>
          <w:sz w:val="28"/>
          <w:szCs w:val="28"/>
        </w:rPr>
        <w:t xml:space="preserve">. Вони характеризуються різним ступенем генетичної стабільності, коефіцієнтом розмноження, вимогами технічного забезпечення. </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До них </w:t>
      </w:r>
      <w:r w:rsidR="003F4544">
        <w:rPr>
          <w:rFonts w:ascii="Times New Roman" w:eastAsia="Times New Roman" w:hAnsi="Times New Roman" w:cs="Times New Roman"/>
          <w:color w:val="000000" w:themeColor="text1"/>
          <w:sz w:val="28"/>
          <w:szCs w:val="28"/>
        </w:rPr>
        <w:t>належать</w:t>
      </w:r>
      <w:r w:rsidRPr="00CC7883">
        <w:rPr>
          <w:rFonts w:ascii="Times New Roman" w:eastAsia="Times New Roman" w:hAnsi="Times New Roman" w:cs="Times New Roman"/>
          <w:color w:val="000000" w:themeColor="text1"/>
          <w:sz w:val="28"/>
          <w:szCs w:val="28"/>
        </w:rPr>
        <w:t xml:space="preserve">: </w:t>
      </w:r>
    </w:p>
    <w:p w:rsidR="00B01A54" w:rsidRPr="00CC7883" w:rsidRDefault="00B01A54" w:rsidP="00047411">
      <w:pPr>
        <w:widowControl w:val="0"/>
        <w:spacing w:after="0" w:line="360" w:lineRule="auto"/>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ab/>
        <w:t>отримання рослин із меристем без стадії утворення калусу;</w:t>
      </w:r>
    </w:p>
    <w:p w:rsidR="00B01A54" w:rsidRPr="00CC7883" w:rsidRDefault="00B01A54" w:rsidP="00047411">
      <w:pPr>
        <w:widowControl w:val="0"/>
        <w:spacing w:after="0" w:line="360" w:lineRule="auto"/>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ab/>
        <w:t>отримання калусу і регенерація з нього рослин;</w:t>
      </w:r>
    </w:p>
    <w:p w:rsidR="00B01A54" w:rsidRPr="00CC7883" w:rsidRDefault="00B01A54" w:rsidP="00047411">
      <w:pPr>
        <w:widowControl w:val="0"/>
        <w:spacing w:after="0" w:line="360" w:lineRule="auto"/>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ab/>
        <w:t>отримання калусу, перетворення його в суспензію клітин і регенерація рослин;</w:t>
      </w:r>
    </w:p>
    <w:p w:rsidR="00B01A54" w:rsidRPr="00CC7883" w:rsidRDefault="00B01A54" w:rsidP="00047411">
      <w:pPr>
        <w:widowControl w:val="0"/>
        <w:spacing w:after="0" w:line="360" w:lineRule="auto"/>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ab/>
        <w:t>отримання з клітин біполярних структур, здатних утворювати зарод</w:t>
      </w:r>
      <w:r w:rsidR="004A7AB1">
        <w:rPr>
          <w:rFonts w:ascii="Times New Roman" w:eastAsia="Times New Roman" w:hAnsi="Times New Roman" w:cs="Times New Roman"/>
          <w:color w:val="000000" w:themeColor="text1"/>
          <w:sz w:val="28"/>
          <w:szCs w:val="28"/>
        </w:rPr>
        <w:t>ки</w:t>
      </w:r>
      <w:r w:rsidRPr="00CC7883">
        <w:rPr>
          <w:rFonts w:ascii="Times New Roman" w:eastAsia="Times New Roman" w:hAnsi="Times New Roman" w:cs="Times New Roman"/>
          <w:color w:val="000000" w:themeColor="text1"/>
          <w:sz w:val="28"/>
          <w:szCs w:val="28"/>
        </w:rPr>
        <w:t xml:space="preserve">; </w:t>
      </w:r>
    </w:p>
    <w:p w:rsidR="00B01A54" w:rsidRPr="00CC7883" w:rsidRDefault="00B01A54" w:rsidP="00047411">
      <w:pPr>
        <w:widowControl w:val="0"/>
        <w:spacing w:after="0" w:line="360" w:lineRule="auto"/>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ab/>
        <w:t>отримання рослин через активацію росту бічних бруньок експлантів [5</w:t>
      </w:r>
      <w:r w:rsidR="00B96E04" w:rsidRPr="00CC7883">
        <w:rPr>
          <w:rFonts w:ascii="Times New Roman" w:eastAsia="Times New Roman" w:hAnsi="Times New Roman" w:cs="Times New Roman"/>
          <w:color w:val="000000" w:themeColor="text1"/>
          <w:sz w:val="28"/>
          <w:szCs w:val="28"/>
        </w:rPr>
        <w:t>2</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Ці способи мають як </w:t>
      </w:r>
      <w:r w:rsidR="00C6296F">
        <w:rPr>
          <w:rFonts w:ascii="Times New Roman" w:eastAsia="Times New Roman" w:hAnsi="Times New Roman" w:cs="Times New Roman"/>
          <w:color w:val="000000" w:themeColor="text1"/>
          <w:sz w:val="28"/>
          <w:szCs w:val="28"/>
        </w:rPr>
        <w:t>низку</w:t>
      </w:r>
      <w:r w:rsidRPr="00CC7883">
        <w:rPr>
          <w:rFonts w:ascii="Times New Roman" w:eastAsia="Times New Roman" w:hAnsi="Times New Roman" w:cs="Times New Roman"/>
          <w:color w:val="000000" w:themeColor="text1"/>
          <w:sz w:val="28"/>
          <w:szCs w:val="28"/>
        </w:rPr>
        <w:t xml:space="preserve"> переваг, так і </w:t>
      </w:r>
      <w:r w:rsidR="00A458DC">
        <w:rPr>
          <w:rFonts w:ascii="Times New Roman" w:eastAsia="Times New Roman" w:hAnsi="Times New Roman" w:cs="Times New Roman"/>
          <w:color w:val="000000" w:themeColor="text1"/>
          <w:sz w:val="28"/>
          <w:szCs w:val="28"/>
        </w:rPr>
        <w:t>низку</w:t>
      </w:r>
      <w:r w:rsidRPr="00CC7883">
        <w:rPr>
          <w:rFonts w:ascii="Times New Roman" w:eastAsia="Times New Roman" w:hAnsi="Times New Roman" w:cs="Times New Roman"/>
          <w:color w:val="000000" w:themeColor="text1"/>
          <w:sz w:val="28"/>
          <w:szCs w:val="28"/>
        </w:rPr>
        <w:t xml:space="preserve"> недоліків. </w:t>
      </w:r>
    </w:p>
    <w:p w:rsidR="00B01A54" w:rsidRPr="00CC7883" w:rsidRDefault="00B01A54" w:rsidP="00047411">
      <w:pPr>
        <w:widowControl w:val="0"/>
        <w:spacing w:after="0" w:line="360" w:lineRule="auto"/>
        <w:ind w:firstLine="709"/>
        <w:jc w:val="both"/>
        <w:rPr>
          <w:rFonts w:ascii="Times New Roman" w:hAnsi="Times New Roman" w:cs="Times New Roman"/>
          <w:color w:val="000000" w:themeColor="text1"/>
        </w:rPr>
      </w:pPr>
      <w:r w:rsidRPr="00CC7883">
        <w:rPr>
          <w:rFonts w:ascii="Times New Roman" w:eastAsia="Times New Roman" w:hAnsi="Times New Roman" w:cs="Times New Roman"/>
          <w:color w:val="000000" w:themeColor="text1"/>
          <w:sz w:val="28"/>
          <w:szCs w:val="28"/>
        </w:rPr>
        <w:t>До переваг відносять:</w:t>
      </w:r>
    </w:p>
    <w:p w:rsidR="00B01A54" w:rsidRPr="00CC7883" w:rsidRDefault="00B01A54" w:rsidP="00047411">
      <w:pPr>
        <w:pStyle w:val="a7"/>
        <w:widowControl w:val="0"/>
        <w:numPr>
          <w:ilvl w:val="0"/>
          <w:numId w:val="11"/>
        </w:numPr>
        <w:autoSpaceDN w:val="0"/>
        <w:spacing w:after="0" w:line="360" w:lineRule="auto"/>
        <w:ind w:hanging="72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одержання садивного матеріалу рослин, які характеризуються низьким коефіцієнтом розмноження;</w:t>
      </w:r>
    </w:p>
    <w:p w:rsidR="00B01A54" w:rsidRPr="00CC7883" w:rsidRDefault="00B01A54" w:rsidP="00047411">
      <w:pPr>
        <w:pStyle w:val="a7"/>
        <w:widowControl w:val="0"/>
        <w:numPr>
          <w:ilvl w:val="0"/>
          <w:numId w:val="11"/>
        </w:numPr>
        <w:autoSpaceDN w:val="0"/>
        <w:spacing w:after="0" w:line="360" w:lineRule="auto"/>
        <w:ind w:hanging="72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підтримання генотипів, які характеризуються генетичною стерильністю;</w:t>
      </w:r>
    </w:p>
    <w:p w:rsidR="00B01A54" w:rsidRPr="00CC7883" w:rsidRDefault="00B01A54" w:rsidP="00047411">
      <w:pPr>
        <w:pStyle w:val="a7"/>
        <w:widowControl w:val="0"/>
        <w:numPr>
          <w:ilvl w:val="0"/>
          <w:numId w:val="11"/>
        </w:numPr>
        <w:autoSpaceDN w:val="0"/>
        <w:spacing w:after="0" w:line="360" w:lineRule="auto"/>
        <w:ind w:hanging="72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зберігання видів, які перебувають на межі зникнення;</w:t>
      </w:r>
    </w:p>
    <w:p w:rsidR="00B01A54" w:rsidRPr="00CC7883" w:rsidRDefault="00B01A54" w:rsidP="00047411">
      <w:pPr>
        <w:pStyle w:val="a7"/>
        <w:widowControl w:val="0"/>
        <w:numPr>
          <w:ilvl w:val="0"/>
          <w:numId w:val="11"/>
        </w:numPr>
        <w:autoSpaceDN w:val="0"/>
        <w:spacing w:after="0" w:line="360" w:lineRule="auto"/>
        <w:ind w:hanging="72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підтримання і зберігання колекційних зразків;</w:t>
      </w:r>
    </w:p>
    <w:p w:rsidR="00B01A54" w:rsidRPr="00CC7883" w:rsidRDefault="00B01A54" w:rsidP="00047411">
      <w:pPr>
        <w:pStyle w:val="a7"/>
        <w:widowControl w:val="0"/>
        <w:numPr>
          <w:ilvl w:val="0"/>
          <w:numId w:val="11"/>
        </w:numPr>
        <w:autoSpaceDN w:val="0"/>
        <w:spacing w:after="0" w:line="360" w:lineRule="auto"/>
        <w:ind w:hanging="72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накопичення садивного матеріалу впродовж року і планування висаджування у відкритий ґрунт в оптимальні терміни;</w:t>
      </w:r>
    </w:p>
    <w:p w:rsidR="00B01A54" w:rsidRPr="00CC7883" w:rsidRDefault="00B01A54" w:rsidP="00047411">
      <w:pPr>
        <w:pStyle w:val="a7"/>
        <w:widowControl w:val="0"/>
        <w:numPr>
          <w:ilvl w:val="0"/>
          <w:numId w:val="11"/>
        </w:numPr>
        <w:autoSpaceDN w:val="0"/>
        <w:spacing w:after="0" w:line="360" w:lineRule="auto"/>
        <w:ind w:hanging="72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отримання великої кількості матеріалу у невеликій лабораторії;</w:t>
      </w:r>
    </w:p>
    <w:p w:rsidR="00B01A54" w:rsidRPr="00CC7883" w:rsidRDefault="00B01A54" w:rsidP="00047411">
      <w:pPr>
        <w:pStyle w:val="a7"/>
        <w:widowControl w:val="0"/>
        <w:numPr>
          <w:ilvl w:val="0"/>
          <w:numId w:val="11"/>
        </w:numPr>
        <w:autoSpaceDN w:val="0"/>
        <w:spacing w:after="0" w:line="360" w:lineRule="auto"/>
        <w:ind w:hanging="72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передчасне виведення рослин з періоду спокою з метою подальшого </w:t>
      </w:r>
      <w:r w:rsidRPr="00CC7883">
        <w:rPr>
          <w:rFonts w:ascii="Times New Roman" w:eastAsia="Times New Roman" w:hAnsi="Times New Roman" w:cs="Times New Roman"/>
          <w:color w:val="000000" w:themeColor="text1"/>
          <w:sz w:val="28"/>
          <w:szCs w:val="28"/>
        </w:rPr>
        <w:lastRenderedPageBreak/>
        <w:t>розмноження;</w:t>
      </w:r>
    </w:p>
    <w:p w:rsidR="00B01A54" w:rsidRPr="00CC7883" w:rsidRDefault="00B01A54" w:rsidP="00047411">
      <w:pPr>
        <w:pStyle w:val="a7"/>
        <w:widowControl w:val="0"/>
        <w:numPr>
          <w:ilvl w:val="0"/>
          <w:numId w:val="11"/>
        </w:numPr>
        <w:autoSpaceDN w:val="0"/>
        <w:spacing w:after="0" w:line="360" w:lineRule="auto"/>
        <w:ind w:hanging="720"/>
        <w:contextualSpacing w:val="0"/>
        <w:jc w:val="both"/>
        <w:textAlignment w:val="baseline"/>
        <w:rPr>
          <w:rFonts w:ascii="Times New Roman" w:eastAsia="Times New Roman" w:hAnsi="Times New Roman" w:cs="Times New Roman"/>
          <w:b/>
          <w:bCs/>
          <w:color w:val="000000" w:themeColor="text1"/>
          <w:sz w:val="28"/>
          <w:szCs w:val="28"/>
        </w:rPr>
      </w:pPr>
      <w:r w:rsidRPr="00CC7883">
        <w:rPr>
          <w:rFonts w:ascii="Times New Roman" w:eastAsia="Times New Roman" w:hAnsi="Times New Roman" w:cs="Times New Roman"/>
          <w:color w:val="000000" w:themeColor="text1"/>
          <w:sz w:val="28"/>
          <w:szCs w:val="28"/>
        </w:rPr>
        <w:t xml:space="preserve">оздоровлення рослин при введенні в культуру </w:t>
      </w:r>
      <w:r w:rsidR="000553AD" w:rsidRPr="00CC7883">
        <w:rPr>
          <w:rFonts w:ascii="Times New Roman" w:hAnsi="Times New Roman" w:cs="Times New Roman"/>
          <w:i/>
          <w:color w:val="000000" w:themeColor="text1"/>
          <w:sz w:val="28"/>
        </w:rPr>
        <w:t>in vitro</w:t>
      </w:r>
      <w:r w:rsidR="000553AD"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w:t>
      </w:r>
      <w:r w:rsidR="00B96E04" w:rsidRPr="00CC7883">
        <w:rPr>
          <w:rFonts w:ascii="Times New Roman" w:eastAsia="Times New Roman" w:hAnsi="Times New Roman" w:cs="Times New Roman"/>
          <w:color w:val="000000" w:themeColor="text1"/>
          <w:sz w:val="28"/>
          <w:szCs w:val="28"/>
        </w:rPr>
        <w:t>39</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b/>
          <w:i/>
          <w:iCs/>
          <w:color w:val="000000" w:themeColor="text1"/>
          <w:sz w:val="28"/>
          <w:szCs w:val="28"/>
        </w:rPr>
        <w:t>Основні етапи мікроклонального розмноження рослин</w:t>
      </w:r>
      <w:r w:rsidRPr="00CC7883">
        <w:rPr>
          <w:rFonts w:ascii="Times New Roman" w:eastAsia="Times New Roman" w:hAnsi="Times New Roman" w:cs="Times New Roman"/>
          <w:color w:val="000000" w:themeColor="text1"/>
          <w:sz w:val="28"/>
          <w:szCs w:val="28"/>
        </w:rPr>
        <w:t xml:space="preserve">: відбір, стерилізація ініціальних експлантів, введення ініціальних експлантів у культуру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color w:val="000000" w:themeColor="text1"/>
          <w:sz w:val="28"/>
          <w:szCs w:val="28"/>
        </w:rPr>
        <w:t xml:space="preserve">, проліферація пазушних бруньок, укорінення (ризогенез) ініціальних експлантів, власне мікророзмноження рослин, адаптація мікроклонів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до умов </w:t>
      </w:r>
      <w:r w:rsidRPr="00CC7883">
        <w:rPr>
          <w:rFonts w:ascii="Times New Roman" w:eastAsia="Times New Roman" w:hAnsi="Times New Roman" w:cs="Times New Roman"/>
          <w:i/>
          <w:iCs/>
          <w:color w:val="000000" w:themeColor="text1"/>
          <w:sz w:val="28"/>
          <w:szCs w:val="28"/>
        </w:rPr>
        <w:t>in</w:t>
      </w:r>
      <w:r w:rsidR="000553AD"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vivo</w:t>
      </w:r>
      <w:r w:rsidR="00B96E04" w:rsidRPr="00CC7883">
        <w:rPr>
          <w:rFonts w:ascii="Times New Roman" w:eastAsia="Times New Roman" w:hAnsi="Times New Roman" w:cs="Times New Roman"/>
          <w:color w:val="000000" w:themeColor="text1"/>
          <w:sz w:val="28"/>
          <w:szCs w:val="28"/>
        </w:rPr>
        <w:t xml:space="preserve"> [1</w:t>
      </w:r>
      <w:r w:rsidR="00B112D7" w:rsidRPr="00CC7883">
        <w:rPr>
          <w:rFonts w:ascii="Times New Roman" w:eastAsia="Times New Roman" w:hAnsi="Times New Roman" w:cs="Times New Roman"/>
          <w:color w:val="000000" w:themeColor="text1"/>
          <w:sz w:val="28"/>
          <w:szCs w:val="28"/>
        </w:rPr>
        <w:t>88</w:t>
      </w:r>
      <w:r w:rsidR="00F44ECE" w:rsidRPr="00C634FF">
        <w:rPr>
          <w:rFonts w:ascii="Times New Roman" w:eastAsia="Times New Roman" w:hAnsi="Times New Roman" w:cs="Times New Roman"/>
          <w:color w:val="000000" w:themeColor="text1"/>
          <w:sz w:val="28"/>
          <w:szCs w:val="28"/>
        </w:rPr>
        <w:t>,</w:t>
      </w:r>
      <w:r w:rsidR="00B96E04" w:rsidRPr="00CC7883">
        <w:rPr>
          <w:rFonts w:ascii="Times New Roman" w:eastAsia="Times New Roman" w:hAnsi="Times New Roman" w:cs="Times New Roman"/>
          <w:color w:val="000000" w:themeColor="text1"/>
          <w:sz w:val="28"/>
          <w:szCs w:val="28"/>
        </w:rPr>
        <w:t xml:space="preserve"> 18</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pStyle w:val="a7"/>
        <w:widowControl w:val="0"/>
        <w:spacing w:after="0" w:line="360" w:lineRule="auto"/>
        <w:ind w:left="0"/>
        <w:jc w:val="both"/>
        <w:rPr>
          <w:rFonts w:ascii="Times New Roman" w:hAnsi="Times New Roman" w:cs="Times New Roman"/>
          <w:color w:val="000000" w:themeColor="text1"/>
        </w:rPr>
      </w:pPr>
    </w:p>
    <w:p w:rsidR="00B01A54" w:rsidRPr="00CC7883" w:rsidRDefault="00B01A54" w:rsidP="00047411">
      <w:pPr>
        <w:pStyle w:val="a7"/>
        <w:widowControl w:val="0"/>
        <w:numPr>
          <w:ilvl w:val="1"/>
          <w:numId w:val="12"/>
        </w:numPr>
        <w:spacing w:after="0" w:line="360" w:lineRule="auto"/>
        <w:ind w:left="0" w:firstLine="720"/>
        <w:jc w:val="both"/>
        <w:outlineLvl w:val="1"/>
        <w:rPr>
          <w:rFonts w:ascii="Times New Roman" w:hAnsi="Times New Roman" w:cs="Times New Roman"/>
          <w:color w:val="000000" w:themeColor="text1"/>
        </w:rPr>
      </w:pPr>
      <w:bookmarkStart w:id="6" w:name="_Toc220058916"/>
      <w:bookmarkStart w:id="7" w:name="_Hlk217735618"/>
      <w:r w:rsidRPr="00CC7883">
        <w:rPr>
          <w:rFonts w:ascii="Times New Roman" w:eastAsia="Times New Roman" w:hAnsi="Times New Roman" w:cs="Times New Roman"/>
          <w:b/>
          <w:iCs/>
          <w:color w:val="000000" w:themeColor="text1"/>
          <w:sz w:val="28"/>
          <w:szCs w:val="28"/>
        </w:rPr>
        <w:t xml:space="preserve">Відбір, стерилізація та введення ініціальних експлантів у культуру </w:t>
      </w:r>
      <w:r w:rsidRPr="00CC7883">
        <w:rPr>
          <w:rFonts w:ascii="Times New Roman" w:eastAsia="Times New Roman" w:hAnsi="Times New Roman" w:cs="Times New Roman"/>
          <w:b/>
          <w:i/>
          <w:iCs/>
          <w:color w:val="000000" w:themeColor="text1"/>
          <w:sz w:val="28"/>
          <w:szCs w:val="28"/>
        </w:rPr>
        <w:t>in</w:t>
      </w:r>
      <w:r w:rsidR="008B5203" w:rsidRPr="00CC7883">
        <w:rPr>
          <w:rFonts w:ascii="Times New Roman" w:eastAsia="Times New Roman" w:hAnsi="Times New Roman" w:cs="Times New Roman"/>
          <w:b/>
          <w:i/>
          <w:iCs/>
          <w:color w:val="000000" w:themeColor="text1"/>
          <w:sz w:val="28"/>
          <w:szCs w:val="28"/>
        </w:rPr>
        <w:t> </w:t>
      </w:r>
      <w:r w:rsidRPr="00CC7883">
        <w:rPr>
          <w:rFonts w:ascii="Times New Roman" w:eastAsia="Times New Roman" w:hAnsi="Times New Roman" w:cs="Times New Roman"/>
          <w:b/>
          <w:i/>
          <w:iCs/>
          <w:color w:val="000000" w:themeColor="text1"/>
          <w:sz w:val="28"/>
          <w:szCs w:val="28"/>
        </w:rPr>
        <w:t>vitro</w:t>
      </w:r>
      <w:bookmarkEnd w:id="6"/>
    </w:p>
    <w:bookmarkEnd w:id="7"/>
    <w:p w:rsidR="00B01A54" w:rsidRPr="00CC7883" w:rsidRDefault="00B01A54"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rPr>
      </w:pPr>
    </w:p>
    <w:p w:rsidR="00B01A54" w:rsidRPr="00CC7883" w:rsidRDefault="00B01A54" w:rsidP="00047411">
      <w:pPr>
        <w:pStyle w:val="a7"/>
        <w:widowControl w:val="0"/>
        <w:spacing w:after="0" w:line="360" w:lineRule="auto"/>
        <w:ind w:left="0" w:firstLine="709"/>
        <w:jc w:val="both"/>
        <w:rPr>
          <w:rFonts w:ascii="Times New Roman" w:hAnsi="Times New Roman" w:cs="Times New Roman"/>
          <w:color w:val="000000" w:themeColor="text1"/>
        </w:rPr>
      </w:pPr>
      <w:r w:rsidRPr="00CC7883">
        <w:rPr>
          <w:rFonts w:ascii="Times New Roman" w:eastAsia="Times New Roman" w:hAnsi="Times New Roman" w:cs="Times New Roman"/>
          <w:color w:val="000000" w:themeColor="text1"/>
          <w:sz w:val="28"/>
          <w:szCs w:val="28"/>
        </w:rPr>
        <w:t xml:space="preserve"> Для відбору ініціальних експлантів зазвичай використовують молоді частини рослин </w:t>
      </w:r>
      <w:r w:rsidR="004963F6" w:rsidRPr="00CC7883">
        <w:rPr>
          <w:rFonts w:ascii="Times New Roman" w:hAnsi="Times New Roman" w:cs="Times New Roman"/>
          <w:color w:val="000000" w:themeColor="text1"/>
        </w:rPr>
        <w:t>–</w:t>
      </w:r>
      <w:r w:rsidRPr="00CC7883">
        <w:rPr>
          <w:rFonts w:ascii="Times New Roman" w:eastAsia="Times New Roman" w:hAnsi="Times New Roman" w:cs="Times New Roman"/>
          <w:color w:val="000000" w:themeColor="text1"/>
          <w:sz w:val="28"/>
          <w:szCs w:val="28"/>
        </w:rPr>
        <w:t xml:space="preserve"> верхівки пагонів, листки, черешки листків, бічні бруньки, калус, насіння, частини суцвіть і квіток. Ініціальні експланти повинні бути здоровими, без ознак хвороб та шкідників, а також відповідати вимогам оптимальних розмірів.</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Верхівки пагонів успішно використовували для введення в культуру тканин і органів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008B5203"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рослин</w:t>
      </w:r>
      <w:r w:rsidR="007073CE"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банану (</w:t>
      </w:r>
      <w:r w:rsidRPr="00CC7883">
        <w:rPr>
          <w:rFonts w:ascii="Times New Roman" w:eastAsia="Times New Roman" w:hAnsi="Times New Roman" w:cs="Times New Roman"/>
          <w:i/>
          <w:iCs/>
          <w:color w:val="000000" w:themeColor="text1"/>
          <w:sz w:val="28"/>
          <w:szCs w:val="28"/>
        </w:rPr>
        <w:t>Musa</w:t>
      </w:r>
      <w:r w:rsidR="002E1740"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spp</w:t>
      </w:r>
      <w:r w:rsidRPr="00CC7883">
        <w:rPr>
          <w:rFonts w:ascii="Times New Roman" w:eastAsia="Times New Roman" w:hAnsi="Times New Roman" w:cs="Times New Roman"/>
          <w:i/>
          <w:iCs/>
          <w:color w:val="000000" w:themeColor="text1"/>
          <w:sz w:val="28"/>
          <w:szCs w:val="28"/>
        </w:rPr>
        <w:t>.</w:t>
      </w:r>
      <w:r w:rsidR="002E1740"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L</w:t>
      </w:r>
      <w:r w:rsidR="00B96E04" w:rsidRPr="00CC7883">
        <w:rPr>
          <w:rFonts w:ascii="Times New Roman" w:eastAsia="Times New Roman" w:hAnsi="Times New Roman" w:cs="Times New Roman"/>
          <w:color w:val="000000" w:themeColor="text1"/>
          <w:sz w:val="28"/>
          <w:szCs w:val="28"/>
        </w:rPr>
        <w:t>.) [126</w:t>
      </w:r>
      <w:r w:rsidRPr="00CC7883">
        <w:rPr>
          <w:rFonts w:ascii="Times New Roman" w:eastAsia="Times New Roman" w:hAnsi="Times New Roman" w:cs="Times New Roman"/>
          <w:color w:val="000000" w:themeColor="text1"/>
          <w:sz w:val="28"/>
          <w:szCs w:val="28"/>
        </w:rPr>
        <w:t>], троянди ефірноолійної (</w:t>
      </w:r>
      <w:r w:rsidRPr="00CC7883">
        <w:rPr>
          <w:rFonts w:ascii="Times New Roman" w:eastAsia="Times New Roman" w:hAnsi="Times New Roman" w:cs="Times New Roman"/>
          <w:i/>
          <w:iCs/>
          <w:color w:val="000000" w:themeColor="text1"/>
          <w:sz w:val="28"/>
          <w:szCs w:val="28"/>
        </w:rPr>
        <w:t xml:space="preserve">Rosa damascena </w:t>
      </w:r>
      <w:r w:rsidRPr="00CC7883">
        <w:rPr>
          <w:rFonts w:ascii="Times New Roman" w:eastAsia="Times New Roman" w:hAnsi="Times New Roman" w:cs="Times New Roman"/>
          <w:color w:val="000000" w:themeColor="text1"/>
          <w:sz w:val="28"/>
          <w:szCs w:val="28"/>
        </w:rPr>
        <w:t>H</w:t>
      </w:r>
      <w:r w:rsidR="00B96E04" w:rsidRPr="00CC7883">
        <w:rPr>
          <w:rFonts w:ascii="Times New Roman" w:eastAsia="Times New Roman" w:hAnsi="Times New Roman" w:cs="Times New Roman"/>
          <w:color w:val="000000" w:themeColor="text1"/>
          <w:sz w:val="28"/>
          <w:szCs w:val="28"/>
        </w:rPr>
        <w:t>.) [44</w:t>
      </w:r>
      <w:r w:rsidRPr="00CC7883">
        <w:rPr>
          <w:rFonts w:ascii="Times New Roman" w:eastAsia="Times New Roman" w:hAnsi="Times New Roman" w:cs="Times New Roman"/>
          <w:color w:val="000000" w:themeColor="text1"/>
          <w:sz w:val="28"/>
          <w:szCs w:val="28"/>
        </w:rPr>
        <w:t>], скумпії звичайної (</w:t>
      </w:r>
      <w:r w:rsidRPr="00CC7883">
        <w:rPr>
          <w:rFonts w:ascii="Times New Roman" w:eastAsia="Times New Roman" w:hAnsi="Times New Roman" w:cs="Times New Roman"/>
          <w:i/>
          <w:iCs/>
          <w:color w:val="000000" w:themeColor="text1"/>
          <w:sz w:val="28"/>
          <w:szCs w:val="28"/>
        </w:rPr>
        <w:t xml:space="preserve">Cotinus coggygria </w:t>
      </w:r>
      <w:r w:rsidRPr="00CC7883">
        <w:rPr>
          <w:rFonts w:ascii="Times New Roman" w:eastAsia="Times New Roman" w:hAnsi="Times New Roman" w:cs="Times New Roman"/>
          <w:color w:val="000000" w:themeColor="text1"/>
          <w:sz w:val="28"/>
          <w:szCs w:val="28"/>
        </w:rPr>
        <w:t>L</w:t>
      </w:r>
      <w:r w:rsidR="00B96E04" w:rsidRPr="00CC7883">
        <w:rPr>
          <w:rFonts w:ascii="Times New Roman" w:eastAsia="Times New Roman" w:hAnsi="Times New Roman" w:cs="Times New Roman"/>
          <w:color w:val="000000" w:themeColor="text1"/>
          <w:sz w:val="28"/>
          <w:szCs w:val="28"/>
        </w:rPr>
        <w:t>.) [43</w:t>
      </w:r>
      <w:r w:rsidRPr="00CC7883">
        <w:rPr>
          <w:rFonts w:ascii="Times New Roman" w:eastAsia="Times New Roman" w:hAnsi="Times New Roman" w:cs="Times New Roman"/>
          <w:color w:val="000000" w:themeColor="text1"/>
          <w:sz w:val="28"/>
          <w:szCs w:val="28"/>
        </w:rPr>
        <w:t>], цукрового буряку (</w:t>
      </w:r>
      <w:r w:rsidRPr="00CC7883">
        <w:rPr>
          <w:rFonts w:ascii="Times New Roman" w:eastAsia="Times New Roman" w:hAnsi="Times New Roman" w:cs="Times New Roman"/>
          <w:i/>
          <w:iCs/>
          <w:color w:val="000000" w:themeColor="text1"/>
          <w:sz w:val="28"/>
          <w:szCs w:val="28"/>
        </w:rPr>
        <w:t xml:space="preserve">Beta vulgaris </w:t>
      </w:r>
      <w:r w:rsidRPr="00CC7883">
        <w:rPr>
          <w:rFonts w:ascii="Times New Roman" w:eastAsia="Times New Roman" w:hAnsi="Times New Roman" w:cs="Times New Roman"/>
          <w:color w:val="000000" w:themeColor="text1"/>
          <w:sz w:val="28"/>
          <w:szCs w:val="28"/>
        </w:rPr>
        <w:t>L</w:t>
      </w:r>
      <w:r w:rsidR="00B96E04" w:rsidRPr="00CC7883">
        <w:rPr>
          <w:rFonts w:ascii="Times New Roman" w:eastAsia="Times New Roman" w:hAnsi="Times New Roman" w:cs="Times New Roman"/>
          <w:color w:val="000000" w:themeColor="text1"/>
          <w:sz w:val="28"/>
          <w:szCs w:val="28"/>
        </w:rPr>
        <w:t>.) [48</w:t>
      </w:r>
      <w:r w:rsidRPr="00CC7883">
        <w:rPr>
          <w:rFonts w:ascii="Times New Roman" w:eastAsia="Times New Roman" w:hAnsi="Times New Roman" w:cs="Times New Roman"/>
          <w:color w:val="000000" w:themeColor="text1"/>
          <w:sz w:val="28"/>
          <w:szCs w:val="28"/>
        </w:rPr>
        <w:t>], пшениці звичайної (</w:t>
      </w:r>
      <w:r w:rsidRPr="00CC7883">
        <w:rPr>
          <w:rFonts w:ascii="Times New Roman" w:eastAsia="Times New Roman" w:hAnsi="Times New Roman" w:cs="Times New Roman"/>
          <w:i/>
          <w:iCs/>
          <w:color w:val="000000" w:themeColor="text1"/>
          <w:sz w:val="28"/>
          <w:szCs w:val="28"/>
        </w:rPr>
        <w:t xml:space="preserve">Triticum aestivum </w:t>
      </w:r>
      <w:r w:rsidRPr="00CC7883">
        <w:rPr>
          <w:rFonts w:ascii="Times New Roman" w:eastAsia="Times New Roman" w:hAnsi="Times New Roman" w:cs="Times New Roman"/>
          <w:color w:val="000000" w:themeColor="text1"/>
          <w:sz w:val="28"/>
          <w:szCs w:val="28"/>
        </w:rPr>
        <w:t>L</w:t>
      </w:r>
      <w:r w:rsidR="00B96E04" w:rsidRPr="00CC7883">
        <w:rPr>
          <w:rFonts w:ascii="Times New Roman" w:eastAsia="Times New Roman" w:hAnsi="Times New Roman" w:cs="Times New Roman"/>
          <w:color w:val="000000" w:themeColor="text1"/>
          <w:sz w:val="28"/>
          <w:szCs w:val="28"/>
        </w:rPr>
        <w:t>.) [76</w:t>
      </w:r>
      <w:r w:rsidRPr="00CC7883">
        <w:rPr>
          <w:rFonts w:ascii="Times New Roman" w:eastAsia="Times New Roman" w:hAnsi="Times New Roman" w:cs="Times New Roman"/>
          <w:color w:val="000000" w:themeColor="text1"/>
          <w:sz w:val="28"/>
          <w:szCs w:val="28"/>
        </w:rPr>
        <w:t>], інжиру (</w:t>
      </w:r>
      <w:r w:rsidRPr="00CC7883">
        <w:rPr>
          <w:rFonts w:ascii="Times New Roman" w:eastAsia="Times New Roman" w:hAnsi="Times New Roman" w:cs="Times New Roman"/>
          <w:i/>
          <w:iCs/>
          <w:color w:val="000000" w:themeColor="text1"/>
          <w:sz w:val="28"/>
          <w:szCs w:val="28"/>
        </w:rPr>
        <w:t xml:space="preserve">Ficus carica </w:t>
      </w:r>
      <w:r w:rsidRPr="00CC7883">
        <w:rPr>
          <w:rFonts w:ascii="Times New Roman" w:eastAsia="Times New Roman" w:hAnsi="Times New Roman" w:cs="Times New Roman"/>
          <w:color w:val="000000" w:themeColor="text1"/>
          <w:sz w:val="28"/>
          <w:szCs w:val="28"/>
        </w:rPr>
        <w:t>L.) [22</w:t>
      </w:r>
      <w:r w:rsidR="009E747E" w:rsidRPr="00CC7883">
        <w:rPr>
          <w:rFonts w:ascii="Times New Roman" w:eastAsia="Times New Roman" w:hAnsi="Times New Roman" w:cs="Times New Roman"/>
          <w:color w:val="000000" w:themeColor="text1"/>
          <w:sz w:val="28"/>
          <w:szCs w:val="28"/>
        </w:rPr>
        <w:t>1</w:t>
      </w:r>
      <w:r w:rsidRPr="00CC7883">
        <w:rPr>
          <w:rFonts w:ascii="Times New Roman" w:eastAsia="Times New Roman" w:hAnsi="Times New Roman" w:cs="Times New Roman"/>
          <w:color w:val="000000" w:themeColor="text1"/>
          <w:sz w:val="28"/>
          <w:szCs w:val="28"/>
        </w:rPr>
        <w:t xml:space="preserve">] та ін. У цих дослідженнях автори показали, що використання верхівок пагонів, </w:t>
      </w:r>
      <w:r w:rsidR="00C45460">
        <w:rPr>
          <w:rFonts w:ascii="Times New Roman" w:eastAsia="Times New Roman" w:hAnsi="Times New Roman" w:cs="Times New Roman"/>
          <w:color w:val="000000" w:themeColor="text1"/>
          <w:sz w:val="28"/>
          <w:szCs w:val="28"/>
        </w:rPr>
        <w:t>як</w:t>
      </w:r>
      <w:r w:rsidRPr="00CC7883">
        <w:rPr>
          <w:rFonts w:ascii="Times New Roman" w:eastAsia="Times New Roman" w:hAnsi="Times New Roman" w:cs="Times New Roman"/>
          <w:color w:val="000000" w:themeColor="text1"/>
          <w:sz w:val="28"/>
          <w:szCs w:val="28"/>
        </w:rPr>
        <w:t xml:space="preserve"> ініціальних експлантів, забезпечувало активну проліферацію бруньок, яка </w:t>
      </w:r>
      <w:r w:rsidR="00C449F1">
        <w:rPr>
          <w:rFonts w:ascii="Times New Roman" w:eastAsia="Times New Roman" w:hAnsi="Times New Roman" w:cs="Times New Roman"/>
          <w:color w:val="000000" w:themeColor="text1"/>
          <w:sz w:val="28"/>
          <w:szCs w:val="28"/>
        </w:rPr>
        <w:t>становила</w:t>
      </w:r>
      <w:r w:rsidRPr="00CC7883">
        <w:rPr>
          <w:rFonts w:ascii="Times New Roman" w:eastAsia="Times New Roman" w:hAnsi="Times New Roman" w:cs="Times New Roman"/>
          <w:color w:val="000000" w:themeColor="text1"/>
          <w:sz w:val="28"/>
          <w:szCs w:val="28"/>
        </w:rPr>
        <w:t xml:space="preserve"> 59,3–89,2 %.</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Бічні бруньки пагонів успішно використовували для введення в культуру тканин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рослин гілоцереусу хвилястого (</w:t>
      </w:r>
      <w:r w:rsidRPr="00CC7883">
        <w:rPr>
          <w:rFonts w:ascii="Times New Roman" w:eastAsia="Times New Roman" w:hAnsi="Times New Roman" w:cs="Times New Roman"/>
          <w:i/>
          <w:iCs/>
          <w:color w:val="000000" w:themeColor="text1"/>
          <w:sz w:val="28"/>
          <w:szCs w:val="28"/>
        </w:rPr>
        <w:t xml:space="preserve">Hylocereus undatus </w:t>
      </w:r>
      <w:r w:rsidRPr="00CC7883">
        <w:rPr>
          <w:rFonts w:ascii="Times New Roman" w:eastAsia="Times New Roman" w:hAnsi="Times New Roman" w:cs="Times New Roman"/>
          <w:color w:val="000000" w:themeColor="text1"/>
          <w:sz w:val="28"/>
          <w:szCs w:val="28"/>
        </w:rPr>
        <w:t>(</w:t>
      </w:r>
      <w:hyperlink r:id="rId26" w:tooltip="Adrian Hardy Haworth" w:history="1">
        <w:r w:rsidRPr="00CC7883">
          <w:rPr>
            <w:rStyle w:val="af3"/>
            <w:rFonts w:ascii="Times New Roman" w:eastAsia="Times New Roman" w:hAnsi="Times New Roman" w:cs="Times New Roman"/>
            <w:color w:val="000000" w:themeColor="text1"/>
            <w:sz w:val="28"/>
            <w:szCs w:val="28"/>
          </w:rPr>
          <w:t>Haworth</w:t>
        </w:r>
      </w:hyperlink>
      <w:r w:rsidRPr="00CC7883">
        <w:rPr>
          <w:rFonts w:ascii="Times New Roman" w:eastAsia="Times New Roman" w:hAnsi="Times New Roman" w:cs="Times New Roman"/>
          <w:color w:val="000000" w:themeColor="text1"/>
          <w:sz w:val="28"/>
          <w:szCs w:val="28"/>
        </w:rPr>
        <w:t xml:space="preserve">) </w:t>
      </w:r>
      <w:r w:rsidR="00B96E04" w:rsidRPr="00CC7883">
        <w:rPr>
          <w:rFonts w:ascii="Times New Roman" w:eastAsia="Times New Roman" w:hAnsi="Times New Roman" w:cs="Times New Roman"/>
          <w:color w:val="000000" w:themeColor="text1"/>
          <w:sz w:val="28"/>
          <w:szCs w:val="28"/>
        </w:rPr>
        <w:t>D.</w:t>
      </w:r>
      <w:r w:rsidR="00CC7883">
        <w:rPr>
          <w:rFonts w:ascii="Times New Roman" w:eastAsia="Times New Roman" w:hAnsi="Times New Roman" w:cs="Times New Roman"/>
          <w:color w:val="000000" w:themeColor="text1"/>
          <w:sz w:val="28"/>
          <w:szCs w:val="28"/>
        </w:rPr>
        <w:t xml:space="preserve"> </w:t>
      </w:r>
      <w:r w:rsidR="00B96E04" w:rsidRPr="00CC7883">
        <w:rPr>
          <w:rFonts w:ascii="Times New Roman" w:eastAsia="Times New Roman" w:hAnsi="Times New Roman" w:cs="Times New Roman"/>
          <w:color w:val="000000" w:themeColor="text1"/>
          <w:sz w:val="28"/>
          <w:szCs w:val="28"/>
        </w:rPr>
        <w:t>R.</w:t>
      </w:r>
      <w:r w:rsidR="00CC7883">
        <w:rPr>
          <w:rFonts w:ascii="Times New Roman" w:eastAsia="Times New Roman" w:hAnsi="Times New Roman" w:cs="Times New Roman"/>
          <w:color w:val="000000" w:themeColor="text1"/>
          <w:sz w:val="28"/>
          <w:szCs w:val="28"/>
        </w:rPr>
        <w:t xml:space="preserve"> </w:t>
      </w:r>
      <w:r w:rsidR="00B96E04" w:rsidRPr="00CC7883">
        <w:rPr>
          <w:rFonts w:ascii="Times New Roman" w:eastAsia="Times New Roman" w:hAnsi="Times New Roman" w:cs="Times New Roman"/>
          <w:color w:val="000000" w:themeColor="text1"/>
          <w:sz w:val="28"/>
          <w:szCs w:val="28"/>
        </w:rPr>
        <w:t>Hunt) [114</w:t>
      </w:r>
      <w:r w:rsidRPr="00CC7883">
        <w:rPr>
          <w:rFonts w:ascii="Times New Roman" w:eastAsia="Times New Roman" w:hAnsi="Times New Roman" w:cs="Times New Roman"/>
          <w:color w:val="000000" w:themeColor="text1"/>
          <w:sz w:val="28"/>
          <w:szCs w:val="28"/>
        </w:rPr>
        <w:t>], шовковиці білої (</w:t>
      </w:r>
      <w:r w:rsidRPr="00CC7883">
        <w:rPr>
          <w:rFonts w:ascii="Times New Roman" w:eastAsia="Times New Roman" w:hAnsi="Times New Roman" w:cs="Times New Roman"/>
          <w:i/>
          <w:iCs/>
          <w:color w:val="000000" w:themeColor="text1"/>
          <w:sz w:val="28"/>
          <w:szCs w:val="28"/>
        </w:rPr>
        <w:t xml:space="preserve">Morus alba </w:t>
      </w:r>
      <w:r w:rsidRPr="00CC7883">
        <w:rPr>
          <w:rFonts w:ascii="Times New Roman" w:eastAsia="Times New Roman" w:hAnsi="Times New Roman" w:cs="Times New Roman"/>
          <w:color w:val="000000" w:themeColor="text1"/>
          <w:sz w:val="28"/>
          <w:szCs w:val="28"/>
        </w:rPr>
        <w:t>L</w:t>
      </w:r>
      <w:r w:rsidR="00B96E04" w:rsidRPr="00CC7883">
        <w:rPr>
          <w:rFonts w:ascii="Times New Roman" w:eastAsia="Times New Roman" w:hAnsi="Times New Roman" w:cs="Times New Roman"/>
          <w:color w:val="000000" w:themeColor="text1"/>
          <w:sz w:val="28"/>
          <w:szCs w:val="28"/>
        </w:rPr>
        <w:t>.) [11</w:t>
      </w:r>
      <w:r w:rsidRPr="00CC7883">
        <w:rPr>
          <w:rFonts w:ascii="Times New Roman" w:eastAsia="Times New Roman" w:hAnsi="Times New Roman" w:cs="Times New Roman"/>
          <w:color w:val="000000" w:themeColor="text1"/>
          <w:sz w:val="28"/>
          <w:szCs w:val="28"/>
        </w:rPr>
        <w:t>], ожини звичайної (</w:t>
      </w:r>
      <w:r w:rsidRPr="00CC7883">
        <w:rPr>
          <w:rFonts w:ascii="Times New Roman" w:eastAsia="Times New Roman" w:hAnsi="Times New Roman" w:cs="Times New Roman"/>
          <w:i/>
          <w:iCs/>
          <w:color w:val="000000" w:themeColor="text1"/>
          <w:sz w:val="28"/>
          <w:szCs w:val="28"/>
        </w:rPr>
        <w:t xml:space="preserve">Rubus caesius </w:t>
      </w:r>
      <w:r w:rsidRPr="00CC7883">
        <w:rPr>
          <w:rFonts w:ascii="Times New Roman" w:eastAsia="Times New Roman" w:hAnsi="Times New Roman" w:cs="Times New Roman"/>
          <w:color w:val="000000" w:themeColor="text1"/>
          <w:sz w:val="28"/>
          <w:szCs w:val="28"/>
        </w:rPr>
        <w:t>L.) [6</w:t>
      </w:r>
      <w:r w:rsidR="00B96E04" w:rsidRPr="00CC7883">
        <w:rPr>
          <w:rFonts w:ascii="Times New Roman" w:eastAsia="Times New Roman" w:hAnsi="Times New Roman" w:cs="Times New Roman"/>
          <w:color w:val="000000" w:themeColor="text1"/>
          <w:sz w:val="28"/>
          <w:szCs w:val="28"/>
        </w:rPr>
        <w:t>3</w:t>
      </w:r>
      <w:r w:rsidRPr="00CC7883">
        <w:rPr>
          <w:rFonts w:ascii="Times New Roman" w:eastAsia="Times New Roman" w:hAnsi="Times New Roman" w:cs="Times New Roman"/>
          <w:color w:val="000000" w:themeColor="text1"/>
          <w:sz w:val="28"/>
          <w:szCs w:val="28"/>
        </w:rPr>
        <w:t>], апулеї гладкоплідної (</w:t>
      </w:r>
      <w:r w:rsidRPr="00CC7883">
        <w:rPr>
          <w:rFonts w:ascii="Times New Roman" w:eastAsia="Times New Roman" w:hAnsi="Times New Roman" w:cs="Times New Roman"/>
          <w:i/>
          <w:iCs/>
          <w:color w:val="000000" w:themeColor="text1"/>
          <w:sz w:val="28"/>
          <w:szCs w:val="28"/>
        </w:rPr>
        <w:t xml:space="preserve">Apuleia leiocarpa </w:t>
      </w:r>
      <w:r w:rsidRPr="00CC7883">
        <w:rPr>
          <w:rFonts w:ascii="Times New Roman" w:eastAsia="Times New Roman" w:hAnsi="Times New Roman" w:cs="Times New Roman"/>
          <w:color w:val="000000" w:themeColor="text1"/>
          <w:sz w:val="28"/>
          <w:szCs w:val="28"/>
        </w:rPr>
        <w:t>(Vogel) J.</w:t>
      </w:r>
      <w:r w:rsidR="00251B64">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F.</w:t>
      </w:r>
      <w:r w:rsidR="00833E69"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Macbr.) [16</w:t>
      </w:r>
      <w:r w:rsidR="00B112D7" w:rsidRPr="00CC7883">
        <w:rPr>
          <w:rFonts w:ascii="Times New Roman" w:eastAsia="Times New Roman" w:hAnsi="Times New Roman" w:cs="Times New Roman"/>
          <w:color w:val="000000" w:themeColor="text1"/>
          <w:sz w:val="28"/>
          <w:szCs w:val="28"/>
        </w:rPr>
        <w:t>2</w:t>
      </w:r>
      <w:r w:rsidRPr="00CC7883">
        <w:rPr>
          <w:rFonts w:ascii="Times New Roman" w:eastAsia="Times New Roman" w:hAnsi="Times New Roman" w:cs="Times New Roman"/>
          <w:color w:val="000000" w:themeColor="text1"/>
          <w:sz w:val="28"/>
          <w:szCs w:val="28"/>
        </w:rPr>
        <w:t>]. Приживлюваність таких ініціальних експлантів на поживному середовищі MS була у межах 87,1–100,0 %.</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lastRenderedPageBreak/>
        <w:t xml:space="preserve">Листки і черешки, як ініціальні експланти, застосовували для введення в культуру тканин і органів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рослин </w:t>
      </w:r>
      <w:r w:rsidRPr="00CC7883">
        <w:rPr>
          <w:rFonts w:ascii="Times New Roman" w:eastAsia="Times New Roman" w:hAnsi="Times New Roman" w:cs="Times New Roman"/>
          <w:bCs/>
          <w:color w:val="000000" w:themeColor="text1"/>
          <w:sz w:val="28"/>
          <w:szCs w:val="28"/>
        </w:rPr>
        <w:t>бікси орельяної</w:t>
      </w:r>
      <w:r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i/>
          <w:iCs/>
          <w:color w:val="000000" w:themeColor="text1"/>
          <w:sz w:val="28"/>
          <w:szCs w:val="28"/>
        </w:rPr>
        <w:t xml:space="preserve">Bixa orellana </w:t>
      </w:r>
      <w:r w:rsidRPr="00CC7883">
        <w:rPr>
          <w:rFonts w:ascii="Times New Roman" w:eastAsia="Times New Roman" w:hAnsi="Times New Roman" w:cs="Times New Roman"/>
          <w:color w:val="000000" w:themeColor="text1"/>
          <w:sz w:val="28"/>
          <w:szCs w:val="28"/>
        </w:rPr>
        <w:t>L.) [18</w:t>
      </w:r>
      <w:r w:rsidR="00B112D7" w:rsidRPr="00CC7883">
        <w:rPr>
          <w:rFonts w:ascii="Times New Roman" w:eastAsia="Times New Roman" w:hAnsi="Times New Roman" w:cs="Times New Roman"/>
          <w:color w:val="000000" w:themeColor="text1"/>
          <w:sz w:val="28"/>
          <w:szCs w:val="28"/>
        </w:rPr>
        <w:t>2</w:t>
      </w:r>
      <w:r w:rsidRPr="00CC7883">
        <w:rPr>
          <w:rFonts w:ascii="Times New Roman" w:eastAsia="Times New Roman" w:hAnsi="Times New Roman" w:cs="Times New Roman"/>
          <w:color w:val="000000" w:themeColor="text1"/>
          <w:sz w:val="28"/>
          <w:szCs w:val="28"/>
        </w:rPr>
        <w:t>], ятрофи куркас (</w:t>
      </w:r>
      <w:r w:rsidRPr="00CC7883">
        <w:rPr>
          <w:rFonts w:ascii="Times New Roman" w:eastAsia="Times New Roman" w:hAnsi="Times New Roman" w:cs="Times New Roman"/>
          <w:i/>
          <w:iCs/>
          <w:color w:val="000000" w:themeColor="text1"/>
          <w:sz w:val="28"/>
          <w:szCs w:val="28"/>
        </w:rPr>
        <w:t xml:space="preserve">Jatropha curcas </w:t>
      </w:r>
      <w:r w:rsidRPr="00CC7883">
        <w:rPr>
          <w:rFonts w:ascii="Times New Roman" w:eastAsia="Times New Roman" w:hAnsi="Times New Roman" w:cs="Times New Roman"/>
          <w:color w:val="000000" w:themeColor="text1"/>
          <w:sz w:val="28"/>
          <w:szCs w:val="28"/>
        </w:rPr>
        <w:t>L.) [17</w:t>
      </w:r>
      <w:r w:rsidR="00B112D7" w:rsidRPr="00CC7883">
        <w:rPr>
          <w:rFonts w:ascii="Times New Roman" w:eastAsia="Times New Roman" w:hAnsi="Times New Roman" w:cs="Times New Roman"/>
          <w:color w:val="000000" w:themeColor="text1"/>
          <w:sz w:val="28"/>
          <w:szCs w:val="28"/>
        </w:rPr>
        <w:t>0</w:t>
      </w:r>
      <w:r w:rsidRPr="00CC7883">
        <w:rPr>
          <w:rFonts w:ascii="Times New Roman" w:eastAsia="Times New Roman" w:hAnsi="Times New Roman" w:cs="Times New Roman"/>
          <w:color w:val="000000" w:themeColor="text1"/>
          <w:sz w:val="28"/>
          <w:szCs w:val="28"/>
        </w:rPr>
        <w:t>], шпинату городнього (</w:t>
      </w:r>
      <w:r w:rsidRPr="00CC7883">
        <w:rPr>
          <w:rFonts w:ascii="Times New Roman" w:eastAsia="Times New Roman" w:hAnsi="Times New Roman" w:cs="Times New Roman"/>
          <w:i/>
          <w:iCs/>
          <w:color w:val="000000" w:themeColor="text1"/>
          <w:sz w:val="28"/>
          <w:szCs w:val="28"/>
        </w:rPr>
        <w:t xml:space="preserve">Spinacia oleracea </w:t>
      </w:r>
      <w:r w:rsidRPr="00CC7883">
        <w:rPr>
          <w:rFonts w:ascii="Times New Roman" w:eastAsia="Times New Roman" w:hAnsi="Times New Roman" w:cs="Times New Roman"/>
          <w:color w:val="000000" w:themeColor="text1"/>
          <w:sz w:val="28"/>
          <w:szCs w:val="28"/>
        </w:rPr>
        <w:t>L.) [13</w:t>
      </w:r>
      <w:r w:rsidR="00B96E04" w:rsidRPr="00CC7883">
        <w:rPr>
          <w:rFonts w:ascii="Times New Roman" w:eastAsia="Times New Roman" w:hAnsi="Times New Roman" w:cs="Times New Roman"/>
          <w:color w:val="000000" w:themeColor="text1"/>
          <w:sz w:val="28"/>
          <w:szCs w:val="28"/>
        </w:rPr>
        <w:t>6</w:t>
      </w:r>
      <w:r w:rsidRPr="00CC7883">
        <w:rPr>
          <w:rFonts w:ascii="Times New Roman" w:eastAsia="Times New Roman" w:hAnsi="Times New Roman" w:cs="Times New Roman"/>
          <w:color w:val="000000" w:themeColor="text1"/>
          <w:sz w:val="28"/>
          <w:szCs w:val="28"/>
        </w:rPr>
        <w:t>] та катарантусу рожевого (</w:t>
      </w:r>
      <w:r w:rsidRPr="00CC7883">
        <w:rPr>
          <w:rFonts w:ascii="Times New Roman" w:eastAsia="Times New Roman" w:hAnsi="Times New Roman" w:cs="Times New Roman"/>
          <w:i/>
          <w:iCs/>
          <w:color w:val="000000" w:themeColor="text1"/>
          <w:sz w:val="28"/>
          <w:szCs w:val="28"/>
        </w:rPr>
        <w:t xml:space="preserve">Catharanthus roseus </w:t>
      </w:r>
      <w:r w:rsidRPr="00CC7883">
        <w:rPr>
          <w:rFonts w:ascii="Times New Roman" w:eastAsia="Times New Roman" w:hAnsi="Times New Roman" w:cs="Times New Roman"/>
          <w:color w:val="000000" w:themeColor="text1"/>
          <w:sz w:val="28"/>
          <w:szCs w:val="28"/>
        </w:rPr>
        <w:t>L.) [10</w:t>
      </w:r>
      <w:r w:rsidR="00B96E04" w:rsidRPr="00CC7883">
        <w:rPr>
          <w:rFonts w:ascii="Times New Roman" w:eastAsia="Times New Roman" w:hAnsi="Times New Roman" w:cs="Times New Roman"/>
          <w:color w:val="000000" w:themeColor="text1"/>
          <w:sz w:val="28"/>
          <w:szCs w:val="28"/>
        </w:rPr>
        <w:t>4</w:t>
      </w:r>
      <w:r w:rsidRPr="00CC7883">
        <w:rPr>
          <w:rFonts w:ascii="Times New Roman" w:eastAsia="Times New Roman" w:hAnsi="Times New Roman" w:cs="Times New Roman"/>
          <w:color w:val="000000" w:themeColor="text1"/>
          <w:sz w:val="28"/>
          <w:szCs w:val="28"/>
        </w:rPr>
        <w:t>]. Показано, що такі ініціальні експланти приживалися по-різному – від 32,7–35,0 % (ятрофа куркас та шпинат городній) до 95,0 % (</w:t>
      </w:r>
      <w:r w:rsidRPr="00CC7883">
        <w:rPr>
          <w:rFonts w:ascii="Times New Roman" w:eastAsia="Times New Roman" w:hAnsi="Times New Roman" w:cs="Times New Roman"/>
          <w:bCs/>
          <w:color w:val="000000" w:themeColor="text1"/>
          <w:sz w:val="28"/>
          <w:szCs w:val="28"/>
        </w:rPr>
        <w:t>бікса орельяна</w:t>
      </w:r>
      <w:r w:rsidRPr="00CC7883">
        <w:rPr>
          <w:rFonts w:ascii="Times New Roman" w:eastAsia="Times New Roman" w:hAnsi="Times New Roman" w:cs="Times New Roman"/>
          <w:color w:val="000000" w:themeColor="text1"/>
          <w:sz w:val="28"/>
          <w:szCs w:val="28"/>
        </w:rPr>
        <w:t xml:space="preserve"> і катарантус рожевий).</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Для розмноження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фаленопсису амбонського (</w:t>
      </w:r>
      <w:r w:rsidRPr="00CC7883">
        <w:rPr>
          <w:rFonts w:ascii="Times New Roman" w:eastAsia="Times New Roman" w:hAnsi="Times New Roman" w:cs="Times New Roman"/>
          <w:i/>
          <w:iCs/>
          <w:color w:val="000000" w:themeColor="text1"/>
          <w:sz w:val="28"/>
          <w:szCs w:val="28"/>
        </w:rPr>
        <w:t xml:space="preserve">Phalaenopsis amboinensis </w:t>
      </w:r>
      <w:r w:rsidRPr="00CC7883">
        <w:rPr>
          <w:rFonts w:ascii="Times New Roman" w:eastAsia="Times New Roman" w:hAnsi="Times New Roman" w:cs="Times New Roman"/>
          <w:color w:val="000000" w:themeColor="text1"/>
          <w:sz w:val="28"/>
          <w:szCs w:val="28"/>
        </w:rPr>
        <w:t>J.</w:t>
      </w:r>
      <w:r w:rsidR="00251B64">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J.</w:t>
      </w:r>
      <w:r w:rsidR="00251B64">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Sm.), тирлича весняного (</w:t>
      </w:r>
      <w:r w:rsidRPr="00CC7883">
        <w:rPr>
          <w:rFonts w:ascii="Times New Roman" w:eastAsia="Times New Roman" w:hAnsi="Times New Roman" w:cs="Times New Roman"/>
          <w:i/>
          <w:iCs/>
          <w:color w:val="000000" w:themeColor="text1"/>
          <w:sz w:val="28"/>
          <w:szCs w:val="28"/>
        </w:rPr>
        <w:t xml:space="preserve">Gentiana verna </w:t>
      </w:r>
      <w:r w:rsidRPr="00CC7883">
        <w:rPr>
          <w:rFonts w:ascii="Times New Roman" w:eastAsia="Times New Roman" w:hAnsi="Times New Roman" w:cs="Times New Roman"/>
          <w:color w:val="000000" w:themeColor="text1"/>
          <w:sz w:val="28"/>
          <w:szCs w:val="28"/>
        </w:rPr>
        <w:t xml:space="preserve">L.), </w:t>
      </w:r>
      <w:r w:rsidRPr="00CC7883">
        <w:rPr>
          <w:rFonts w:ascii="Times New Roman" w:eastAsia="Times New Roman" w:hAnsi="Times New Roman" w:cs="Times New Roman"/>
          <w:i/>
          <w:iCs/>
          <w:color w:val="000000" w:themeColor="text1"/>
          <w:sz w:val="28"/>
          <w:szCs w:val="28"/>
        </w:rPr>
        <w:t xml:space="preserve">Hypericum adenotrichum </w:t>
      </w:r>
      <w:r w:rsidRPr="00CC7883">
        <w:rPr>
          <w:rFonts w:ascii="Times New Roman" w:eastAsia="Times New Roman" w:hAnsi="Times New Roman" w:cs="Times New Roman"/>
          <w:color w:val="000000" w:themeColor="text1"/>
          <w:sz w:val="28"/>
          <w:szCs w:val="28"/>
        </w:rPr>
        <w:t xml:space="preserve">Spach, </w:t>
      </w:r>
      <w:r w:rsidR="00C45460">
        <w:rPr>
          <w:rFonts w:ascii="Times New Roman" w:eastAsia="Times New Roman" w:hAnsi="Times New Roman" w:cs="Times New Roman"/>
          <w:color w:val="000000" w:themeColor="text1"/>
          <w:sz w:val="28"/>
          <w:szCs w:val="28"/>
        </w:rPr>
        <w:t>як</w:t>
      </w:r>
      <w:r w:rsidRPr="00CC7883">
        <w:rPr>
          <w:rFonts w:ascii="Times New Roman" w:eastAsia="Times New Roman" w:hAnsi="Times New Roman" w:cs="Times New Roman"/>
          <w:color w:val="000000" w:themeColor="text1"/>
          <w:sz w:val="28"/>
          <w:szCs w:val="28"/>
        </w:rPr>
        <w:t xml:space="preserve"> ініціальних експлантів використовували насіння. Але позитивні результати отримували тільки у разі використання поживного середовища VW та модифікованого поживного середовища MS. Рівень регенерації та приживлюваності дорівнював 100,0 % [25</w:t>
      </w:r>
      <w:r w:rsidR="009E747E" w:rsidRPr="00CC7883">
        <w:rPr>
          <w:rFonts w:ascii="Times New Roman" w:eastAsia="Times New Roman" w:hAnsi="Times New Roman" w:cs="Times New Roman"/>
          <w:color w:val="000000" w:themeColor="text1"/>
          <w:sz w:val="28"/>
          <w:szCs w:val="28"/>
        </w:rPr>
        <w:t>2</w:t>
      </w:r>
      <w:r w:rsidR="00F44ECE" w:rsidRPr="00C634FF">
        <w:rPr>
          <w:rFonts w:ascii="Times New Roman" w:eastAsia="Times New Roman" w:hAnsi="Times New Roman" w:cs="Times New Roman"/>
          <w:color w:val="000000" w:themeColor="text1"/>
          <w:sz w:val="28"/>
          <w:szCs w:val="28"/>
        </w:rPr>
        <w:t>,</w:t>
      </w:r>
      <w:r w:rsidR="00C818CF" w:rsidRPr="00CC7883">
        <w:rPr>
          <w:rFonts w:ascii="Times New Roman" w:eastAsia="Times New Roman" w:hAnsi="Times New Roman" w:cs="Times New Roman"/>
          <w:color w:val="000000" w:themeColor="text1"/>
          <w:sz w:val="28"/>
          <w:szCs w:val="28"/>
        </w:rPr>
        <w:t xml:space="preserve"> 57</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26</w:t>
      </w:r>
      <w:r w:rsidR="009E747E" w:rsidRPr="00CC7883">
        <w:rPr>
          <w:rFonts w:ascii="Times New Roman" w:eastAsia="Times New Roman" w:hAnsi="Times New Roman" w:cs="Times New Roman"/>
          <w:color w:val="000000" w:themeColor="text1"/>
          <w:sz w:val="28"/>
          <w:szCs w:val="28"/>
        </w:rPr>
        <w:t>2</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Введення в культуру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008B5203"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суцвіть і бутонів рослин кокосової пальми (</w:t>
      </w:r>
      <w:r w:rsidRPr="00CC7883">
        <w:rPr>
          <w:rFonts w:ascii="Times New Roman" w:eastAsia="Times New Roman" w:hAnsi="Times New Roman" w:cs="Times New Roman"/>
          <w:i/>
          <w:iCs/>
          <w:color w:val="000000" w:themeColor="text1"/>
          <w:sz w:val="28"/>
          <w:szCs w:val="28"/>
        </w:rPr>
        <w:t>Cocos nucifera</w:t>
      </w:r>
      <w:r w:rsidR="00AB77B3"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L.) [22</w:t>
      </w:r>
      <w:r w:rsidR="009E747E" w:rsidRPr="00CC7883">
        <w:rPr>
          <w:rFonts w:ascii="Times New Roman" w:eastAsia="Times New Roman" w:hAnsi="Times New Roman" w:cs="Times New Roman"/>
          <w:color w:val="000000" w:themeColor="text1"/>
          <w:sz w:val="28"/>
          <w:szCs w:val="28"/>
        </w:rPr>
        <w:t>6</w:t>
      </w:r>
      <w:r w:rsidRPr="00CC7883">
        <w:rPr>
          <w:rFonts w:ascii="Times New Roman" w:eastAsia="Times New Roman" w:hAnsi="Times New Roman" w:cs="Times New Roman"/>
          <w:color w:val="000000" w:themeColor="text1"/>
          <w:sz w:val="28"/>
          <w:szCs w:val="28"/>
        </w:rPr>
        <w:t>], целозії сріблястої (</w:t>
      </w:r>
      <w:r w:rsidRPr="00CC7883">
        <w:rPr>
          <w:rFonts w:ascii="Times New Roman" w:eastAsia="Times New Roman" w:hAnsi="Times New Roman" w:cs="Times New Roman"/>
          <w:i/>
          <w:iCs/>
          <w:color w:val="000000" w:themeColor="text1"/>
          <w:sz w:val="28"/>
          <w:szCs w:val="28"/>
        </w:rPr>
        <w:t>Celosia</w:t>
      </w:r>
      <w:r w:rsidR="00AB77B3"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i/>
          <w:iCs/>
          <w:color w:val="000000" w:themeColor="text1"/>
          <w:sz w:val="28"/>
          <w:szCs w:val="28"/>
        </w:rPr>
        <w:t>argentea</w:t>
      </w:r>
      <w:r w:rsidR="00AB77B3"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L</w:t>
      </w:r>
      <w:r w:rsidR="00C818CF" w:rsidRPr="00CC7883">
        <w:rPr>
          <w:rFonts w:ascii="Times New Roman" w:eastAsia="Times New Roman" w:hAnsi="Times New Roman" w:cs="Times New Roman"/>
          <w:color w:val="000000" w:themeColor="text1"/>
          <w:sz w:val="28"/>
          <w:szCs w:val="28"/>
        </w:rPr>
        <w:t>.) [97</w:t>
      </w:r>
      <w:r w:rsidRPr="00CC7883">
        <w:rPr>
          <w:rFonts w:ascii="Times New Roman" w:eastAsia="Times New Roman" w:hAnsi="Times New Roman" w:cs="Times New Roman"/>
          <w:color w:val="000000" w:themeColor="text1"/>
          <w:sz w:val="28"/>
          <w:szCs w:val="28"/>
        </w:rPr>
        <w:t>], гербери Джеймсона (</w:t>
      </w:r>
      <w:r w:rsidRPr="00CC7883">
        <w:rPr>
          <w:rFonts w:ascii="Times New Roman" w:eastAsia="Times New Roman" w:hAnsi="Times New Roman" w:cs="Times New Roman"/>
          <w:i/>
          <w:iCs/>
          <w:color w:val="000000" w:themeColor="text1"/>
          <w:sz w:val="28"/>
          <w:szCs w:val="28"/>
        </w:rPr>
        <w:t>Gerbera</w:t>
      </w:r>
      <w:r w:rsidR="00AB77B3"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i/>
          <w:iCs/>
          <w:color w:val="000000" w:themeColor="text1"/>
          <w:sz w:val="28"/>
          <w:szCs w:val="28"/>
        </w:rPr>
        <w:t>jamesonii</w:t>
      </w:r>
      <w:r w:rsidRPr="00CC7883">
        <w:rPr>
          <w:rFonts w:ascii="Times New Roman" w:eastAsia="Times New Roman" w:hAnsi="Times New Roman" w:cs="Times New Roman"/>
          <w:color w:val="000000" w:themeColor="text1"/>
          <w:sz w:val="28"/>
          <w:szCs w:val="28"/>
        </w:rPr>
        <w:t xml:space="preserve"> Bolus ex H</w:t>
      </w:r>
      <w:r w:rsidR="00C818CF" w:rsidRPr="00CC7883">
        <w:rPr>
          <w:rFonts w:ascii="Times New Roman" w:eastAsia="Times New Roman" w:hAnsi="Times New Roman" w:cs="Times New Roman"/>
          <w:color w:val="000000" w:themeColor="text1"/>
          <w:sz w:val="28"/>
          <w:szCs w:val="28"/>
        </w:rPr>
        <w:t>ooker f.) [78</w:t>
      </w:r>
      <w:r w:rsidRPr="00CC7883">
        <w:rPr>
          <w:rFonts w:ascii="Times New Roman" w:eastAsia="Times New Roman" w:hAnsi="Times New Roman" w:cs="Times New Roman"/>
          <w:color w:val="000000" w:themeColor="text1"/>
          <w:sz w:val="28"/>
          <w:szCs w:val="28"/>
        </w:rPr>
        <w:t>], забезпечувало приживлюваність експлантів на рівні 65,0–85,0 %.</w:t>
      </w:r>
    </w:p>
    <w:p w:rsidR="00B01A54" w:rsidRPr="00CC7883" w:rsidRDefault="00B01A54" w:rsidP="00047411">
      <w:pPr>
        <w:widowControl w:val="0"/>
        <w:tabs>
          <w:tab w:val="left" w:pos="3281"/>
        </w:tabs>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Для введення винограду в культуру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008B5203" w:rsidRPr="00CC7883">
        <w:rPr>
          <w:rFonts w:ascii="Times New Roman" w:eastAsia="Times New Roman" w:hAnsi="Times New Roman" w:cs="Times New Roman"/>
          <w:i/>
          <w:iCs/>
          <w:color w:val="000000" w:themeColor="text1"/>
          <w:sz w:val="28"/>
          <w:szCs w:val="28"/>
        </w:rPr>
        <w:t xml:space="preserve"> </w:t>
      </w:r>
      <w:r w:rsidR="00C45460">
        <w:rPr>
          <w:rFonts w:ascii="Times New Roman" w:eastAsia="Times New Roman" w:hAnsi="Times New Roman" w:cs="Times New Roman"/>
          <w:color w:val="000000" w:themeColor="text1"/>
          <w:sz w:val="28"/>
          <w:szCs w:val="28"/>
        </w:rPr>
        <w:t>як</w:t>
      </w:r>
      <w:r w:rsidRPr="00CC7883">
        <w:rPr>
          <w:rFonts w:ascii="Times New Roman" w:eastAsia="Times New Roman" w:hAnsi="Times New Roman" w:cs="Times New Roman"/>
          <w:color w:val="000000" w:themeColor="text1"/>
          <w:sz w:val="28"/>
          <w:szCs w:val="28"/>
        </w:rPr>
        <w:t xml:space="preserve"> ініціальних експлантів використовували верхівки пагонів, бічні бруньки, калус, пиляки і насіннєві зачатки [62]. Проте для прискореного розмноження цінних форм, сортів та клонів винограду доцільно використовувати одновічкові мікрочубуки, відібрані з 1 по 6 вузол та верхівкові меристеми. Зокрема</w:t>
      </w:r>
      <w:r w:rsidR="00520D90">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у роботах співробітників ННЦ «ІВіВ ім. В.</w:t>
      </w:r>
      <w:r w:rsidR="00396E12">
        <w:rPr>
          <w:rFonts w:ascii="Times New Roman" w:eastAsia="Times New Roman" w:hAnsi="Times New Roman" w:cs="Times New Roman"/>
          <w:color w:val="000000" w:themeColor="text1"/>
          <w:sz w:val="28"/>
          <w:szCs w:val="28"/>
        </w:rPr>
        <w:t> </w:t>
      </w:r>
      <w:r w:rsidRPr="00CC7883">
        <w:rPr>
          <w:rFonts w:ascii="Times New Roman" w:eastAsia="Times New Roman" w:hAnsi="Times New Roman" w:cs="Times New Roman"/>
          <w:color w:val="000000" w:themeColor="text1"/>
          <w:sz w:val="28"/>
          <w:szCs w:val="28"/>
        </w:rPr>
        <w:t>Є.</w:t>
      </w:r>
      <w:r w:rsidR="00396E12">
        <w:rPr>
          <w:rFonts w:ascii="Times New Roman" w:eastAsia="Times New Roman" w:hAnsi="Times New Roman" w:cs="Times New Roman"/>
          <w:color w:val="000000" w:themeColor="text1"/>
          <w:sz w:val="28"/>
          <w:szCs w:val="28"/>
        </w:rPr>
        <w:t> </w:t>
      </w:r>
      <w:r w:rsidRPr="00CC7883">
        <w:rPr>
          <w:rFonts w:ascii="Times New Roman" w:eastAsia="Times New Roman" w:hAnsi="Times New Roman" w:cs="Times New Roman"/>
          <w:color w:val="000000" w:themeColor="text1"/>
          <w:sz w:val="28"/>
          <w:szCs w:val="28"/>
        </w:rPr>
        <w:t>Таїрова» доведено, що процеси морфогенезу активніше відбувалися в ініціальних експлантах з апексів і мікрочубук</w:t>
      </w:r>
      <w:r w:rsidR="004B64FE">
        <w:rPr>
          <w:rFonts w:ascii="Times New Roman" w:eastAsia="Times New Roman" w:hAnsi="Times New Roman" w:cs="Times New Roman"/>
          <w:color w:val="000000" w:themeColor="text1"/>
          <w:sz w:val="28"/>
          <w:szCs w:val="28"/>
        </w:rPr>
        <w:t>ів</w:t>
      </w:r>
      <w:r w:rsidR="00BA46AD">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взятих на рівні 3-го, 4-го вузлів пагонів вегетуючих кущів [5</w:t>
      </w:r>
      <w:r w:rsidR="00C818CF" w:rsidRPr="00CC7883">
        <w:rPr>
          <w:rFonts w:ascii="Times New Roman" w:eastAsia="Times New Roman" w:hAnsi="Times New Roman" w:cs="Times New Roman"/>
          <w:color w:val="000000" w:themeColor="text1"/>
          <w:sz w:val="28"/>
          <w:szCs w:val="28"/>
        </w:rPr>
        <w:t>5</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bCs/>
          <w:color w:val="000000" w:themeColor="text1"/>
          <w:sz w:val="28"/>
          <w:szCs w:val="28"/>
        </w:rPr>
        <w:t>7</w:t>
      </w:r>
      <w:r w:rsidR="00C818CF" w:rsidRPr="00CC7883">
        <w:rPr>
          <w:rFonts w:ascii="Times New Roman" w:eastAsia="Times New Roman" w:hAnsi="Times New Roman" w:cs="Times New Roman"/>
          <w:bCs/>
          <w:color w:val="000000" w:themeColor="text1"/>
          <w:sz w:val="28"/>
          <w:szCs w:val="28"/>
        </w:rPr>
        <w:t>0</w:t>
      </w:r>
      <w:r w:rsidRPr="00CC7883">
        <w:rPr>
          <w:rFonts w:ascii="Times New Roman" w:eastAsia="Times New Roman" w:hAnsi="Times New Roman" w:cs="Times New Roman"/>
          <w:bCs/>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Для отримання </w:t>
      </w:r>
      <w:r w:rsidRPr="00CC7883">
        <w:rPr>
          <w:rFonts w:ascii="Times New Roman" w:eastAsia="Times New Roman" w:hAnsi="Times New Roman" w:cs="Times New Roman"/>
          <w:i/>
          <w:iCs/>
          <w:color w:val="000000" w:themeColor="text1"/>
          <w:sz w:val="28"/>
          <w:szCs w:val="28"/>
        </w:rPr>
        <w:t>асептичних культур</w:t>
      </w:r>
      <w:r w:rsidRPr="00CC7883">
        <w:rPr>
          <w:rFonts w:ascii="Times New Roman" w:eastAsia="Times New Roman" w:hAnsi="Times New Roman" w:cs="Times New Roman"/>
          <w:color w:val="000000" w:themeColor="text1"/>
          <w:sz w:val="28"/>
          <w:szCs w:val="28"/>
        </w:rPr>
        <w:t xml:space="preserve"> рослин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рекомендується використовувати широкий спектр бактерицидних речовин – гіпохлорит кальцію і натрію, пероксид водню, нітрат срібла, сулему, діацид, етиловий спирт, розчин хлористої ртуті. Їх успішно застосовували для поверхневої </w:t>
      </w:r>
      <w:r w:rsidRPr="00CC7883">
        <w:rPr>
          <w:rFonts w:ascii="Times New Roman" w:eastAsia="Times New Roman" w:hAnsi="Times New Roman" w:cs="Times New Roman"/>
          <w:color w:val="000000" w:themeColor="text1"/>
          <w:sz w:val="28"/>
          <w:szCs w:val="28"/>
        </w:rPr>
        <w:lastRenderedPageBreak/>
        <w:t>стерилізації вишні звичайної (</w:t>
      </w:r>
      <w:r w:rsidRPr="00CC7883">
        <w:rPr>
          <w:rFonts w:ascii="Times New Roman" w:eastAsia="Times New Roman" w:hAnsi="Times New Roman" w:cs="Times New Roman"/>
          <w:i/>
          <w:iCs/>
          <w:color w:val="000000" w:themeColor="text1"/>
          <w:sz w:val="28"/>
          <w:szCs w:val="28"/>
        </w:rPr>
        <w:t>Prunus cerasus</w:t>
      </w:r>
      <w:r w:rsidR="002E1740"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L</w:t>
      </w:r>
      <w:r w:rsidR="00B112D7" w:rsidRPr="00CC7883">
        <w:rPr>
          <w:rFonts w:ascii="Times New Roman" w:eastAsia="Times New Roman" w:hAnsi="Times New Roman" w:cs="Times New Roman"/>
          <w:color w:val="000000" w:themeColor="text1"/>
          <w:sz w:val="28"/>
          <w:szCs w:val="28"/>
        </w:rPr>
        <w:t>.) [179</w:t>
      </w:r>
      <w:r w:rsidRPr="00CC7883">
        <w:rPr>
          <w:rFonts w:ascii="Times New Roman" w:eastAsia="Times New Roman" w:hAnsi="Times New Roman" w:cs="Times New Roman"/>
          <w:color w:val="000000" w:themeColor="text1"/>
          <w:sz w:val="28"/>
          <w:szCs w:val="28"/>
        </w:rPr>
        <w:t>], водяного салату (</w:t>
      </w:r>
      <w:r w:rsidRPr="00CC7883">
        <w:rPr>
          <w:rFonts w:ascii="Times New Roman" w:eastAsia="Times New Roman" w:hAnsi="Times New Roman" w:cs="Times New Roman"/>
          <w:i/>
          <w:iCs/>
          <w:color w:val="000000" w:themeColor="text1"/>
          <w:sz w:val="28"/>
          <w:szCs w:val="28"/>
        </w:rPr>
        <w:t>Pistia stratiotes</w:t>
      </w:r>
      <w:r w:rsidR="002E1740"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L.) [7</w:t>
      </w:r>
      <w:r w:rsidR="00C818CF" w:rsidRPr="00CC7883">
        <w:rPr>
          <w:rFonts w:ascii="Times New Roman" w:eastAsia="Times New Roman" w:hAnsi="Times New Roman" w:cs="Times New Roman"/>
          <w:color w:val="000000" w:themeColor="text1"/>
          <w:sz w:val="28"/>
          <w:szCs w:val="28"/>
        </w:rPr>
        <w:t>1</w:t>
      </w:r>
      <w:r w:rsidRPr="00CC7883">
        <w:rPr>
          <w:rFonts w:ascii="Times New Roman" w:eastAsia="Times New Roman" w:hAnsi="Times New Roman" w:cs="Times New Roman"/>
          <w:color w:val="000000" w:themeColor="text1"/>
          <w:sz w:val="28"/>
          <w:szCs w:val="28"/>
        </w:rPr>
        <w:t>], картоплі їстівної (</w:t>
      </w:r>
      <w:r w:rsidRPr="00CC7883">
        <w:rPr>
          <w:rFonts w:ascii="Times New Roman" w:eastAsia="Times New Roman" w:hAnsi="Times New Roman" w:cs="Times New Roman"/>
          <w:i/>
          <w:iCs/>
          <w:color w:val="000000" w:themeColor="text1"/>
          <w:sz w:val="28"/>
          <w:szCs w:val="28"/>
        </w:rPr>
        <w:t>Solanum tuberosum</w:t>
      </w:r>
      <w:r w:rsidR="002E1740"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L.) [8</w:t>
      </w:r>
      <w:r w:rsidR="00C818CF" w:rsidRPr="00CC7883">
        <w:rPr>
          <w:rFonts w:ascii="Times New Roman" w:eastAsia="Times New Roman" w:hAnsi="Times New Roman" w:cs="Times New Roman"/>
          <w:color w:val="000000" w:themeColor="text1"/>
          <w:sz w:val="28"/>
          <w:szCs w:val="28"/>
        </w:rPr>
        <w:t>5</w:t>
      </w:r>
      <w:r w:rsidRPr="00CC7883">
        <w:rPr>
          <w:rFonts w:ascii="Times New Roman" w:eastAsia="Times New Roman" w:hAnsi="Times New Roman" w:cs="Times New Roman"/>
          <w:color w:val="000000" w:themeColor="text1"/>
          <w:sz w:val="28"/>
          <w:szCs w:val="28"/>
        </w:rPr>
        <w:t>], рівень контамінації знижувався, залежно від виду рослин, до 5,0–6,0 %.</w:t>
      </w:r>
    </w:p>
    <w:p w:rsidR="00B01A54" w:rsidRPr="00CC7883" w:rsidRDefault="00B01A54" w:rsidP="00047411">
      <w:pPr>
        <w:widowControl w:val="0"/>
        <w:tabs>
          <w:tab w:val="left" w:pos="3281"/>
        </w:tabs>
        <w:spacing w:after="0" w:line="360" w:lineRule="auto"/>
        <w:ind w:firstLine="709"/>
        <w:jc w:val="both"/>
        <w:rPr>
          <w:rFonts w:ascii="Times New Roman" w:hAnsi="Times New Roman" w:cs="Times New Roman"/>
          <w:color w:val="000000" w:themeColor="text1"/>
        </w:rPr>
      </w:pPr>
      <w:r w:rsidRPr="00CC7883">
        <w:rPr>
          <w:rFonts w:ascii="Times New Roman" w:eastAsia="Times New Roman" w:hAnsi="Times New Roman" w:cs="Times New Roman"/>
          <w:color w:val="000000" w:themeColor="text1"/>
          <w:sz w:val="28"/>
          <w:szCs w:val="28"/>
        </w:rPr>
        <w:t>Для зменшення ендогенного ураження ініціальних експлантів бактеріями, грибковими забруднювачами до поживного середовища додавали антибіотики, такі як тетрациклін, рифампіцин [11</w:t>
      </w:r>
      <w:r w:rsidR="00C818CF" w:rsidRPr="00CC7883">
        <w:rPr>
          <w:rFonts w:ascii="Times New Roman" w:eastAsia="Times New Roman" w:hAnsi="Times New Roman" w:cs="Times New Roman"/>
          <w:color w:val="000000" w:themeColor="text1"/>
          <w:sz w:val="28"/>
          <w:szCs w:val="28"/>
        </w:rPr>
        <w:t>2</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13</w:t>
      </w:r>
      <w:r w:rsidR="00C818CF" w:rsidRPr="00CC7883">
        <w:rPr>
          <w:rFonts w:ascii="Times New Roman" w:eastAsia="Times New Roman" w:hAnsi="Times New Roman" w:cs="Times New Roman"/>
          <w:color w:val="000000" w:themeColor="text1"/>
          <w:sz w:val="28"/>
          <w:szCs w:val="28"/>
        </w:rPr>
        <w:t>0</w:t>
      </w:r>
      <w:r w:rsidRPr="00CC7883">
        <w:rPr>
          <w:rFonts w:ascii="Times New Roman" w:eastAsia="Times New Roman" w:hAnsi="Times New Roman" w:cs="Times New Roman"/>
          <w:color w:val="000000" w:themeColor="text1"/>
          <w:sz w:val="28"/>
          <w:szCs w:val="28"/>
        </w:rPr>
        <w:t>], цефатоксим [15</w:t>
      </w:r>
      <w:r w:rsidR="00B112D7" w:rsidRPr="00CC7883">
        <w:rPr>
          <w:rFonts w:ascii="Times New Roman" w:eastAsia="Times New Roman" w:hAnsi="Times New Roman" w:cs="Times New Roman"/>
          <w:color w:val="000000" w:themeColor="text1"/>
          <w:sz w:val="28"/>
          <w:szCs w:val="28"/>
        </w:rPr>
        <w:t>6</w:t>
      </w:r>
      <w:r w:rsidRPr="00CC7883">
        <w:rPr>
          <w:rFonts w:ascii="Times New Roman" w:eastAsia="Times New Roman" w:hAnsi="Times New Roman" w:cs="Times New Roman"/>
          <w:color w:val="000000" w:themeColor="text1"/>
          <w:sz w:val="28"/>
          <w:szCs w:val="28"/>
        </w:rPr>
        <w:t>], карбеніцилін, канаміцин, стрептоміцин [16</w:t>
      </w:r>
      <w:r w:rsidR="00C818CF" w:rsidRPr="00CC7883">
        <w:rPr>
          <w:rFonts w:ascii="Times New Roman" w:eastAsia="Times New Roman" w:hAnsi="Times New Roman" w:cs="Times New Roman"/>
          <w:color w:val="000000" w:themeColor="text1"/>
          <w:sz w:val="28"/>
          <w:szCs w:val="28"/>
        </w:rPr>
        <w:t>6</w:t>
      </w:r>
      <w:r w:rsidRPr="00CC7883">
        <w:rPr>
          <w:rFonts w:ascii="Times New Roman" w:eastAsia="Times New Roman" w:hAnsi="Times New Roman" w:cs="Times New Roman"/>
          <w:color w:val="000000" w:themeColor="text1"/>
          <w:sz w:val="28"/>
          <w:szCs w:val="28"/>
        </w:rPr>
        <w:t>]</w:t>
      </w:r>
      <w:r w:rsidR="00B112D7" w:rsidRPr="00CC7883">
        <w:rPr>
          <w:rFonts w:ascii="Times New Roman" w:eastAsia="Times New Roman" w:hAnsi="Times New Roman" w:cs="Times New Roman"/>
          <w:color w:val="000000" w:themeColor="text1"/>
          <w:sz w:val="28"/>
          <w:szCs w:val="28"/>
        </w:rPr>
        <w:t>, а також препарати Тіментін [239</w:t>
      </w:r>
      <w:r w:rsidRPr="00CC7883">
        <w:rPr>
          <w:rFonts w:ascii="Times New Roman" w:eastAsia="Times New Roman" w:hAnsi="Times New Roman" w:cs="Times New Roman"/>
          <w:color w:val="000000" w:themeColor="text1"/>
          <w:sz w:val="28"/>
          <w:szCs w:val="28"/>
        </w:rPr>
        <w:t>], Хорус [6</w:t>
      </w:r>
      <w:r w:rsidR="00C818CF" w:rsidRPr="00CC7883">
        <w:rPr>
          <w:rFonts w:ascii="Times New Roman" w:eastAsia="Times New Roman" w:hAnsi="Times New Roman" w:cs="Times New Roman"/>
          <w:color w:val="000000" w:themeColor="text1"/>
          <w:sz w:val="28"/>
          <w:szCs w:val="28"/>
        </w:rPr>
        <w:t>3</w:t>
      </w:r>
      <w:r w:rsidRPr="00CC7883">
        <w:rPr>
          <w:rFonts w:ascii="Times New Roman" w:eastAsia="Times New Roman" w:hAnsi="Times New Roman" w:cs="Times New Roman"/>
          <w:color w:val="000000" w:themeColor="text1"/>
          <w:sz w:val="28"/>
          <w:szCs w:val="28"/>
        </w:rPr>
        <w:t>], Хлорокс [11</w:t>
      </w:r>
      <w:r w:rsidR="00C818CF" w:rsidRPr="00CC7883">
        <w:rPr>
          <w:rFonts w:ascii="Times New Roman" w:eastAsia="Times New Roman" w:hAnsi="Times New Roman" w:cs="Times New Roman"/>
          <w:color w:val="000000" w:themeColor="text1"/>
          <w:sz w:val="28"/>
          <w:szCs w:val="28"/>
        </w:rPr>
        <w:t>2</w:t>
      </w:r>
      <w:r w:rsidRPr="00CC7883">
        <w:rPr>
          <w:rFonts w:ascii="Times New Roman" w:eastAsia="Times New Roman" w:hAnsi="Times New Roman" w:cs="Times New Roman"/>
          <w:color w:val="000000" w:themeColor="text1"/>
          <w:sz w:val="28"/>
          <w:szCs w:val="28"/>
        </w:rPr>
        <w:t xml:space="preserve">]. Після застосування антибіотиків рівень контамінації рослин </w:t>
      </w:r>
      <w:r w:rsidRPr="00CC7883">
        <w:rPr>
          <w:rFonts w:ascii="Times New Roman" w:eastAsia="Times New Roman" w:hAnsi="Times New Roman" w:cs="Times New Roman"/>
          <w:bCs/>
          <w:color w:val="000000" w:themeColor="text1"/>
          <w:sz w:val="28"/>
          <w:szCs w:val="28"/>
        </w:rPr>
        <w:t>тютюну справжнього (</w:t>
      </w:r>
      <w:r w:rsidRPr="00CC7883">
        <w:rPr>
          <w:rFonts w:ascii="Times New Roman" w:eastAsia="Times New Roman" w:hAnsi="Times New Roman" w:cs="Times New Roman"/>
          <w:bCs/>
          <w:i/>
          <w:color w:val="000000" w:themeColor="text1"/>
          <w:sz w:val="28"/>
          <w:szCs w:val="28"/>
        </w:rPr>
        <w:t>Nicotiana tabacum</w:t>
      </w:r>
      <w:r w:rsidRPr="00CC7883">
        <w:rPr>
          <w:rFonts w:ascii="Times New Roman" w:eastAsia="Times New Roman" w:hAnsi="Times New Roman" w:cs="Times New Roman"/>
          <w:bCs/>
          <w:color w:val="000000" w:themeColor="text1"/>
          <w:sz w:val="28"/>
          <w:szCs w:val="28"/>
        </w:rPr>
        <w:t xml:space="preserve"> L.), вишні пташиної (</w:t>
      </w:r>
      <w:r w:rsidRPr="00CC7883">
        <w:rPr>
          <w:rFonts w:ascii="Times New Roman" w:eastAsia="Times New Roman" w:hAnsi="Times New Roman" w:cs="Times New Roman"/>
          <w:bCs/>
          <w:i/>
          <w:color w:val="000000" w:themeColor="text1"/>
          <w:sz w:val="28"/>
          <w:szCs w:val="28"/>
        </w:rPr>
        <w:t>Prunus avium</w:t>
      </w:r>
      <w:r w:rsidRPr="00CC7883">
        <w:rPr>
          <w:rFonts w:ascii="Times New Roman" w:eastAsia="Times New Roman" w:hAnsi="Times New Roman" w:cs="Times New Roman"/>
          <w:bCs/>
          <w:color w:val="000000" w:themeColor="text1"/>
          <w:sz w:val="28"/>
          <w:szCs w:val="28"/>
        </w:rPr>
        <w:t xml:space="preserve"> L.),</w:t>
      </w:r>
      <w:r w:rsidR="00AD70BD" w:rsidRPr="00CC7883">
        <w:rPr>
          <w:rFonts w:ascii="Times New Roman" w:eastAsia="Times New Roman" w:hAnsi="Times New Roman" w:cs="Times New Roman"/>
          <w:bCs/>
          <w:color w:val="000000" w:themeColor="text1"/>
          <w:sz w:val="28"/>
          <w:szCs w:val="28"/>
        </w:rPr>
        <w:t xml:space="preserve"> </w:t>
      </w:r>
      <w:r w:rsidRPr="00CC7883">
        <w:rPr>
          <w:rFonts w:ascii="Times New Roman" w:eastAsia="Times New Roman" w:hAnsi="Times New Roman" w:cs="Times New Roman"/>
          <w:bCs/>
          <w:color w:val="000000" w:themeColor="text1"/>
          <w:sz w:val="28"/>
          <w:szCs w:val="28"/>
        </w:rPr>
        <w:t>олійної пальми (</w:t>
      </w:r>
      <w:r w:rsidRPr="00CC7883">
        <w:rPr>
          <w:rFonts w:ascii="Times New Roman" w:eastAsia="Times New Roman" w:hAnsi="Times New Roman" w:cs="Times New Roman"/>
          <w:bCs/>
          <w:i/>
          <w:color w:val="000000" w:themeColor="text1"/>
          <w:sz w:val="28"/>
          <w:szCs w:val="28"/>
        </w:rPr>
        <w:t>Elaeis guineensis</w:t>
      </w:r>
      <w:r w:rsidRPr="00CC7883">
        <w:rPr>
          <w:rFonts w:ascii="Times New Roman" w:eastAsia="Times New Roman" w:hAnsi="Times New Roman" w:cs="Times New Roman"/>
          <w:bCs/>
          <w:color w:val="000000" w:themeColor="text1"/>
          <w:sz w:val="28"/>
          <w:szCs w:val="28"/>
        </w:rPr>
        <w:t xml:space="preserve"> Jacq.)</w:t>
      </w:r>
      <w:r w:rsidRPr="00CC7883">
        <w:rPr>
          <w:rFonts w:ascii="Times New Roman" w:eastAsia="Times New Roman" w:hAnsi="Times New Roman" w:cs="Times New Roman"/>
          <w:color w:val="000000" w:themeColor="text1"/>
          <w:sz w:val="28"/>
          <w:szCs w:val="28"/>
        </w:rPr>
        <w:t xml:space="preserve"> зменшувався до 21,1–28,1 %, а рівень приживлюваності</w:t>
      </w:r>
      <w:r w:rsidR="004B64FE">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навпаки</w:t>
      </w:r>
      <w:r w:rsidR="004B64FE">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збільшувався до 90,0 %.</w:t>
      </w:r>
    </w:p>
    <w:p w:rsidR="00B01A54" w:rsidRPr="00CC7883" w:rsidRDefault="00B01A54" w:rsidP="00047411">
      <w:pPr>
        <w:widowControl w:val="0"/>
        <w:tabs>
          <w:tab w:val="left" w:pos="3281"/>
        </w:tabs>
        <w:spacing w:after="0" w:line="360" w:lineRule="auto"/>
        <w:ind w:firstLine="709"/>
        <w:jc w:val="both"/>
        <w:rPr>
          <w:rFonts w:ascii="Times New Roman" w:hAnsi="Times New Roman" w:cs="Times New Roman"/>
          <w:color w:val="000000" w:themeColor="text1"/>
        </w:rPr>
      </w:pPr>
      <w:r w:rsidRPr="00CC7883">
        <w:rPr>
          <w:rFonts w:ascii="Times New Roman" w:eastAsia="Times New Roman" w:hAnsi="Times New Roman" w:cs="Times New Roman"/>
          <w:color w:val="000000" w:themeColor="text1"/>
          <w:sz w:val="28"/>
          <w:szCs w:val="28"/>
        </w:rPr>
        <w:t>Для винограду позитивні результати стосовно стерилізації було отримано після додавання до поживного середовища 7,0 % розчину Ca(OCl)</w:t>
      </w:r>
      <w:r w:rsidRPr="00CC7883">
        <w:rPr>
          <w:rFonts w:ascii="Times New Roman" w:eastAsia="Times New Roman" w:hAnsi="Times New Roman" w:cs="Times New Roman"/>
          <w:color w:val="000000" w:themeColor="text1"/>
          <w:sz w:val="28"/>
          <w:szCs w:val="28"/>
          <w:vertAlign w:val="subscript"/>
        </w:rPr>
        <w:t>2</w:t>
      </w:r>
      <w:r w:rsidRPr="00CC7883">
        <w:rPr>
          <w:rFonts w:ascii="Times New Roman" w:eastAsia="Times New Roman" w:hAnsi="Times New Roman" w:cs="Times New Roman"/>
          <w:color w:val="000000" w:themeColor="text1"/>
          <w:sz w:val="28"/>
          <w:szCs w:val="28"/>
        </w:rPr>
        <w:t xml:space="preserve"> у комплексі з 0,01 % розчином Tween-20 [15</w:t>
      </w:r>
      <w:r w:rsidR="00B112D7" w:rsidRPr="00CC7883">
        <w:rPr>
          <w:rFonts w:ascii="Times New Roman" w:eastAsia="Times New Roman" w:hAnsi="Times New Roman" w:cs="Times New Roman"/>
          <w:color w:val="000000" w:themeColor="text1"/>
          <w:sz w:val="28"/>
          <w:szCs w:val="28"/>
        </w:rPr>
        <w:t>1</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20</w:t>
      </w:r>
      <w:r w:rsidR="00B112D7" w:rsidRPr="00CC7883">
        <w:rPr>
          <w:rFonts w:ascii="Times New Roman" w:eastAsia="Times New Roman" w:hAnsi="Times New Roman" w:cs="Times New Roman"/>
          <w:color w:val="000000" w:themeColor="text1"/>
          <w:sz w:val="28"/>
          <w:szCs w:val="28"/>
        </w:rPr>
        <w:t>3</w:t>
      </w:r>
      <w:r w:rsidRPr="00CC7883">
        <w:rPr>
          <w:rFonts w:ascii="Times New Roman" w:eastAsia="Times New Roman" w:hAnsi="Times New Roman" w:cs="Times New Roman"/>
          <w:color w:val="000000" w:themeColor="text1"/>
          <w:sz w:val="28"/>
          <w:szCs w:val="28"/>
        </w:rPr>
        <w:t>]; антибіотиків – гентаміцин і цефазолін. Приживлюваність ініціальних експлантів на таких поживних середовищах с</w:t>
      </w:r>
      <w:r w:rsidR="004B64FE">
        <w:rPr>
          <w:rFonts w:ascii="Times New Roman" w:eastAsia="Times New Roman" w:hAnsi="Times New Roman" w:cs="Times New Roman"/>
          <w:color w:val="000000" w:themeColor="text1"/>
          <w:sz w:val="28"/>
          <w:szCs w:val="28"/>
        </w:rPr>
        <w:t>тановила</w:t>
      </w:r>
      <w:r w:rsidRPr="00CC7883">
        <w:rPr>
          <w:rFonts w:ascii="Times New Roman" w:eastAsia="Times New Roman" w:hAnsi="Times New Roman" w:cs="Times New Roman"/>
          <w:color w:val="000000" w:themeColor="text1"/>
          <w:sz w:val="28"/>
          <w:szCs w:val="28"/>
        </w:rPr>
        <w:t xml:space="preserve"> у середньому 75,0 % [24</w:t>
      </w:r>
      <w:r w:rsidR="009E747E" w:rsidRPr="00CC7883">
        <w:rPr>
          <w:rFonts w:ascii="Times New Roman" w:eastAsia="Times New Roman" w:hAnsi="Times New Roman" w:cs="Times New Roman"/>
          <w:color w:val="000000" w:themeColor="text1"/>
          <w:sz w:val="28"/>
          <w:szCs w:val="28"/>
        </w:rPr>
        <w:t>6</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tabs>
          <w:tab w:val="left" w:pos="3281"/>
        </w:tabs>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Науковці ННЦ «ІВіВ ім. В.</w:t>
      </w:r>
      <w:r w:rsidR="00396E12">
        <w:rPr>
          <w:rFonts w:ascii="Times New Roman" w:eastAsia="Times New Roman" w:hAnsi="Times New Roman" w:cs="Times New Roman"/>
          <w:color w:val="000000" w:themeColor="text1"/>
          <w:sz w:val="28"/>
          <w:szCs w:val="28"/>
        </w:rPr>
        <w:t> </w:t>
      </w:r>
      <w:r w:rsidRPr="00CC7883">
        <w:rPr>
          <w:rFonts w:ascii="Times New Roman" w:eastAsia="Times New Roman" w:hAnsi="Times New Roman" w:cs="Times New Roman"/>
          <w:color w:val="000000" w:themeColor="text1"/>
          <w:sz w:val="28"/>
          <w:szCs w:val="28"/>
        </w:rPr>
        <w:t>Є.</w:t>
      </w:r>
      <w:r w:rsidR="00396E12">
        <w:rPr>
          <w:rFonts w:ascii="Times New Roman" w:eastAsia="Times New Roman" w:hAnsi="Times New Roman" w:cs="Times New Roman"/>
          <w:color w:val="000000" w:themeColor="text1"/>
          <w:sz w:val="28"/>
          <w:szCs w:val="28"/>
        </w:rPr>
        <w:t> </w:t>
      </w:r>
      <w:r w:rsidRPr="00CC7883">
        <w:rPr>
          <w:rFonts w:ascii="Times New Roman" w:eastAsia="Times New Roman" w:hAnsi="Times New Roman" w:cs="Times New Roman"/>
          <w:color w:val="000000" w:themeColor="text1"/>
          <w:sz w:val="28"/>
          <w:szCs w:val="28"/>
        </w:rPr>
        <w:t>Таїрова» також займалис</w:t>
      </w:r>
      <w:r w:rsidR="00360CAB">
        <w:rPr>
          <w:rFonts w:ascii="Times New Roman" w:eastAsia="Times New Roman" w:hAnsi="Times New Roman" w:cs="Times New Roman"/>
          <w:color w:val="000000" w:themeColor="text1"/>
          <w:sz w:val="28"/>
          <w:szCs w:val="28"/>
        </w:rPr>
        <w:t>я</w:t>
      </w:r>
      <w:r w:rsidRPr="00CC7883">
        <w:rPr>
          <w:rFonts w:ascii="Times New Roman" w:eastAsia="Times New Roman" w:hAnsi="Times New Roman" w:cs="Times New Roman"/>
          <w:color w:val="000000" w:themeColor="text1"/>
          <w:sz w:val="28"/>
          <w:szCs w:val="28"/>
        </w:rPr>
        <w:t xml:space="preserve"> дослідженням та удосконаленням прийомів стерилізації ініціальних експлантів </w:t>
      </w:r>
      <w:r w:rsidRPr="00CC7883">
        <w:rPr>
          <w:rFonts w:ascii="Times New Roman" w:eastAsia="Times New Roman" w:hAnsi="Times New Roman" w:cs="Times New Roman"/>
          <w:i/>
          <w:iCs/>
          <w:color w:val="000000" w:themeColor="text1"/>
          <w:sz w:val="28"/>
          <w:szCs w:val="28"/>
        </w:rPr>
        <w:t>винограду</w:t>
      </w:r>
      <w:r w:rsidRPr="00CC7883">
        <w:rPr>
          <w:rFonts w:ascii="Times New Roman" w:eastAsia="Times New Roman" w:hAnsi="Times New Roman" w:cs="Times New Roman"/>
          <w:color w:val="000000" w:themeColor="text1"/>
          <w:sz w:val="28"/>
          <w:szCs w:val="28"/>
        </w:rPr>
        <w:t>. За результатами їх роботи встановлено, що метод стерилізації шляхом послідовної експозиції та промивання в розчинах Хінозолу, білизни, 96 % етилового спирту є ефективним для зниження рівня грибкової, мікробної контамінації і підготовки ініціальних експлантів для подальших етапів мікроклонального розмноження. У подальшому цей метод було удосконалено з використанням дезінфікуючого препарату Дезефект (2,3 %) на заміну препарату Хінозол, що дозволяло зменшувати відсоток інфікованих ініціальних експлантів до 10,0–13,0 % і забезпечувало їх приживлюваність на рівні 92,0–100,0 % [</w:t>
      </w:r>
      <w:r w:rsidR="00C818CF" w:rsidRPr="00CC7883">
        <w:rPr>
          <w:rFonts w:ascii="Times New Roman" w:eastAsia="Times New Roman" w:hAnsi="Times New Roman" w:cs="Times New Roman"/>
          <w:color w:val="000000" w:themeColor="text1"/>
          <w:sz w:val="28"/>
          <w:szCs w:val="28"/>
        </w:rPr>
        <w:t>68</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w:t>
      </w:r>
      <w:r w:rsidR="00C818CF" w:rsidRPr="00CC7883">
        <w:rPr>
          <w:rFonts w:ascii="Times New Roman" w:eastAsia="Times New Roman" w:hAnsi="Times New Roman" w:cs="Times New Roman"/>
          <w:color w:val="000000" w:themeColor="text1"/>
          <w:sz w:val="28"/>
          <w:szCs w:val="28"/>
        </w:rPr>
        <w:t>7</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iCs/>
          <w:color w:val="000000" w:themeColor="text1"/>
          <w:sz w:val="28"/>
          <w:szCs w:val="28"/>
        </w:rPr>
        <w:t xml:space="preserve">Етап введення ініціальних експлантів у культуру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iCs/>
          <w:color w:val="000000" w:themeColor="text1"/>
          <w:sz w:val="28"/>
          <w:szCs w:val="28"/>
        </w:rPr>
        <w:t xml:space="preserve">передбачає </w:t>
      </w:r>
      <w:r w:rsidRPr="00CC7883">
        <w:rPr>
          <w:rFonts w:ascii="Times New Roman" w:eastAsia="Times New Roman" w:hAnsi="Times New Roman" w:cs="Times New Roman"/>
          <w:color w:val="000000" w:themeColor="text1"/>
          <w:sz w:val="28"/>
          <w:szCs w:val="28"/>
        </w:rPr>
        <w:t xml:space="preserve">висаджування стерильних ініціальних експлантів на поживне середовище з </w:t>
      </w:r>
      <w:r w:rsidRPr="00CC7883">
        <w:rPr>
          <w:rFonts w:ascii="Times New Roman" w:eastAsia="Times New Roman" w:hAnsi="Times New Roman" w:cs="Times New Roman"/>
          <w:color w:val="000000" w:themeColor="text1"/>
          <w:sz w:val="28"/>
          <w:szCs w:val="28"/>
        </w:rPr>
        <w:lastRenderedPageBreak/>
        <w:t>метою отримання нових рослин для подальшого мікророзмноження. На цьому етапі використовують поживні середовища, які сприяють приживлюваності ініц</w:t>
      </w:r>
      <w:r w:rsidR="00F704CB" w:rsidRPr="00CC7883">
        <w:rPr>
          <w:rFonts w:ascii="Times New Roman" w:eastAsia="Times New Roman" w:hAnsi="Times New Roman" w:cs="Times New Roman"/>
          <w:color w:val="000000" w:themeColor="text1"/>
          <w:sz w:val="28"/>
          <w:szCs w:val="28"/>
        </w:rPr>
        <w:t>і</w:t>
      </w:r>
      <w:r w:rsidRPr="00CC7883">
        <w:rPr>
          <w:rFonts w:ascii="Times New Roman" w:eastAsia="Times New Roman" w:hAnsi="Times New Roman" w:cs="Times New Roman"/>
          <w:color w:val="000000" w:themeColor="text1"/>
          <w:sz w:val="28"/>
          <w:szCs w:val="28"/>
        </w:rPr>
        <w:t>альних експлантів та проліферації пазушних бруньок, верхівок паг</w:t>
      </w:r>
      <w:r w:rsidR="00C818CF" w:rsidRPr="00CC7883">
        <w:rPr>
          <w:rFonts w:ascii="Times New Roman" w:eastAsia="Times New Roman" w:hAnsi="Times New Roman" w:cs="Times New Roman"/>
          <w:color w:val="000000" w:themeColor="text1"/>
          <w:sz w:val="28"/>
          <w:szCs w:val="28"/>
        </w:rPr>
        <w:t>онів або апікальних меристем [1</w:t>
      </w:r>
      <w:r w:rsidR="00B112D7" w:rsidRPr="00CC7883">
        <w:rPr>
          <w:rFonts w:ascii="Times New Roman" w:eastAsia="Times New Roman" w:hAnsi="Times New Roman" w:cs="Times New Roman"/>
          <w:color w:val="000000" w:themeColor="text1"/>
          <w:sz w:val="28"/>
          <w:szCs w:val="28"/>
        </w:rPr>
        <w:t>88</w:t>
      </w:r>
      <w:r w:rsidR="00F44ECE" w:rsidRPr="00C634FF">
        <w:rPr>
          <w:rFonts w:ascii="Times New Roman" w:eastAsia="Times New Roman" w:hAnsi="Times New Roman" w:cs="Times New Roman"/>
          <w:color w:val="000000" w:themeColor="text1"/>
          <w:sz w:val="28"/>
          <w:szCs w:val="28"/>
        </w:rPr>
        <w:t>,</w:t>
      </w:r>
      <w:r w:rsidR="00B112D7" w:rsidRPr="00CC7883">
        <w:rPr>
          <w:rFonts w:ascii="Times New Roman" w:eastAsia="Times New Roman" w:hAnsi="Times New Roman" w:cs="Times New Roman"/>
          <w:color w:val="000000" w:themeColor="text1"/>
          <w:sz w:val="28"/>
          <w:szCs w:val="28"/>
        </w:rPr>
        <w:t xml:space="preserve"> 169</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12</w:t>
      </w:r>
      <w:r w:rsidR="00C818CF" w:rsidRPr="00CC7883">
        <w:rPr>
          <w:rFonts w:ascii="Times New Roman" w:eastAsia="Times New Roman" w:hAnsi="Times New Roman" w:cs="Times New Roman"/>
          <w:color w:val="000000" w:themeColor="text1"/>
          <w:sz w:val="28"/>
          <w:szCs w:val="28"/>
        </w:rPr>
        <w:t>2</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16</w:t>
      </w:r>
      <w:r w:rsidR="00B112D7" w:rsidRPr="00CC7883">
        <w:rPr>
          <w:rFonts w:ascii="Times New Roman" w:eastAsia="Times New Roman" w:hAnsi="Times New Roman" w:cs="Times New Roman"/>
          <w:color w:val="000000" w:themeColor="text1"/>
          <w:sz w:val="28"/>
          <w:szCs w:val="28"/>
        </w:rPr>
        <w:t>6</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19</w:t>
      </w:r>
      <w:r w:rsidR="00B112D7" w:rsidRPr="00CC7883">
        <w:rPr>
          <w:rFonts w:ascii="Times New Roman" w:eastAsia="Times New Roman" w:hAnsi="Times New Roman" w:cs="Times New Roman"/>
          <w:color w:val="000000" w:themeColor="text1"/>
          <w:sz w:val="28"/>
          <w:szCs w:val="28"/>
        </w:rPr>
        <w:t>4</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rPr>
      </w:pPr>
    </w:p>
    <w:p w:rsidR="00B01A54" w:rsidRPr="00CC7883" w:rsidRDefault="00B01A54" w:rsidP="00047411">
      <w:pPr>
        <w:pStyle w:val="a7"/>
        <w:widowControl w:val="0"/>
        <w:numPr>
          <w:ilvl w:val="1"/>
          <w:numId w:val="12"/>
        </w:numPr>
        <w:spacing w:after="0" w:line="360" w:lineRule="auto"/>
        <w:ind w:left="0" w:firstLine="720"/>
        <w:jc w:val="both"/>
        <w:outlineLvl w:val="1"/>
        <w:rPr>
          <w:rFonts w:ascii="Times New Roman" w:eastAsia="Times New Roman" w:hAnsi="Times New Roman" w:cs="Times New Roman"/>
          <w:b/>
          <w:bCs/>
          <w:color w:val="000000" w:themeColor="text1"/>
          <w:sz w:val="28"/>
          <w:szCs w:val="28"/>
        </w:rPr>
      </w:pPr>
      <w:bookmarkStart w:id="8" w:name="_Toc220058917"/>
      <w:bookmarkStart w:id="9" w:name="_Hlk217735969"/>
      <w:r w:rsidRPr="00CC7883">
        <w:rPr>
          <w:rFonts w:ascii="Times New Roman" w:eastAsia="Times New Roman" w:hAnsi="Times New Roman" w:cs="Times New Roman"/>
          <w:b/>
          <w:bCs/>
          <w:color w:val="000000" w:themeColor="text1"/>
          <w:sz w:val="28"/>
          <w:szCs w:val="28"/>
        </w:rPr>
        <w:t>Проліферація пазушних бруньок ініціальних експлантів та формування пагонів</w:t>
      </w:r>
      <w:bookmarkEnd w:id="8"/>
    </w:p>
    <w:bookmarkEnd w:id="9"/>
    <w:p w:rsidR="00B01A54" w:rsidRPr="00CC7883" w:rsidRDefault="00B01A54" w:rsidP="00047411">
      <w:pPr>
        <w:pStyle w:val="a7"/>
        <w:widowControl w:val="0"/>
        <w:spacing w:after="0" w:line="360" w:lineRule="auto"/>
        <w:ind w:left="0"/>
        <w:jc w:val="both"/>
        <w:rPr>
          <w:rFonts w:ascii="Times New Roman" w:eastAsia="Times New Roman" w:hAnsi="Times New Roman" w:cs="Times New Roman"/>
          <w:b/>
          <w:bCs/>
          <w:color w:val="000000" w:themeColor="text1"/>
          <w:sz w:val="28"/>
          <w:szCs w:val="28"/>
        </w:rPr>
      </w:pPr>
    </w:p>
    <w:p w:rsidR="00B01A54" w:rsidRPr="00CC7883" w:rsidRDefault="00B01A54"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На цьому етапі першочерговим завданням є інтенсифікація розвитку пазушної бруньки (проліферація). Ключову роль у цьому відіграє склад поживного середовища. На цьому етапі культивування введених ініціальних експлантів відбувається на тих самих поживних середовищах, що і під час введення матеріалу в культуру </w:t>
      </w:r>
      <w:r w:rsidRPr="00CC7883">
        <w:rPr>
          <w:rFonts w:ascii="Times New Roman" w:eastAsia="Times New Roman" w:hAnsi="Times New Roman" w:cs="Times New Roman"/>
          <w:i/>
          <w:color w:val="000000" w:themeColor="text1"/>
          <w:sz w:val="28"/>
          <w:szCs w:val="28"/>
        </w:rPr>
        <w:t>in</w:t>
      </w:r>
      <w:r w:rsidR="008B5203" w:rsidRPr="00CC7883">
        <w:rPr>
          <w:rFonts w:ascii="Times New Roman" w:eastAsia="Times New Roman" w:hAnsi="Times New Roman" w:cs="Times New Roman"/>
          <w:i/>
          <w:color w:val="000000" w:themeColor="text1"/>
          <w:sz w:val="28"/>
          <w:szCs w:val="28"/>
        </w:rPr>
        <w:t> </w:t>
      </w:r>
      <w:r w:rsidRPr="00CC7883">
        <w:rPr>
          <w:rFonts w:ascii="Times New Roman" w:eastAsia="Times New Roman" w:hAnsi="Times New Roman" w:cs="Times New Roman"/>
          <w:i/>
          <w:color w:val="000000" w:themeColor="text1"/>
          <w:sz w:val="28"/>
          <w:szCs w:val="28"/>
        </w:rPr>
        <w:t>vitro</w:t>
      </w:r>
      <w:r w:rsidRPr="00CC7883">
        <w:rPr>
          <w:rFonts w:ascii="Times New Roman" w:eastAsia="Times New Roman" w:hAnsi="Times New Roman" w:cs="Times New Roman"/>
          <w:color w:val="000000" w:themeColor="text1"/>
          <w:sz w:val="28"/>
          <w:szCs w:val="28"/>
        </w:rPr>
        <w:t>. Найчастіше використовують MS (Мурасіге і Скуга), WPM (Woody Plant Medium), B5 (Гамборга), LS (Лінсмайера і Скуга), NN</w:t>
      </w:r>
      <w:r w:rsidR="00C818CF" w:rsidRPr="00CC7883">
        <w:rPr>
          <w:rFonts w:ascii="Times New Roman" w:eastAsia="Times New Roman" w:hAnsi="Times New Roman" w:cs="Times New Roman"/>
          <w:color w:val="000000" w:themeColor="text1"/>
          <w:sz w:val="28"/>
          <w:szCs w:val="28"/>
        </w:rPr>
        <w:t xml:space="preserve"> (Ніча і Ніча) [1</w:t>
      </w:r>
      <w:r w:rsidR="00B112D7" w:rsidRPr="00CC7883">
        <w:rPr>
          <w:rFonts w:ascii="Times New Roman" w:eastAsia="Times New Roman" w:hAnsi="Times New Roman" w:cs="Times New Roman"/>
          <w:color w:val="000000" w:themeColor="text1"/>
          <w:sz w:val="28"/>
          <w:szCs w:val="28"/>
        </w:rPr>
        <w:t>88</w:t>
      </w:r>
      <w:r w:rsidR="00F44ECE" w:rsidRPr="00C634FF">
        <w:rPr>
          <w:rFonts w:ascii="Times New Roman" w:eastAsia="Times New Roman" w:hAnsi="Times New Roman" w:cs="Times New Roman"/>
          <w:color w:val="000000" w:themeColor="text1"/>
          <w:sz w:val="28"/>
          <w:szCs w:val="28"/>
        </w:rPr>
        <w:t>,</w:t>
      </w:r>
      <w:r w:rsidR="00B112D7" w:rsidRPr="00CC7883">
        <w:rPr>
          <w:rFonts w:ascii="Times New Roman" w:eastAsia="Times New Roman" w:hAnsi="Times New Roman" w:cs="Times New Roman"/>
          <w:color w:val="000000" w:themeColor="text1"/>
          <w:sz w:val="28"/>
          <w:szCs w:val="28"/>
        </w:rPr>
        <w:t xml:space="preserve"> 169</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12</w:t>
      </w:r>
      <w:r w:rsidR="00C818CF" w:rsidRPr="00CC7883">
        <w:rPr>
          <w:rFonts w:ascii="Times New Roman" w:eastAsia="Times New Roman" w:hAnsi="Times New Roman" w:cs="Times New Roman"/>
          <w:color w:val="000000" w:themeColor="text1"/>
          <w:sz w:val="28"/>
          <w:szCs w:val="28"/>
        </w:rPr>
        <w:t>2</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16</w:t>
      </w:r>
      <w:r w:rsidR="00B112D7" w:rsidRPr="00CC7883">
        <w:rPr>
          <w:rFonts w:ascii="Times New Roman" w:eastAsia="Times New Roman" w:hAnsi="Times New Roman" w:cs="Times New Roman"/>
          <w:color w:val="000000" w:themeColor="text1"/>
          <w:sz w:val="28"/>
          <w:szCs w:val="28"/>
        </w:rPr>
        <w:t>6</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19</w:t>
      </w:r>
      <w:r w:rsidR="00B112D7" w:rsidRPr="00CC7883">
        <w:rPr>
          <w:rFonts w:ascii="Times New Roman" w:eastAsia="Times New Roman" w:hAnsi="Times New Roman" w:cs="Times New Roman"/>
          <w:color w:val="000000" w:themeColor="text1"/>
          <w:sz w:val="28"/>
          <w:szCs w:val="28"/>
        </w:rPr>
        <w:t>4</w:t>
      </w:r>
      <w:r w:rsidRPr="00CC7883">
        <w:rPr>
          <w:rFonts w:ascii="Times New Roman" w:eastAsia="Times New Roman" w:hAnsi="Times New Roman" w:cs="Times New Roman"/>
          <w:color w:val="000000" w:themeColor="text1"/>
          <w:sz w:val="28"/>
          <w:szCs w:val="28"/>
        </w:rPr>
        <w:t xml:space="preserve">]. Дослідження показали, що модифікації цих поживних середовищ забезпечували високі показники проліферації ініціальних експлантів різних рослин – від 70,0 до 100,0 %, а середовище B5 додатково сприяло </w:t>
      </w:r>
      <w:r w:rsidR="00C818CF" w:rsidRPr="00CC7883">
        <w:rPr>
          <w:rFonts w:ascii="Times New Roman" w:eastAsia="Times New Roman" w:hAnsi="Times New Roman" w:cs="Times New Roman"/>
          <w:color w:val="000000" w:themeColor="text1"/>
          <w:sz w:val="28"/>
          <w:szCs w:val="28"/>
        </w:rPr>
        <w:t>збільшенню кількості пагонів [49</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17</w:t>
      </w:r>
      <w:r w:rsidR="007913F5" w:rsidRPr="00CC7883">
        <w:rPr>
          <w:rFonts w:ascii="Times New Roman" w:eastAsia="Times New Roman" w:hAnsi="Times New Roman" w:cs="Times New Roman"/>
          <w:color w:val="000000" w:themeColor="text1"/>
          <w:sz w:val="28"/>
          <w:szCs w:val="28"/>
        </w:rPr>
        <w:t>2</w:t>
      </w:r>
      <w:r w:rsidR="00F44ECE" w:rsidRPr="00C634FF">
        <w:rPr>
          <w:rFonts w:ascii="Times New Roman" w:eastAsia="Times New Roman" w:hAnsi="Times New Roman" w:cs="Times New Roman"/>
          <w:color w:val="000000" w:themeColor="text1"/>
          <w:sz w:val="28"/>
          <w:szCs w:val="28"/>
        </w:rPr>
        <w:t>,</w:t>
      </w:r>
      <w:r w:rsidR="00C818CF" w:rsidRPr="00CC7883">
        <w:rPr>
          <w:rFonts w:ascii="Times New Roman" w:eastAsia="Times New Roman" w:hAnsi="Times New Roman" w:cs="Times New Roman"/>
          <w:color w:val="000000" w:themeColor="text1"/>
          <w:sz w:val="28"/>
          <w:szCs w:val="28"/>
        </w:rPr>
        <w:t xml:space="preserve"> 57</w:t>
      </w:r>
      <w:r w:rsidR="00F44ECE" w:rsidRPr="00C634FF">
        <w:rPr>
          <w:rFonts w:ascii="Times New Roman" w:eastAsia="Times New Roman" w:hAnsi="Times New Roman" w:cs="Times New Roman"/>
          <w:color w:val="000000" w:themeColor="text1"/>
          <w:sz w:val="28"/>
          <w:szCs w:val="28"/>
        </w:rPr>
        <w:t>,</w:t>
      </w:r>
      <w:r w:rsidR="00C818CF" w:rsidRPr="00CC7883">
        <w:rPr>
          <w:rFonts w:ascii="Times New Roman" w:eastAsia="Times New Roman" w:hAnsi="Times New Roman" w:cs="Times New Roman"/>
          <w:color w:val="000000" w:themeColor="text1"/>
          <w:sz w:val="28"/>
          <w:szCs w:val="28"/>
        </w:rPr>
        <w:t xml:space="preserve"> 59</w:t>
      </w:r>
      <w:r w:rsidR="00F44ECE" w:rsidRPr="00C634FF">
        <w:rPr>
          <w:rFonts w:ascii="Times New Roman" w:eastAsia="Times New Roman" w:hAnsi="Times New Roman" w:cs="Times New Roman"/>
          <w:color w:val="000000" w:themeColor="text1"/>
          <w:sz w:val="28"/>
          <w:szCs w:val="28"/>
        </w:rPr>
        <w:t>,</w:t>
      </w:r>
      <w:r w:rsidR="00C818CF" w:rsidRPr="00CC7883">
        <w:rPr>
          <w:rFonts w:ascii="Times New Roman" w:eastAsia="Times New Roman" w:hAnsi="Times New Roman" w:cs="Times New Roman"/>
          <w:color w:val="000000" w:themeColor="text1"/>
          <w:sz w:val="28"/>
          <w:szCs w:val="28"/>
        </w:rPr>
        <w:t xml:space="preserve"> 37</w:t>
      </w:r>
      <w:r w:rsidR="00F44ECE" w:rsidRPr="00C634FF">
        <w:rPr>
          <w:rFonts w:ascii="Times New Roman" w:eastAsia="Times New Roman" w:hAnsi="Times New Roman" w:cs="Times New Roman"/>
          <w:color w:val="000000" w:themeColor="text1"/>
          <w:sz w:val="28"/>
          <w:szCs w:val="28"/>
        </w:rPr>
        <w:t>,</w:t>
      </w:r>
      <w:r w:rsidR="00C818CF" w:rsidRPr="00CC7883">
        <w:rPr>
          <w:rFonts w:ascii="Times New Roman" w:eastAsia="Times New Roman" w:hAnsi="Times New Roman" w:cs="Times New Roman"/>
          <w:color w:val="000000" w:themeColor="text1"/>
          <w:sz w:val="28"/>
          <w:szCs w:val="28"/>
        </w:rPr>
        <w:t xml:space="preserve"> 34</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19</w:t>
      </w:r>
      <w:r w:rsidR="007913F5" w:rsidRPr="00CC7883">
        <w:rPr>
          <w:rFonts w:ascii="Times New Roman" w:eastAsia="Times New Roman" w:hAnsi="Times New Roman" w:cs="Times New Roman"/>
          <w:color w:val="000000" w:themeColor="text1"/>
          <w:sz w:val="28"/>
          <w:szCs w:val="28"/>
        </w:rPr>
        <w:t>6</w:t>
      </w:r>
      <w:r w:rsidRPr="00CC7883">
        <w:rPr>
          <w:rFonts w:ascii="Times New Roman" w:eastAsia="Times New Roman" w:hAnsi="Times New Roman" w:cs="Times New Roman"/>
          <w:color w:val="000000" w:themeColor="text1"/>
          <w:sz w:val="28"/>
          <w:szCs w:val="28"/>
        </w:rPr>
        <w:t xml:space="preserve">]. </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Після проліферації пазушних бруньок ініціальних експлантів винограду важливо домогтися формування та росту вегетативної надземної маси. Розвиток приросту рослин має відбуватися рівномірно, що забезпечує їх генетичну однорідність, відсутність патогенів та стабільність фенотипових ознак без н</w:t>
      </w:r>
      <w:r w:rsidR="00C818CF" w:rsidRPr="00CC7883">
        <w:rPr>
          <w:rFonts w:ascii="Times New Roman" w:eastAsia="NSimSun" w:hAnsi="Times New Roman" w:cs="Times New Roman"/>
          <w:color w:val="000000" w:themeColor="text1"/>
          <w:kern w:val="3"/>
          <w:sz w:val="28"/>
          <w:szCs w:val="28"/>
        </w:rPr>
        <w:t>ебажаних мутацій чи інфекцій [47</w:t>
      </w:r>
      <w:r w:rsidRPr="00CC7883">
        <w:rPr>
          <w:rFonts w:ascii="Times New Roman" w:eastAsia="NSimSun" w:hAnsi="Times New Roman" w:cs="Times New Roman"/>
          <w:color w:val="000000" w:themeColor="text1"/>
          <w:kern w:val="3"/>
          <w:sz w:val="28"/>
          <w:szCs w:val="28"/>
        </w:rPr>
        <w:t xml:space="preserve">]. </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На ріст і розвиток мікроклональних рослин впливають різні фактори, серед яких ключове значення мають склад поживного середовища, вміст у ньому фітогормонів і біологічно активних речовин, інтенсивність і спектральний склад світла, температура, вологість у культуральних ємностях, а також взаємодія з</w:t>
      </w:r>
      <w:r w:rsidR="00C818CF" w:rsidRPr="00CC7883">
        <w:rPr>
          <w:rFonts w:ascii="Times New Roman" w:eastAsia="NSimSun" w:hAnsi="Times New Roman" w:cs="Times New Roman"/>
          <w:color w:val="000000" w:themeColor="text1"/>
          <w:kern w:val="3"/>
          <w:sz w:val="28"/>
          <w:szCs w:val="28"/>
        </w:rPr>
        <w:t xml:space="preserve"> корисними мікроорганізмами [125</w:t>
      </w:r>
      <w:r w:rsidR="00F44ECE" w:rsidRPr="00C634FF">
        <w:rPr>
          <w:rFonts w:ascii="Times New Roman" w:eastAsia="NSimSun" w:hAnsi="Times New Roman" w:cs="Times New Roman"/>
          <w:color w:val="000000" w:themeColor="text1"/>
          <w:kern w:val="3"/>
          <w:sz w:val="28"/>
          <w:szCs w:val="28"/>
        </w:rPr>
        <w:t>,</w:t>
      </w:r>
      <w:r w:rsidR="00C818CF" w:rsidRPr="00CC7883">
        <w:rPr>
          <w:rFonts w:ascii="Times New Roman" w:eastAsia="NSimSun" w:hAnsi="Times New Roman" w:cs="Times New Roman"/>
          <w:color w:val="000000" w:themeColor="text1"/>
          <w:kern w:val="3"/>
          <w:sz w:val="28"/>
          <w:szCs w:val="28"/>
        </w:rPr>
        <w:t xml:space="preserve"> 99</w:t>
      </w:r>
      <w:r w:rsidR="00F44ECE" w:rsidRPr="00C634FF">
        <w:rPr>
          <w:rFonts w:ascii="Times New Roman" w:eastAsia="NSimSun" w:hAnsi="Times New Roman" w:cs="Times New Roman"/>
          <w:color w:val="000000" w:themeColor="text1"/>
          <w:kern w:val="3"/>
          <w:sz w:val="28"/>
          <w:szCs w:val="28"/>
        </w:rPr>
        <w:t>,</w:t>
      </w:r>
      <w:r w:rsidR="005612C3" w:rsidRPr="00CC7883">
        <w:rPr>
          <w:rFonts w:ascii="Times New Roman" w:eastAsia="NSimSun" w:hAnsi="Times New Roman" w:cs="Times New Roman"/>
          <w:color w:val="000000" w:themeColor="text1"/>
          <w:kern w:val="3"/>
          <w:sz w:val="28"/>
          <w:szCs w:val="28"/>
        </w:rPr>
        <w:t xml:space="preserve"> 2</w:t>
      </w:r>
      <w:r w:rsidR="009E747E" w:rsidRPr="00CC7883">
        <w:rPr>
          <w:rFonts w:ascii="Times New Roman" w:eastAsia="NSimSun" w:hAnsi="Times New Roman" w:cs="Times New Roman"/>
          <w:color w:val="000000" w:themeColor="text1"/>
          <w:kern w:val="3"/>
          <w:sz w:val="28"/>
          <w:szCs w:val="28"/>
        </w:rPr>
        <w:t>60</w:t>
      </w:r>
      <w:r w:rsidR="00F44ECE" w:rsidRPr="00C634FF">
        <w:rPr>
          <w:rFonts w:ascii="Times New Roman" w:eastAsia="NSimSun" w:hAnsi="Times New Roman" w:cs="Times New Roman"/>
          <w:color w:val="000000" w:themeColor="text1"/>
          <w:kern w:val="3"/>
          <w:sz w:val="28"/>
          <w:szCs w:val="28"/>
        </w:rPr>
        <w:t>,</w:t>
      </w:r>
      <w:r w:rsidR="00C818CF" w:rsidRPr="00CC7883">
        <w:rPr>
          <w:rFonts w:ascii="Times New Roman" w:eastAsia="NSimSun" w:hAnsi="Times New Roman" w:cs="Times New Roman"/>
          <w:color w:val="000000" w:themeColor="text1"/>
          <w:kern w:val="3"/>
          <w:sz w:val="28"/>
          <w:szCs w:val="28"/>
        </w:rPr>
        <w:t xml:space="preserve"> 2</w:t>
      </w:r>
      <w:r w:rsidR="005612C3" w:rsidRPr="00CC7883">
        <w:rPr>
          <w:rFonts w:ascii="Times New Roman" w:eastAsia="NSimSun" w:hAnsi="Times New Roman" w:cs="Times New Roman"/>
          <w:color w:val="000000" w:themeColor="text1"/>
          <w:kern w:val="3"/>
          <w:sz w:val="28"/>
          <w:szCs w:val="28"/>
        </w:rPr>
        <w:t>3</w:t>
      </w:r>
      <w:r w:rsidR="009E747E" w:rsidRPr="00CC7883">
        <w:rPr>
          <w:rFonts w:ascii="Times New Roman" w:eastAsia="NSimSun" w:hAnsi="Times New Roman" w:cs="Times New Roman"/>
          <w:color w:val="000000" w:themeColor="text1"/>
          <w:kern w:val="3"/>
          <w:sz w:val="28"/>
          <w:szCs w:val="28"/>
        </w:rPr>
        <w:t>8</w:t>
      </w:r>
      <w:r w:rsidRPr="00CC7883">
        <w:rPr>
          <w:rFonts w:ascii="Times New Roman" w:eastAsia="NSimSun" w:hAnsi="Times New Roman" w:cs="Times New Roman"/>
          <w:color w:val="000000" w:themeColor="text1"/>
          <w:kern w:val="3"/>
          <w:sz w:val="28"/>
          <w:szCs w:val="28"/>
        </w:rPr>
        <w:t>].</w:t>
      </w:r>
    </w:p>
    <w:p w:rsidR="00B01A54" w:rsidRPr="00CC7883" w:rsidRDefault="00B01A54" w:rsidP="00047411">
      <w:pPr>
        <w:widowControl w:val="0"/>
        <w:autoSpaceDN w:val="0"/>
        <w:spacing w:after="0" w:line="360" w:lineRule="auto"/>
        <w:ind w:firstLine="708"/>
        <w:contextualSpacing/>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Дослідження щодо використання різних мінеральних основ поживних </w:t>
      </w:r>
      <w:r w:rsidRPr="00CC7883">
        <w:rPr>
          <w:rFonts w:ascii="Times New Roman" w:eastAsia="NSimSun" w:hAnsi="Times New Roman" w:cs="Times New Roman"/>
          <w:color w:val="000000" w:themeColor="text1"/>
          <w:kern w:val="3"/>
          <w:sz w:val="28"/>
          <w:szCs w:val="28"/>
        </w:rPr>
        <w:lastRenderedPageBreak/>
        <w:t>середовищ довели, що навіть подібні за складом середовища можуть по-різному впливати на морфогенез рослин. Так, для коноплі звичайної (</w:t>
      </w:r>
      <w:r w:rsidRPr="00CC7883">
        <w:rPr>
          <w:rFonts w:ascii="Times New Roman" w:eastAsia="NSimSun" w:hAnsi="Times New Roman" w:cs="Times New Roman"/>
          <w:i/>
          <w:color w:val="000000" w:themeColor="text1"/>
          <w:kern w:val="3"/>
          <w:sz w:val="28"/>
          <w:szCs w:val="28"/>
        </w:rPr>
        <w:t>Cannabis sativa</w:t>
      </w:r>
      <w:r w:rsidRPr="00CC7883">
        <w:rPr>
          <w:rFonts w:ascii="Times New Roman" w:eastAsia="NSimSun" w:hAnsi="Times New Roman" w:cs="Times New Roman"/>
          <w:color w:val="000000" w:themeColor="text1"/>
          <w:kern w:val="3"/>
          <w:sz w:val="28"/>
          <w:szCs w:val="28"/>
        </w:rPr>
        <w:t xml:space="preserve"> L.) порівняння середовищ MS та DKW показало перевагу DKW, на якому довжина пагонів дорівнювала 8,6–9,2 см, тоді як на поживному середовищі MS вона становила 6,4–7,6 см. Кількість листків при цьому дорівнювала 5,2–5,6 шт. у рослин</w:t>
      </w:r>
      <w:r w:rsidR="00360CAB">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культивованих на середовищі DKW і 3,3–4,1 шт. на MS [</w:t>
      </w:r>
      <w:r w:rsidR="00C818CF" w:rsidRPr="00CC7883">
        <w:rPr>
          <w:rFonts w:ascii="Times New Roman" w:eastAsia="NSimSun" w:hAnsi="Times New Roman" w:cs="Times New Roman"/>
          <w:color w:val="000000" w:themeColor="text1"/>
          <w:kern w:val="3"/>
          <w:sz w:val="28"/>
          <w:szCs w:val="28"/>
        </w:rPr>
        <w:t>135</w:t>
      </w:r>
      <w:r w:rsidRPr="00CC7883">
        <w:rPr>
          <w:rFonts w:ascii="Times New Roman" w:eastAsia="NSimSun" w:hAnsi="Times New Roman" w:cs="Times New Roman"/>
          <w:color w:val="000000" w:themeColor="text1"/>
          <w:kern w:val="3"/>
          <w:sz w:val="28"/>
          <w:szCs w:val="28"/>
        </w:rPr>
        <w:t>]. Для хризантеми</w:t>
      </w:r>
      <w:r w:rsidR="00360CAB">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w:t>
      </w:r>
      <w:r w:rsidR="00360CAB">
        <w:rPr>
          <w:rFonts w:ascii="Times New Roman" w:eastAsia="NSimSun" w:hAnsi="Times New Roman" w:cs="Times New Roman"/>
          <w:color w:val="000000" w:themeColor="text1"/>
          <w:kern w:val="3"/>
          <w:sz w:val="28"/>
          <w:szCs w:val="28"/>
        </w:rPr>
        <w:t>навпаки</w:t>
      </w:r>
      <w:r w:rsidRPr="00CC7883">
        <w:rPr>
          <w:rFonts w:ascii="Times New Roman" w:eastAsia="NSimSun" w:hAnsi="Times New Roman" w:cs="Times New Roman"/>
          <w:color w:val="000000" w:themeColor="text1"/>
          <w:kern w:val="3"/>
          <w:sz w:val="28"/>
          <w:szCs w:val="28"/>
        </w:rPr>
        <w:t>, найкращі результати морфогенезу відзначено на середовищі MS – довжина пагонів дорівнювала близько 5,0 см, а кількіст</w:t>
      </w:r>
      <w:r w:rsidR="00C818CF" w:rsidRPr="00CC7883">
        <w:rPr>
          <w:rFonts w:ascii="Times New Roman" w:eastAsia="NSimSun" w:hAnsi="Times New Roman" w:cs="Times New Roman"/>
          <w:color w:val="000000" w:themeColor="text1"/>
          <w:kern w:val="3"/>
          <w:sz w:val="28"/>
          <w:szCs w:val="28"/>
        </w:rPr>
        <w:t>ь листків становила 11,0 шт. [2</w:t>
      </w:r>
      <w:r w:rsidR="005612C3" w:rsidRPr="00CC7883">
        <w:rPr>
          <w:rFonts w:ascii="Times New Roman" w:eastAsia="NSimSun" w:hAnsi="Times New Roman" w:cs="Times New Roman"/>
          <w:color w:val="000000" w:themeColor="text1"/>
          <w:kern w:val="3"/>
          <w:sz w:val="28"/>
          <w:szCs w:val="28"/>
        </w:rPr>
        <w:t>5</w:t>
      </w:r>
      <w:r w:rsidR="009E747E" w:rsidRPr="00CC7883">
        <w:rPr>
          <w:rFonts w:ascii="Times New Roman" w:eastAsia="NSimSun" w:hAnsi="Times New Roman" w:cs="Times New Roman"/>
          <w:color w:val="000000" w:themeColor="text1"/>
          <w:kern w:val="3"/>
          <w:sz w:val="28"/>
          <w:szCs w:val="28"/>
        </w:rPr>
        <w:t>8</w:t>
      </w:r>
      <w:r w:rsidRPr="00CC7883">
        <w:rPr>
          <w:rFonts w:ascii="Times New Roman" w:eastAsia="NSimSun" w:hAnsi="Times New Roman" w:cs="Times New Roman"/>
          <w:color w:val="000000" w:themeColor="text1"/>
          <w:kern w:val="3"/>
          <w:sz w:val="28"/>
          <w:szCs w:val="28"/>
        </w:rPr>
        <w:t xml:space="preserve">]. </w:t>
      </w:r>
    </w:p>
    <w:p w:rsidR="00B01A54" w:rsidRPr="00CC7883" w:rsidRDefault="00B01A54" w:rsidP="00047411">
      <w:pPr>
        <w:widowControl w:val="0"/>
        <w:autoSpaceDN w:val="0"/>
        <w:spacing w:after="0" w:line="360" w:lineRule="auto"/>
        <w:ind w:firstLine="708"/>
        <w:contextualSpacing/>
        <w:jc w:val="both"/>
        <w:textAlignment w:val="baseline"/>
        <w:rPr>
          <w:rFonts w:ascii="Times New Roman" w:eastAsia="NSimSun" w:hAnsi="Times New Roman" w:cs="Times New Roman"/>
          <w:b/>
          <w:bCs/>
          <w:color w:val="000000" w:themeColor="text1"/>
          <w:kern w:val="3"/>
          <w:sz w:val="28"/>
          <w:szCs w:val="28"/>
        </w:rPr>
      </w:pPr>
      <w:r w:rsidRPr="00CC7883">
        <w:rPr>
          <w:rFonts w:ascii="Times New Roman" w:eastAsia="NSimSun" w:hAnsi="Times New Roman" w:cs="Times New Roman"/>
          <w:color w:val="000000" w:themeColor="text1"/>
          <w:kern w:val="3"/>
          <w:sz w:val="28"/>
          <w:szCs w:val="28"/>
        </w:rPr>
        <w:t>Dönmez D. та ін. у своїх дослідженнях вивчали вплив різного вмісту макро- і мікросолей у складі поживного середовища MS (повна концентрація, ½ та ¼ від стандартної) на коефіцієнт розмноження та розвиток рослин спатифілуму (</w:t>
      </w:r>
      <w:r w:rsidRPr="00CC7883">
        <w:rPr>
          <w:rFonts w:ascii="Times New Roman" w:eastAsia="NSimSun" w:hAnsi="Times New Roman" w:cs="Times New Roman"/>
          <w:i/>
          <w:color w:val="000000" w:themeColor="text1"/>
          <w:kern w:val="3"/>
          <w:sz w:val="28"/>
          <w:szCs w:val="28"/>
        </w:rPr>
        <w:t xml:space="preserve">Spathiphyllum </w:t>
      </w:r>
      <w:r w:rsidRPr="00CC7883">
        <w:rPr>
          <w:rFonts w:ascii="Times New Roman" w:eastAsia="NSimSun" w:hAnsi="Times New Roman" w:cs="Times New Roman"/>
          <w:color w:val="000000" w:themeColor="text1"/>
          <w:kern w:val="3"/>
          <w:sz w:val="28"/>
          <w:szCs w:val="28"/>
        </w:rPr>
        <w:t>Schott). Було встановлено, що стандартне поживне середовище (контроль) виявилося найбільш ефективним для мікророзмноження – коефіцієнт розмноження дорівнював 8,8, середня висота пагонів – 3,6 см, а кількість листків – 24,0 шт., тоді як на середовищах ½ та ¼ MS ці показники знижувалися у два і більш</w:t>
      </w:r>
      <w:r w:rsidR="00C818CF" w:rsidRPr="00CC7883">
        <w:rPr>
          <w:rFonts w:ascii="Times New Roman" w:eastAsia="NSimSun" w:hAnsi="Times New Roman" w:cs="Times New Roman"/>
          <w:color w:val="000000" w:themeColor="text1"/>
          <w:kern w:val="3"/>
          <w:sz w:val="28"/>
          <w:szCs w:val="28"/>
        </w:rPr>
        <w:t>е разів [110</w:t>
      </w:r>
      <w:r w:rsidRPr="00CC7883">
        <w:rPr>
          <w:rFonts w:ascii="Times New Roman" w:eastAsia="NSimSun" w:hAnsi="Times New Roman" w:cs="Times New Roman"/>
          <w:color w:val="000000" w:themeColor="text1"/>
          <w:kern w:val="3"/>
          <w:sz w:val="28"/>
          <w:szCs w:val="28"/>
        </w:rPr>
        <w:t>].</w:t>
      </w:r>
    </w:p>
    <w:p w:rsidR="00B01A54" w:rsidRPr="00CC7883" w:rsidRDefault="00B01A54" w:rsidP="00047411">
      <w:pPr>
        <w:widowControl w:val="0"/>
        <w:autoSpaceDN w:val="0"/>
        <w:spacing w:after="0" w:line="360" w:lineRule="auto"/>
        <w:ind w:firstLine="708"/>
        <w:contextualSpacing/>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Petrus-Vancea A. та ін. показали позитивний вплив використання води з низьким вмістом дейтерію (25 мг/л), у якій готували поживне середовище MS, на розвиток приросту мікроклональних рослин. У таких умовах у рослин пшениці звичайної (</w:t>
      </w:r>
      <w:r w:rsidRPr="00CC7883">
        <w:rPr>
          <w:rFonts w:ascii="Times New Roman" w:eastAsia="NSimSun" w:hAnsi="Times New Roman" w:cs="Times New Roman"/>
          <w:i/>
          <w:color w:val="000000" w:themeColor="text1"/>
          <w:kern w:val="3"/>
          <w:sz w:val="28"/>
          <w:szCs w:val="28"/>
        </w:rPr>
        <w:t>Triticum aestivum</w:t>
      </w:r>
      <w:r w:rsidRPr="00CC7883">
        <w:rPr>
          <w:rFonts w:ascii="Times New Roman" w:eastAsia="NSimSun" w:hAnsi="Times New Roman" w:cs="Times New Roman"/>
          <w:color w:val="000000" w:themeColor="text1"/>
          <w:kern w:val="3"/>
          <w:sz w:val="28"/>
          <w:szCs w:val="28"/>
        </w:rPr>
        <w:t xml:space="preserve"> L.) через 5 діб культивування формувалося по дві листкові пластинки, довжина пагонів становила 5,2 см, що перевищувало контроль на 0,15 см, а приріст був вищим на 18,0 %. Baskaran P. і Jayabalan N. довели доцільність додавання до поживного середовища 5,0 % кокосової води, що забезпечило через 8 тижнів отримання мікроклонів сорго звичайного (</w:t>
      </w:r>
      <w:r w:rsidRPr="00CC7883">
        <w:rPr>
          <w:rFonts w:ascii="Times New Roman" w:eastAsia="NSimSun" w:hAnsi="Times New Roman" w:cs="Times New Roman"/>
          <w:i/>
          <w:color w:val="000000" w:themeColor="text1"/>
          <w:kern w:val="3"/>
          <w:sz w:val="28"/>
          <w:szCs w:val="28"/>
        </w:rPr>
        <w:t>Sorghum bicolor</w:t>
      </w:r>
      <w:r w:rsidRPr="00CC7883">
        <w:rPr>
          <w:rFonts w:ascii="Times New Roman" w:eastAsia="NSimSun" w:hAnsi="Times New Roman" w:cs="Times New Roman"/>
          <w:color w:val="000000" w:themeColor="text1"/>
          <w:kern w:val="3"/>
          <w:sz w:val="28"/>
          <w:szCs w:val="28"/>
        </w:rPr>
        <w:t xml:space="preserve"> (L.) Moench) довжиною 3,0–5,8 см. Після пересаджування рослин сорго у тепличні умови на поживні субстрати було встановлено, що на першому етапі (перші 3 тижні) приживлюваність становила 100,0 %, після 4 тижнів – 98,0 %, а ще через 10 тижнів – 72,4 % [20</w:t>
      </w:r>
      <w:r w:rsidR="005612C3" w:rsidRPr="00CC7883">
        <w:rPr>
          <w:rFonts w:ascii="Times New Roman" w:eastAsia="NSimSun" w:hAnsi="Times New Roman" w:cs="Times New Roman"/>
          <w:color w:val="000000" w:themeColor="text1"/>
          <w:kern w:val="3"/>
          <w:sz w:val="28"/>
          <w:szCs w:val="28"/>
        </w:rPr>
        <w:t>4</w:t>
      </w:r>
      <w:r w:rsidR="00F44ECE" w:rsidRPr="00C634FF">
        <w:rPr>
          <w:rFonts w:ascii="Times New Roman" w:eastAsia="NSimSun" w:hAnsi="Times New Roman" w:cs="Times New Roman"/>
          <w:color w:val="000000" w:themeColor="text1"/>
          <w:kern w:val="3"/>
          <w:sz w:val="28"/>
          <w:szCs w:val="28"/>
        </w:rPr>
        <w:t>,</w:t>
      </w:r>
      <w:r w:rsidR="00C818CF" w:rsidRPr="00CC7883">
        <w:rPr>
          <w:rFonts w:ascii="Times New Roman" w:eastAsia="NSimSun" w:hAnsi="Times New Roman" w:cs="Times New Roman"/>
          <w:color w:val="000000" w:themeColor="text1"/>
          <w:kern w:val="3"/>
          <w:sz w:val="28"/>
          <w:szCs w:val="28"/>
        </w:rPr>
        <w:t xml:space="preserve"> 90</w:t>
      </w:r>
      <w:r w:rsidRPr="00CC7883">
        <w:rPr>
          <w:rFonts w:ascii="Times New Roman" w:eastAsia="NSimSun" w:hAnsi="Times New Roman" w:cs="Times New Roman"/>
          <w:color w:val="000000" w:themeColor="text1"/>
          <w:kern w:val="3"/>
          <w:sz w:val="28"/>
          <w:szCs w:val="28"/>
        </w:rPr>
        <w:t>].</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lastRenderedPageBreak/>
        <w:t xml:space="preserve">Зміна кількості та співвідношення фітогормонів у складі поживного середовища істотно впливала на формування біометричних показників розвитку рослин. Так, для культивування </w:t>
      </w:r>
      <w:r w:rsidR="000553AD" w:rsidRPr="00CC7883">
        <w:rPr>
          <w:rFonts w:ascii="Times New Roman" w:hAnsi="Times New Roman" w:cs="Times New Roman"/>
          <w:i/>
          <w:color w:val="000000" w:themeColor="text1"/>
          <w:sz w:val="28"/>
        </w:rPr>
        <w:t>in vitro</w:t>
      </w:r>
      <w:r w:rsidRPr="00CC7883">
        <w:rPr>
          <w:rFonts w:ascii="Times New Roman" w:eastAsia="NSimSun" w:hAnsi="Times New Roman" w:cs="Times New Roman"/>
          <w:color w:val="000000" w:themeColor="text1"/>
          <w:kern w:val="3"/>
          <w:sz w:val="28"/>
          <w:szCs w:val="28"/>
        </w:rPr>
        <w:t xml:space="preserve"> акації нільської (</w:t>
      </w:r>
      <w:r w:rsidRPr="00CC7883">
        <w:rPr>
          <w:rFonts w:ascii="Times New Roman" w:eastAsia="NSimSun" w:hAnsi="Times New Roman" w:cs="Times New Roman"/>
          <w:i/>
          <w:iCs/>
          <w:color w:val="000000" w:themeColor="text1"/>
          <w:kern w:val="3"/>
          <w:sz w:val="28"/>
          <w:szCs w:val="28"/>
        </w:rPr>
        <w:t>Acacia nilotica</w:t>
      </w:r>
      <w:r w:rsidRPr="00CC7883">
        <w:rPr>
          <w:rFonts w:ascii="Times New Roman" w:eastAsia="NSimSun" w:hAnsi="Times New Roman" w:cs="Times New Roman"/>
          <w:color w:val="000000" w:themeColor="text1"/>
          <w:kern w:val="3"/>
          <w:sz w:val="28"/>
          <w:szCs w:val="28"/>
        </w:rPr>
        <w:t xml:space="preserve"> (L.) Delile), рути зимової (</w:t>
      </w:r>
      <w:r w:rsidRPr="00CC7883">
        <w:rPr>
          <w:rFonts w:ascii="Times New Roman" w:eastAsia="NSimSun" w:hAnsi="Times New Roman" w:cs="Times New Roman"/>
          <w:i/>
          <w:iCs/>
          <w:color w:val="000000" w:themeColor="text1"/>
          <w:kern w:val="3"/>
          <w:sz w:val="28"/>
          <w:szCs w:val="28"/>
        </w:rPr>
        <w:t>Ruta chalepensis</w:t>
      </w:r>
      <w:r w:rsidRPr="00CC7883">
        <w:rPr>
          <w:rFonts w:ascii="Times New Roman" w:eastAsia="NSimSun" w:hAnsi="Times New Roman" w:cs="Times New Roman"/>
          <w:color w:val="000000" w:themeColor="text1"/>
          <w:kern w:val="3"/>
          <w:sz w:val="28"/>
          <w:szCs w:val="28"/>
        </w:rPr>
        <w:t xml:space="preserve"> L.) та імбиру індійського (</w:t>
      </w:r>
      <w:r w:rsidRPr="00CC7883">
        <w:rPr>
          <w:rFonts w:ascii="Times New Roman" w:eastAsia="NSimSun" w:hAnsi="Times New Roman" w:cs="Times New Roman"/>
          <w:i/>
          <w:iCs/>
          <w:color w:val="000000" w:themeColor="text1"/>
          <w:kern w:val="3"/>
          <w:sz w:val="28"/>
          <w:szCs w:val="28"/>
        </w:rPr>
        <w:t>Zingiber montanum</w:t>
      </w:r>
      <w:r w:rsidRPr="00CC7883">
        <w:rPr>
          <w:rFonts w:ascii="Times New Roman" w:eastAsia="NSimSun" w:hAnsi="Times New Roman" w:cs="Times New Roman"/>
          <w:color w:val="000000" w:themeColor="text1"/>
          <w:kern w:val="3"/>
          <w:sz w:val="28"/>
          <w:szCs w:val="28"/>
        </w:rPr>
        <w:t xml:space="preserve"> (J.</w:t>
      </w:r>
      <w:r w:rsidR="00FC03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König) Link ex A.</w:t>
      </w:r>
      <w:r w:rsidR="006E487B">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Dietr.)</w:t>
      </w:r>
      <w:r w:rsidR="006E487B">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Samake G. et al., Qahtan A. A. et al. та Hamirah M. N. et al. застосовували модифіковане поживне середовище B5 із підвищеним вмістом регуляторів росту (6-БАП, α-НОК, тідіазурон). Найкращий розвиток приросту було отримано у </w:t>
      </w:r>
      <w:r w:rsidRPr="00CC7883">
        <w:rPr>
          <w:rFonts w:ascii="Times New Roman" w:eastAsia="NSimSun" w:hAnsi="Times New Roman" w:cs="Times New Roman"/>
          <w:i/>
          <w:iCs/>
          <w:color w:val="000000" w:themeColor="text1"/>
          <w:kern w:val="3"/>
          <w:sz w:val="28"/>
          <w:szCs w:val="28"/>
        </w:rPr>
        <w:t>A. nilotica</w:t>
      </w:r>
      <w:r w:rsidR="00F225BB">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 у середньому 5,8 </w:t>
      </w:r>
      <w:r w:rsidR="004B64FE">
        <w:rPr>
          <w:rFonts w:ascii="Times New Roman" w:eastAsia="NSimSun" w:hAnsi="Times New Roman" w:cs="Times New Roman"/>
          <w:color w:val="000000" w:themeColor="text1"/>
          <w:kern w:val="3"/>
          <w:sz w:val="28"/>
          <w:szCs w:val="28"/>
        </w:rPr>
        <w:t xml:space="preserve">шт. </w:t>
      </w:r>
      <w:r w:rsidRPr="00CC7883">
        <w:rPr>
          <w:rFonts w:ascii="Times New Roman" w:eastAsia="NSimSun" w:hAnsi="Times New Roman" w:cs="Times New Roman"/>
          <w:color w:val="000000" w:themeColor="text1"/>
          <w:kern w:val="3"/>
          <w:sz w:val="28"/>
          <w:szCs w:val="28"/>
        </w:rPr>
        <w:t xml:space="preserve">листків при довжині стебла 5,6 см на середовищі B5 + 6-БАП; у </w:t>
      </w:r>
      <w:r w:rsidRPr="00CC7883">
        <w:rPr>
          <w:rFonts w:ascii="Times New Roman" w:eastAsia="NSimSun" w:hAnsi="Times New Roman" w:cs="Times New Roman"/>
          <w:i/>
          <w:iCs/>
          <w:color w:val="000000" w:themeColor="text1"/>
          <w:kern w:val="3"/>
          <w:sz w:val="28"/>
          <w:szCs w:val="28"/>
        </w:rPr>
        <w:t>R. chalepensis</w:t>
      </w:r>
      <w:r w:rsidRPr="00CC7883">
        <w:rPr>
          <w:rFonts w:ascii="Times New Roman" w:eastAsia="NSimSun" w:hAnsi="Times New Roman" w:cs="Times New Roman"/>
          <w:color w:val="000000" w:themeColor="text1"/>
          <w:kern w:val="3"/>
          <w:sz w:val="28"/>
          <w:szCs w:val="28"/>
        </w:rPr>
        <w:t xml:space="preserve"> – 40,3 пагони на експлант довжиною 4,8 см на середовищі B5 + 6-БАП + α-НОК; у </w:t>
      </w:r>
      <w:r w:rsidRPr="00CC7883">
        <w:rPr>
          <w:rFonts w:ascii="Times New Roman" w:eastAsia="NSimSun" w:hAnsi="Times New Roman" w:cs="Times New Roman"/>
          <w:i/>
          <w:iCs/>
          <w:color w:val="000000" w:themeColor="text1"/>
          <w:kern w:val="3"/>
          <w:sz w:val="28"/>
          <w:szCs w:val="28"/>
        </w:rPr>
        <w:t>Z. montanum</w:t>
      </w:r>
      <w:r w:rsidRPr="00CC7883">
        <w:rPr>
          <w:rFonts w:ascii="Times New Roman" w:eastAsia="NSimSun" w:hAnsi="Times New Roman" w:cs="Times New Roman"/>
          <w:color w:val="000000" w:themeColor="text1"/>
          <w:kern w:val="3"/>
          <w:sz w:val="28"/>
          <w:szCs w:val="28"/>
        </w:rPr>
        <w:t xml:space="preserve"> – 8,1 пагони на експлант на середовищі B5 + тідіазурон. Після активації процесів приросту та перенесення рослин до умов теплиць рівень їх приживлюваності становив 90,0–100,0 % [22</w:t>
      </w:r>
      <w:r w:rsidR="009E747E" w:rsidRPr="00CC7883">
        <w:rPr>
          <w:rFonts w:ascii="Times New Roman" w:eastAsia="NSimSun" w:hAnsi="Times New Roman" w:cs="Times New Roman"/>
          <w:color w:val="000000" w:themeColor="text1"/>
          <w:kern w:val="3"/>
          <w:sz w:val="28"/>
          <w:szCs w:val="28"/>
        </w:rPr>
        <w:t>3</w:t>
      </w:r>
      <w:r w:rsidR="00F44ECE" w:rsidRPr="00C634FF">
        <w:rPr>
          <w:rFonts w:ascii="Times New Roman" w:eastAsia="NSimSun" w:hAnsi="Times New Roman" w:cs="Times New Roman"/>
          <w:color w:val="000000" w:themeColor="text1"/>
          <w:kern w:val="3"/>
          <w:sz w:val="28"/>
          <w:szCs w:val="28"/>
          <w:lang w:val="ru-RU"/>
        </w:rPr>
        <w:t>,</w:t>
      </w:r>
      <w:r w:rsidRPr="00CC7883">
        <w:rPr>
          <w:rFonts w:ascii="Times New Roman" w:eastAsia="NSimSun" w:hAnsi="Times New Roman" w:cs="Times New Roman"/>
          <w:color w:val="000000" w:themeColor="text1"/>
          <w:kern w:val="3"/>
          <w:sz w:val="28"/>
          <w:szCs w:val="28"/>
        </w:rPr>
        <w:t xml:space="preserve"> 21</w:t>
      </w:r>
      <w:r w:rsidR="009E747E" w:rsidRPr="00CC7883">
        <w:rPr>
          <w:rFonts w:ascii="Times New Roman" w:eastAsia="NSimSun" w:hAnsi="Times New Roman" w:cs="Times New Roman"/>
          <w:color w:val="000000" w:themeColor="text1"/>
          <w:kern w:val="3"/>
          <w:sz w:val="28"/>
          <w:szCs w:val="28"/>
        </w:rPr>
        <w:t>2</w:t>
      </w:r>
      <w:r w:rsidR="00F44ECE" w:rsidRPr="00C634FF">
        <w:rPr>
          <w:rFonts w:ascii="Times New Roman" w:eastAsia="NSimSun" w:hAnsi="Times New Roman" w:cs="Times New Roman"/>
          <w:color w:val="000000" w:themeColor="text1"/>
          <w:kern w:val="3"/>
          <w:sz w:val="28"/>
          <w:szCs w:val="28"/>
          <w:lang w:val="ru-RU"/>
        </w:rPr>
        <w:t>,</w:t>
      </w:r>
      <w:r w:rsidRPr="00CC7883">
        <w:rPr>
          <w:rFonts w:ascii="Times New Roman" w:eastAsia="NSimSun" w:hAnsi="Times New Roman" w:cs="Times New Roman"/>
          <w:color w:val="000000" w:themeColor="text1"/>
          <w:kern w:val="3"/>
          <w:sz w:val="28"/>
          <w:szCs w:val="28"/>
        </w:rPr>
        <w:t xml:space="preserve"> 1</w:t>
      </w:r>
      <w:r w:rsidR="00C818CF" w:rsidRPr="00CC7883">
        <w:rPr>
          <w:rFonts w:ascii="Times New Roman" w:eastAsia="NSimSun" w:hAnsi="Times New Roman" w:cs="Times New Roman"/>
          <w:color w:val="000000" w:themeColor="text1"/>
          <w:kern w:val="3"/>
          <w:sz w:val="28"/>
          <w:szCs w:val="28"/>
        </w:rPr>
        <w:t>29</w:t>
      </w:r>
      <w:r w:rsidRPr="00CC7883">
        <w:rPr>
          <w:rFonts w:ascii="Times New Roman" w:eastAsia="NSimSun" w:hAnsi="Times New Roman" w:cs="Times New Roman"/>
          <w:color w:val="000000" w:themeColor="text1"/>
          <w:kern w:val="3"/>
          <w:sz w:val="28"/>
          <w:szCs w:val="28"/>
        </w:rPr>
        <w:t>]. Аналогічна залежність простежувалась і для інших культур, зокрема, внесення до поживного середовища 6-БАП, кінетину стимулювало утворення, розвиток пагонів та листків у рослин роду банан (</w:t>
      </w:r>
      <w:r w:rsidRPr="00CC7883">
        <w:rPr>
          <w:rFonts w:ascii="Times New Roman" w:eastAsia="NSimSun" w:hAnsi="Times New Roman" w:cs="Times New Roman"/>
          <w:i/>
          <w:iCs/>
          <w:color w:val="000000" w:themeColor="text1"/>
          <w:kern w:val="3"/>
          <w:sz w:val="28"/>
          <w:szCs w:val="28"/>
        </w:rPr>
        <w:t>Musa</w:t>
      </w:r>
      <w:r w:rsidRPr="00CC7883">
        <w:rPr>
          <w:rFonts w:ascii="Times New Roman" w:eastAsia="NSimSun" w:hAnsi="Times New Roman" w:cs="Times New Roman"/>
          <w:color w:val="000000" w:themeColor="text1"/>
          <w:kern w:val="3"/>
          <w:sz w:val="28"/>
          <w:szCs w:val="28"/>
        </w:rPr>
        <w:t xml:space="preserve"> spp. L.)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00FC03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w:t>
      </w:r>
      <w:r w:rsidR="00FC03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6-БАП) [8</w:t>
      </w:r>
      <w:r w:rsidR="00C818CF" w:rsidRPr="00CC7883">
        <w:rPr>
          <w:rFonts w:ascii="Times New Roman" w:eastAsia="NSimSun" w:hAnsi="Times New Roman" w:cs="Times New Roman"/>
          <w:color w:val="000000" w:themeColor="text1"/>
          <w:kern w:val="3"/>
          <w:sz w:val="28"/>
          <w:szCs w:val="28"/>
        </w:rPr>
        <w:t>0</w:t>
      </w:r>
      <w:r w:rsidRPr="00CC7883">
        <w:rPr>
          <w:rFonts w:ascii="Times New Roman" w:eastAsia="NSimSun" w:hAnsi="Times New Roman" w:cs="Times New Roman"/>
          <w:color w:val="000000" w:themeColor="text1"/>
          <w:kern w:val="3"/>
          <w:sz w:val="28"/>
          <w:szCs w:val="28"/>
        </w:rPr>
        <w:t>], яблуні домашньої (</w:t>
      </w:r>
      <w:r w:rsidRPr="00CC7883">
        <w:rPr>
          <w:rFonts w:ascii="Times New Roman" w:eastAsia="NSimSun" w:hAnsi="Times New Roman" w:cs="Times New Roman"/>
          <w:i/>
          <w:color w:val="000000" w:themeColor="text1"/>
          <w:kern w:val="3"/>
          <w:sz w:val="28"/>
          <w:szCs w:val="28"/>
        </w:rPr>
        <w:t>Malus</w:t>
      </w:r>
      <w:r w:rsidR="00CA7BF0" w:rsidRPr="00CC7883">
        <w:rPr>
          <w:rFonts w:ascii="Times New Roman" w:eastAsia="NSimSun" w:hAnsi="Times New Roman" w:cs="Times New Roman"/>
          <w:i/>
          <w:color w:val="000000" w:themeColor="text1"/>
          <w:kern w:val="3"/>
          <w:sz w:val="28"/>
          <w:szCs w:val="28"/>
        </w:rPr>
        <w:t xml:space="preserve"> </w:t>
      </w:r>
      <w:r w:rsidRPr="00CC7883">
        <w:rPr>
          <w:rFonts w:ascii="Times New Roman" w:eastAsia="NSimSun" w:hAnsi="Times New Roman" w:cs="Times New Roman"/>
          <w:i/>
          <w:color w:val="000000" w:themeColor="text1"/>
          <w:kern w:val="3"/>
          <w:sz w:val="28"/>
          <w:szCs w:val="28"/>
        </w:rPr>
        <w:t>domestica</w:t>
      </w:r>
      <w:r w:rsidR="00CA7BF0" w:rsidRPr="00CC7883">
        <w:rPr>
          <w:rFonts w:ascii="Times New Roman" w:eastAsia="NSimSun" w:hAnsi="Times New Roman" w:cs="Times New Roman"/>
          <w:i/>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Borkh.) (MS + ІОК + кінетин) [7</w:t>
      </w:r>
      <w:r w:rsidR="00C818CF" w:rsidRPr="00CC7883">
        <w:rPr>
          <w:rFonts w:ascii="Times New Roman" w:eastAsia="NSimSun" w:hAnsi="Times New Roman" w:cs="Times New Roman"/>
          <w:color w:val="000000" w:themeColor="text1"/>
          <w:kern w:val="3"/>
          <w:sz w:val="28"/>
          <w:szCs w:val="28"/>
        </w:rPr>
        <w:t>3</w:t>
      </w:r>
      <w:r w:rsidRPr="00CC7883">
        <w:rPr>
          <w:rFonts w:ascii="Times New Roman" w:eastAsia="NSimSun" w:hAnsi="Times New Roman" w:cs="Times New Roman"/>
          <w:color w:val="000000" w:themeColor="text1"/>
          <w:kern w:val="3"/>
          <w:sz w:val="28"/>
          <w:szCs w:val="28"/>
        </w:rPr>
        <w:t>], внесення 6-БАП у комбінації з ГК</w:t>
      </w:r>
      <w:r w:rsidRPr="00CC7883">
        <w:rPr>
          <w:rFonts w:ascii="Times New Roman" w:eastAsia="NSimSun" w:hAnsi="Times New Roman" w:cs="Times New Roman"/>
          <w:color w:val="000000" w:themeColor="text1"/>
          <w:kern w:val="3"/>
          <w:sz w:val="28"/>
          <w:szCs w:val="28"/>
          <w:vertAlign w:val="subscript"/>
        </w:rPr>
        <w:t>3</w:t>
      </w:r>
      <w:r w:rsidRPr="00CC7883">
        <w:rPr>
          <w:rFonts w:ascii="Times New Roman" w:eastAsia="NSimSun" w:hAnsi="Times New Roman" w:cs="Times New Roman"/>
          <w:color w:val="000000" w:themeColor="text1"/>
          <w:kern w:val="3"/>
          <w:sz w:val="28"/>
          <w:szCs w:val="28"/>
        </w:rPr>
        <w:t xml:space="preserve"> або α-НОК сприяло активному розвитку листків у дієтесу іридоїдного (</w:t>
      </w:r>
      <w:r w:rsidRPr="00CC7883">
        <w:rPr>
          <w:rFonts w:ascii="Times New Roman" w:eastAsia="NSimSun" w:hAnsi="Times New Roman" w:cs="Times New Roman"/>
          <w:i/>
          <w:iCs/>
          <w:color w:val="000000" w:themeColor="text1"/>
          <w:kern w:val="3"/>
          <w:sz w:val="28"/>
          <w:szCs w:val="28"/>
        </w:rPr>
        <w:t>Dietes iridioides</w:t>
      </w:r>
      <w:r w:rsidRPr="00CC7883">
        <w:rPr>
          <w:rFonts w:ascii="Times New Roman" w:eastAsia="NSimSun" w:hAnsi="Times New Roman" w:cs="Times New Roman"/>
          <w:color w:val="000000" w:themeColor="text1"/>
          <w:kern w:val="3"/>
          <w:sz w:val="28"/>
          <w:szCs w:val="28"/>
        </w:rPr>
        <w:t xml:space="preserve"> (L.) Sweet) [23</w:t>
      </w:r>
      <w:r w:rsidR="009E747E" w:rsidRPr="00CC7883">
        <w:rPr>
          <w:rFonts w:ascii="Times New Roman" w:eastAsia="NSimSun" w:hAnsi="Times New Roman" w:cs="Times New Roman"/>
          <w:color w:val="000000" w:themeColor="text1"/>
          <w:kern w:val="3"/>
          <w:sz w:val="28"/>
          <w:szCs w:val="28"/>
        </w:rPr>
        <w:t>1</w:t>
      </w:r>
      <w:r w:rsidRPr="00CC7883">
        <w:rPr>
          <w:rFonts w:ascii="Times New Roman" w:eastAsia="NSimSun" w:hAnsi="Times New Roman" w:cs="Times New Roman"/>
          <w:color w:val="000000" w:themeColor="text1"/>
          <w:kern w:val="3"/>
          <w:sz w:val="28"/>
          <w:szCs w:val="28"/>
        </w:rPr>
        <w:t>] та сливи персидської (</w:t>
      </w:r>
      <w:r w:rsidRPr="00CC7883">
        <w:rPr>
          <w:rFonts w:ascii="Times New Roman" w:eastAsia="NSimSun" w:hAnsi="Times New Roman" w:cs="Times New Roman"/>
          <w:i/>
          <w:color w:val="000000" w:themeColor="text1"/>
          <w:kern w:val="3"/>
          <w:sz w:val="28"/>
          <w:szCs w:val="28"/>
        </w:rPr>
        <w:t>Prunus</w:t>
      </w:r>
      <w:r w:rsidR="00CA7BF0" w:rsidRPr="00CC7883">
        <w:rPr>
          <w:rFonts w:ascii="Times New Roman" w:eastAsia="NSimSun" w:hAnsi="Times New Roman" w:cs="Times New Roman"/>
          <w:i/>
          <w:color w:val="000000" w:themeColor="text1"/>
          <w:kern w:val="3"/>
          <w:sz w:val="28"/>
          <w:szCs w:val="28"/>
        </w:rPr>
        <w:t xml:space="preserve"> </w:t>
      </w:r>
      <w:r w:rsidRPr="00CC7883">
        <w:rPr>
          <w:rFonts w:ascii="Times New Roman" w:eastAsia="NSimSun" w:hAnsi="Times New Roman" w:cs="Times New Roman"/>
          <w:i/>
          <w:color w:val="000000" w:themeColor="text1"/>
          <w:kern w:val="3"/>
          <w:sz w:val="28"/>
          <w:szCs w:val="28"/>
        </w:rPr>
        <w:t>persica</w:t>
      </w:r>
      <w:r w:rsidR="00CA7BF0" w:rsidRPr="00CC7883">
        <w:rPr>
          <w:rFonts w:ascii="Times New Roman" w:eastAsia="NSimSun" w:hAnsi="Times New Roman" w:cs="Times New Roman"/>
          <w:i/>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Batsch.) (MS + 6-БАП + НОК) [6</w:t>
      </w:r>
      <w:r w:rsidR="00C818CF" w:rsidRPr="00CC7883">
        <w:rPr>
          <w:rFonts w:ascii="Times New Roman" w:eastAsia="NSimSun" w:hAnsi="Times New Roman" w:cs="Times New Roman"/>
          <w:color w:val="000000" w:themeColor="text1"/>
          <w:kern w:val="3"/>
          <w:sz w:val="28"/>
          <w:szCs w:val="28"/>
        </w:rPr>
        <w:t>4</w:t>
      </w:r>
      <w:r w:rsidRPr="00CC7883">
        <w:rPr>
          <w:rFonts w:ascii="Times New Roman" w:eastAsia="NSimSun" w:hAnsi="Times New Roman" w:cs="Times New Roman"/>
          <w:color w:val="000000" w:themeColor="text1"/>
          <w:kern w:val="3"/>
          <w:sz w:val="28"/>
          <w:szCs w:val="28"/>
        </w:rPr>
        <w:t xml:space="preserve">]. Кращі показники росту також були </w:t>
      </w:r>
      <w:r w:rsidR="00240B07" w:rsidRPr="00CC7883">
        <w:rPr>
          <w:rFonts w:ascii="Times New Roman" w:eastAsia="NSimSun" w:hAnsi="Times New Roman" w:cs="Times New Roman"/>
          <w:color w:val="000000" w:themeColor="text1"/>
          <w:spacing w:val="-8"/>
          <w:kern w:val="3"/>
          <w:sz w:val="28"/>
          <w:szCs w:val="28"/>
        </w:rPr>
        <w:t>від</w:t>
      </w:r>
      <w:r w:rsidR="00240B07">
        <w:rPr>
          <w:rFonts w:ascii="Times New Roman" w:eastAsia="NSimSun" w:hAnsi="Times New Roman" w:cs="Times New Roman"/>
          <w:color w:val="000000" w:themeColor="text1"/>
          <w:spacing w:val="-8"/>
          <w:kern w:val="3"/>
          <w:sz w:val="28"/>
          <w:szCs w:val="28"/>
        </w:rPr>
        <w:t>значені</w:t>
      </w:r>
      <w:r w:rsidRPr="00CC7883">
        <w:rPr>
          <w:rFonts w:ascii="Times New Roman" w:eastAsia="NSimSun" w:hAnsi="Times New Roman" w:cs="Times New Roman"/>
          <w:color w:val="000000" w:themeColor="text1"/>
          <w:kern w:val="3"/>
          <w:sz w:val="28"/>
          <w:szCs w:val="28"/>
        </w:rPr>
        <w:t xml:space="preserve"> у камелії китайської (</w:t>
      </w:r>
      <w:r w:rsidRPr="00CC7883">
        <w:rPr>
          <w:rFonts w:ascii="Times New Roman" w:eastAsia="NSimSun" w:hAnsi="Times New Roman" w:cs="Times New Roman"/>
          <w:i/>
          <w:iCs/>
          <w:color w:val="000000" w:themeColor="text1"/>
          <w:kern w:val="3"/>
          <w:sz w:val="28"/>
          <w:szCs w:val="28"/>
        </w:rPr>
        <w:t>Camellia sinensis</w:t>
      </w:r>
      <w:r w:rsidRPr="00CC7883">
        <w:rPr>
          <w:rFonts w:ascii="Times New Roman" w:eastAsia="NSimSun" w:hAnsi="Times New Roman" w:cs="Times New Roman"/>
          <w:color w:val="000000" w:themeColor="text1"/>
          <w:kern w:val="3"/>
          <w:sz w:val="28"/>
          <w:szCs w:val="28"/>
        </w:rPr>
        <w:t xml:space="preserve"> L.), валеріани гімалайської (</w:t>
      </w:r>
      <w:r w:rsidRPr="00CC7883">
        <w:rPr>
          <w:rFonts w:ascii="Times New Roman" w:eastAsia="NSimSun" w:hAnsi="Times New Roman" w:cs="Times New Roman"/>
          <w:i/>
          <w:iCs/>
          <w:color w:val="000000" w:themeColor="text1"/>
          <w:kern w:val="3"/>
          <w:sz w:val="28"/>
          <w:szCs w:val="28"/>
        </w:rPr>
        <w:t>Valeriana jatamansi</w:t>
      </w:r>
      <w:r w:rsidRPr="00CC7883">
        <w:rPr>
          <w:rFonts w:ascii="Times New Roman" w:eastAsia="NSimSun" w:hAnsi="Times New Roman" w:cs="Times New Roman"/>
          <w:color w:val="000000" w:themeColor="text1"/>
          <w:kern w:val="3"/>
          <w:sz w:val="28"/>
          <w:szCs w:val="28"/>
        </w:rPr>
        <w:t xml:space="preserve"> Jones ex Roxb.), ожини звичайної (</w:t>
      </w:r>
      <w:r w:rsidRPr="00CC7883">
        <w:rPr>
          <w:rFonts w:ascii="Times New Roman" w:eastAsia="NSimSun" w:hAnsi="Times New Roman" w:cs="Times New Roman"/>
          <w:i/>
          <w:iCs/>
          <w:color w:val="000000" w:themeColor="text1"/>
          <w:kern w:val="3"/>
          <w:sz w:val="28"/>
          <w:szCs w:val="28"/>
        </w:rPr>
        <w:t>Rubus fruticosus</w:t>
      </w:r>
      <w:r w:rsidRPr="00CC7883">
        <w:rPr>
          <w:rFonts w:ascii="Times New Roman" w:eastAsia="NSimSun" w:hAnsi="Times New Roman" w:cs="Times New Roman"/>
          <w:color w:val="000000" w:themeColor="text1"/>
          <w:kern w:val="3"/>
          <w:sz w:val="28"/>
          <w:szCs w:val="28"/>
        </w:rPr>
        <w:t xml:space="preserve"> L.) та павловнії повст</w:t>
      </w:r>
      <w:r w:rsidR="0081198C">
        <w:rPr>
          <w:rFonts w:ascii="Times New Roman" w:eastAsia="NSimSun" w:hAnsi="Times New Roman" w:cs="Times New Roman"/>
          <w:color w:val="000000" w:themeColor="text1"/>
          <w:kern w:val="3"/>
          <w:sz w:val="28"/>
          <w:szCs w:val="28"/>
        </w:rPr>
        <w:t>яної</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iCs/>
          <w:color w:val="000000" w:themeColor="text1"/>
          <w:kern w:val="3"/>
          <w:sz w:val="28"/>
          <w:szCs w:val="28"/>
        </w:rPr>
        <w:t>Paulownia tomentosa</w:t>
      </w:r>
      <w:r w:rsidRPr="00CC7883">
        <w:rPr>
          <w:rFonts w:ascii="Times New Roman" w:eastAsia="NSimSun" w:hAnsi="Times New Roman" w:cs="Times New Roman"/>
          <w:color w:val="000000" w:themeColor="text1"/>
          <w:kern w:val="3"/>
          <w:sz w:val="28"/>
          <w:szCs w:val="28"/>
        </w:rPr>
        <w:t xml:space="preserve"> (Thunb.) Steud.) після додавання до поживного середовища </w:t>
      </w:r>
      <w:r w:rsidR="00643E06" w:rsidRPr="00CC7883">
        <w:rPr>
          <w:rFonts w:ascii="Times New Roman" w:eastAsia="Calibri" w:hAnsi="Times New Roman" w:cs="Times New Roman"/>
          <w:color w:val="000000" w:themeColor="text1"/>
          <w:kern w:val="0"/>
          <w:sz w:val="28"/>
          <w:szCs w:val="28"/>
        </w:rPr>
        <w:t>індоліл-маслян</w:t>
      </w:r>
      <w:r w:rsidR="004B64FE">
        <w:rPr>
          <w:rFonts w:ascii="Times New Roman" w:eastAsia="Calibri" w:hAnsi="Times New Roman" w:cs="Times New Roman"/>
          <w:color w:val="000000" w:themeColor="text1"/>
          <w:kern w:val="0"/>
          <w:sz w:val="28"/>
          <w:szCs w:val="28"/>
        </w:rPr>
        <w:t>ої</w:t>
      </w:r>
      <w:r w:rsidR="00643E06" w:rsidRPr="00CC7883">
        <w:rPr>
          <w:rFonts w:ascii="Times New Roman" w:eastAsia="Calibri" w:hAnsi="Times New Roman" w:cs="Times New Roman"/>
          <w:color w:val="000000" w:themeColor="text1"/>
          <w:kern w:val="0"/>
          <w:sz w:val="28"/>
          <w:szCs w:val="28"/>
        </w:rPr>
        <w:t xml:space="preserve"> кислот</w:t>
      </w:r>
      <w:r w:rsidR="004B64FE">
        <w:rPr>
          <w:rFonts w:ascii="Times New Roman" w:eastAsia="Calibri" w:hAnsi="Times New Roman" w:cs="Times New Roman"/>
          <w:color w:val="000000" w:themeColor="text1"/>
          <w:kern w:val="0"/>
          <w:sz w:val="28"/>
          <w:szCs w:val="28"/>
        </w:rPr>
        <w:t>и</w:t>
      </w:r>
      <w:r w:rsidR="0097741D" w:rsidRPr="00CC7883">
        <w:rPr>
          <w:rFonts w:ascii="Times New Roman" w:eastAsia="Calibri" w:hAnsi="Times New Roman" w:cs="Times New Roman"/>
          <w:color w:val="000000" w:themeColor="text1"/>
          <w:kern w:val="0"/>
          <w:sz w:val="28"/>
          <w:szCs w:val="28"/>
        </w:rPr>
        <w:t xml:space="preserve"> </w:t>
      </w:r>
      <w:r w:rsidR="00643E06" w:rsidRPr="00CC7883">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ІМК</w:t>
      </w:r>
      <w:r w:rsidR="00643E06" w:rsidRPr="00CC7883">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[22</w:t>
      </w:r>
      <w:r w:rsidR="009E747E" w:rsidRPr="00CC7883">
        <w:rPr>
          <w:rFonts w:ascii="Times New Roman" w:eastAsia="NSimSun" w:hAnsi="Times New Roman" w:cs="Times New Roman"/>
          <w:color w:val="000000" w:themeColor="text1"/>
          <w:kern w:val="3"/>
          <w:sz w:val="28"/>
          <w:szCs w:val="28"/>
        </w:rPr>
        <w:t>4</w:t>
      </w:r>
      <w:r w:rsidRPr="00CC7883">
        <w:rPr>
          <w:rFonts w:ascii="Times New Roman" w:eastAsia="NSimSun" w:hAnsi="Times New Roman" w:cs="Times New Roman"/>
          <w:color w:val="000000" w:themeColor="text1"/>
          <w:kern w:val="3"/>
          <w:sz w:val="28"/>
          <w:szCs w:val="28"/>
        </w:rPr>
        <w:t>], α-НОК [6</w:t>
      </w:r>
      <w:r w:rsidR="00C818CF" w:rsidRPr="00CC7883">
        <w:rPr>
          <w:rFonts w:ascii="Times New Roman" w:eastAsia="NSimSun" w:hAnsi="Times New Roman" w:cs="Times New Roman"/>
          <w:color w:val="000000" w:themeColor="text1"/>
          <w:kern w:val="3"/>
          <w:sz w:val="28"/>
          <w:szCs w:val="28"/>
        </w:rPr>
        <w:t>4</w:t>
      </w:r>
      <w:r w:rsidR="00F44ECE" w:rsidRPr="00C634FF">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19</w:t>
      </w:r>
      <w:r w:rsidR="005612C3" w:rsidRPr="00CC7883">
        <w:rPr>
          <w:rFonts w:ascii="Times New Roman" w:eastAsia="NSimSun" w:hAnsi="Times New Roman" w:cs="Times New Roman"/>
          <w:color w:val="000000" w:themeColor="text1"/>
          <w:kern w:val="3"/>
          <w:sz w:val="28"/>
          <w:szCs w:val="28"/>
        </w:rPr>
        <w:t>0</w:t>
      </w:r>
      <w:r w:rsidRPr="00CC7883">
        <w:rPr>
          <w:rFonts w:ascii="Times New Roman" w:eastAsia="NSimSun" w:hAnsi="Times New Roman" w:cs="Times New Roman"/>
          <w:color w:val="000000" w:themeColor="text1"/>
          <w:kern w:val="3"/>
          <w:sz w:val="28"/>
          <w:szCs w:val="28"/>
        </w:rPr>
        <w:t>]</w:t>
      </w:r>
      <w:r w:rsidR="00891B77">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ІОК [6</w:t>
      </w:r>
      <w:r w:rsidR="00C818CF" w:rsidRPr="00CC7883">
        <w:rPr>
          <w:rFonts w:ascii="Times New Roman" w:eastAsia="NSimSun" w:hAnsi="Times New Roman" w:cs="Times New Roman"/>
          <w:color w:val="000000" w:themeColor="text1"/>
          <w:kern w:val="3"/>
          <w:sz w:val="28"/>
          <w:szCs w:val="28"/>
        </w:rPr>
        <w:t>4</w:t>
      </w:r>
      <w:r w:rsidRPr="00CC7883">
        <w:rPr>
          <w:rFonts w:ascii="Times New Roman" w:eastAsia="NSimSun" w:hAnsi="Times New Roman" w:cs="Times New Roman"/>
          <w:color w:val="000000" w:themeColor="text1"/>
          <w:kern w:val="3"/>
          <w:sz w:val="28"/>
          <w:szCs w:val="28"/>
        </w:rPr>
        <w:t>] та їх комбінації з бензиладеніном [21</w:t>
      </w:r>
      <w:r w:rsidR="009E747E" w:rsidRPr="00CC7883">
        <w:rPr>
          <w:rFonts w:ascii="Times New Roman" w:eastAsia="NSimSun" w:hAnsi="Times New Roman" w:cs="Times New Roman"/>
          <w:color w:val="000000" w:themeColor="text1"/>
          <w:kern w:val="3"/>
          <w:sz w:val="28"/>
          <w:szCs w:val="28"/>
        </w:rPr>
        <w:t>1</w:t>
      </w:r>
      <w:r w:rsidRPr="00CC7883">
        <w:rPr>
          <w:rFonts w:ascii="Times New Roman" w:eastAsia="NSimSun" w:hAnsi="Times New Roman" w:cs="Times New Roman"/>
          <w:color w:val="000000" w:themeColor="text1"/>
          <w:kern w:val="3"/>
          <w:sz w:val="28"/>
          <w:szCs w:val="28"/>
        </w:rPr>
        <w:t xml:space="preserve">]. Перенесення рослин з добре сформованим приростом із умов </w:t>
      </w:r>
      <w:r w:rsidRPr="00CC7883">
        <w:rPr>
          <w:rFonts w:ascii="Times New Roman" w:eastAsia="NSimSun" w:hAnsi="Times New Roman" w:cs="Times New Roman"/>
          <w:i/>
          <w:iCs/>
          <w:color w:val="000000" w:themeColor="text1"/>
          <w:kern w:val="3"/>
          <w:sz w:val="28"/>
          <w:szCs w:val="28"/>
        </w:rPr>
        <w:t>in</w:t>
      </w:r>
      <w:r w:rsidR="008B5203" w:rsidRPr="00CC7883">
        <w:rPr>
          <w:rFonts w:ascii="Times New Roman" w:eastAsia="NSimSun" w:hAnsi="Times New Roman" w:cs="Times New Roman"/>
          <w:i/>
          <w:iCs/>
          <w:color w:val="000000" w:themeColor="text1"/>
          <w:kern w:val="3"/>
          <w:sz w:val="28"/>
          <w:szCs w:val="28"/>
        </w:rPr>
        <w:t> </w:t>
      </w:r>
      <w:r w:rsidRPr="00CC7883">
        <w:rPr>
          <w:rFonts w:ascii="Times New Roman" w:eastAsia="NSimSun" w:hAnsi="Times New Roman" w:cs="Times New Roman"/>
          <w:i/>
          <w:iCs/>
          <w:color w:val="000000" w:themeColor="text1"/>
          <w:kern w:val="3"/>
          <w:sz w:val="28"/>
          <w:szCs w:val="28"/>
        </w:rPr>
        <w:t>vitro</w:t>
      </w:r>
      <w:r w:rsidRPr="00CC7883">
        <w:rPr>
          <w:rFonts w:ascii="Times New Roman" w:eastAsia="NSimSun" w:hAnsi="Times New Roman" w:cs="Times New Roman"/>
          <w:color w:val="000000" w:themeColor="text1"/>
          <w:kern w:val="3"/>
          <w:sz w:val="28"/>
          <w:szCs w:val="28"/>
        </w:rPr>
        <w:t xml:space="preserve"> до умов </w:t>
      </w:r>
      <w:r w:rsidRPr="00CC7883">
        <w:rPr>
          <w:rFonts w:ascii="Times New Roman" w:eastAsia="NSimSun" w:hAnsi="Times New Roman" w:cs="Times New Roman"/>
          <w:i/>
          <w:iCs/>
          <w:color w:val="000000" w:themeColor="text1"/>
          <w:kern w:val="3"/>
          <w:sz w:val="28"/>
          <w:szCs w:val="28"/>
        </w:rPr>
        <w:t>in</w:t>
      </w:r>
      <w:r w:rsidR="008B5203" w:rsidRPr="00CC7883">
        <w:rPr>
          <w:rFonts w:ascii="Times New Roman" w:eastAsia="NSimSun" w:hAnsi="Times New Roman" w:cs="Times New Roman"/>
          <w:i/>
          <w:iCs/>
          <w:color w:val="000000" w:themeColor="text1"/>
          <w:kern w:val="3"/>
          <w:sz w:val="28"/>
          <w:szCs w:val="28"/>
        </w:rPr>
        <w:t> </w:t>
      </w:r>
      <w:r w:rsidRPr="00CC7883">
        <w:rPr>
          <w:rFonts w:ascii="Times New Roman" w:eastAsia="NSimSun" w:hAnsi="Times New Roman" w:cs="Times New Roman"/>
          <w:i/>
          <w:iCs/>
          <w:color w:val="000000" w:themeColor="text1"/>
          <w:kern w:val="3"/>
          <w:sz w:val="28"/>
          <w:szCs w:val="28"/>
        </w:rPr>
        <w:t>vivo</w:t>
      </w:r>
      <w:r w:rsidRPr="00CC7883">
        <w:rPr>
          <w:rFonts w:ascii="Times New Roman" w:eastAsia="NSimSun" w:hAnsi="Times New Roman" w:cs="Times New Roman"/>
          <w:color w:val="000000" w:themeColor="text1"/>
          <w:kern w:val="3"/>
          <w:sz w:val="28"/>
          <w:szCs w:val="28"/>
        </w:rPr>
        <w:t xml:space="preserve"> (теплиця) сприяло їх приживлюваності від 77,0</w:t>
      </w:r>
      <w:r w:rsidR="004B7F24">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(павловнія), 90,0 % (яблуня, слива), 92,0 % (ожина) до 100,0 % (банан).</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b/>
          <w:bCs/>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Варто зазначити, що на ріст пагонів значний вплив мають не тільки фітогормони, а й додаткові компоненти поживного середовища. Так, для </w:t>
      </w:r>
      <w:r w:rsidRPr="00CC7883">
        <w:rPr>
          <w:rFonts w:ascii="Times New Roman" w:eastAsia="NSimSun" w:hAnsi="Times New Roman" w:cs="Times New Roman"/>
          <w:i/>
          <w:iCs/>
          <w:color w:val="000000" w:themeColor="text1"/>
          <w:kern w:val="3"/>
          <w:sz w:val="28"/>
          <w:szCs w:val="28"/>
        </w:rPr>
        <w:lastRenderedPageBreak/>
        <w:t>Solanum sessiliflorum</w:t>
      </w:r>
      <w:r w:rsidR="008B5203" w:rsidRPr="00CC7883">
        <w:rPr>
          <w:rFonts w:ascii="Times New Roman" w:eastAsia="NSimSun" w:hAnsi="Times New Roman" w:cs="Times New Roman"/>
          <w:i/>
          <w:iCs/>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Dunal використання фітогелю замість агару забезпечувало значне збільшення довжини пагонів (11,9 см проти 1,7 см) та кількості листків (10,7 шт. проти 6,2 шт.) [20</w:t>
      </w:r>
      <w:r w:rsidR="005612C3" w:rsidRPr="00CC7883">
        <w:rPr>
          <w:rFonts w:ascii="Times New Roman" w:eastAsia="NSimSun" w:hAnsi="Times New Roman" w:cs="Times New Roman"/>
          <w:color w:val="000000" w:themeColor="text1"/>
          <w:kern w:val="3"/>
          <w:sz w:val="28"/>
          <w:szCs w:val="28"/>
        </w:rPr>
        <w:t>2</w:t>
      </w:r>
      <w:r w:rsidRPr="00CC7883">
        <w:rPr>
          <w:rFonts w:ascii="Times New Roman" w:eastAsia="NSimSun" w:hAnsi="Times New Roman" w:cs="Times New Roman"/>
          <w:color w:val="000000" w:themeColor="text1"/>
          <w:kern w:val="3"/>
          <w:sz w:val="28"/>
          <w:szCs w:val="28"/>
        </w:rPr>
        <w:t xml:space="preserve">]. Активоване вугілля, залежно від концентрації, могло проявляти як стимулюючий, так і пригнічувальний ефект – у </w:t>
      </w:r>
      <w:r w:rsidRPr="00CC7883">
        <w:rPr>
          <w:rFonts w:ascii="Times New Roman" w:eastAsia="NSimSun" w:hAnsi="Times New Roman" w:cs="Times New Roman"/>
          <w:i/>
          <w:iCs/>
          <w:color w:val="000000" w:themeColor="text1"/>
          <w:kern w:val="3"/>
          <w:sz w:val="28"/>
          <w:szCs w:val="28"/>
        </w:rPr>
        <w:t>Simmondsia chinensis</w:t>
      </w:r>
      <w:r w:rsidR="00CC7883">
        <w:rPr>
          <w:rFonts w:ascii="Times New Roman" w:eastAsia="NSimSun" w:hAnsi="Times New Roman" w:cs="Times New Roman"/>
          <w:i/>
          <w:iCs/>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(Link) C.</w:t>
      </w:r>
      <w:r w:rsid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K.</w:t>
      </w:r>
      <w:r w:rsid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Schneid. при вмісті в MS 0,5 г/л утворювалос</w:t>
      </w:r>
      <w:r w:rsidR="00027E89">
        <w:rPr>
          <w:rFonts w:ascii="Times New Roman" w:eastAsia="NSimSun" w:hAnsi="Times New Roman" w:cs="Times New Roman"/>
          <w:color w:val="000000" w:themeColor="text1"/>
          <w:kern w:val="3"/>
          <w:sz w:val="28"/>
          <w:szCs w:val="28"/>
        </w:rPr>
        <w:t>я</w:t>
      </w:r>
      <w:r w:rsidRPr="00CC7883">
        <w:rPr>
          <w:rFonts w:ascii="Times New Roman" w:eastAsia="NSimSun" w:hAnsi="Times New Roman" w:cs="Times New Roman"/>
          <w:color w:val="000000" w:themeColor="text1"/>
          <w:kern w:val="3"/>
          <w:sz w:val="28"/>
          <w:szCs w:val="28"/>
        </w:rPr>
        <w:t xml:space="preserve"> 14,0 листків і пагони завдовжки 4,6 см, тоді як при вмісті в MS 3,0 г/л спостерігалося подовження пагонів до 7,0 см, але кількість листків зменшувалась до 12,3 шт. [7</w:t>
      </w:r>
      <w:r w:rsidR="00C818CF" w:rsidRPr="00CC7883">
        <w:rPr>
          <w:rFonts w:ascii="Times New Roman" w:eastAsia="NSimSun" w:hAnsi="Times New Roman" w:cs="Times New Roman"/>
          <w:color w:val="000000" w:themeColor="text1"/>
          <w:kern w:val="3"/>
          <w:sz w:val="28"/>
          <w:szCs w:val="28"/>
        </w:rPr>
        <w:t>4</w:t>
      </w:r>
      <w:r w:rsidRPr="00CC7883">
        <w:rPr>
          <w:rFonts w:ascii="Times New Roman" w:eastAsia="NSimSun" w:hAnsi="Times New Roman" w:cs="Times New Roman"/>
          <w:color w:val="000000" w:themeColor="text1"/>
          <w:kern w:val="3"/>
          <w:sz w:val="28"/>
          <w:szCs w:val="28"/>
        </w:rPr>
        <w:t>]</w:t>
      </w:r>
      <w:r w:rsidR="00251B64">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Н. В. Титаренко отримала позитивні результати за розвитком приросту ожини звичайної (</w:t>
      </w:r>
      <w:r w:rsidRPr="00CC7883">
        <w:rPr>
          <w:rFonts w:ascii="Times New Roman" w:eastAsia="NSimSun" w:hAnsi="Times New Roman" w:cs="Times New Roman"/>
          <w:i/>
          <w:color w:val="000000" w:themeColor="text1"/>
          <w:kern w:val="3"/>
          <w:sz w:val="28"/>
          <w:szCs w:val="28"/>
        </w:rPr>
        <w:t>Rubus fruticosus</w:t>
      </w:r>
      <w:r w:rsidRPr="00CC7883">
        <w:rPr>
          <w:rFonts w:ascii="Times New Roman" w:eastAsia="NSimSun" w:hAnsi="Times New Roman" w:cs="Times New Roman"/>
          <w:color w:val="000000" w:themeColor="text1"/>
          <w:kern w:val="3"/>
          <w:sz w:val="28"/>
          <w:szCs w:val="28"/>
        </w:rPr>
        <w:t xml:space="preserve"> L.) і павловнії повс</w:t>
      </w:r>
      <w:r w:rsidR="0081198C">
        <w:rPr>
          <w:rFonts w:ascii="Times New Roman" w:eastAsia="NSimSun" w:hAnsi="Times New Roman" w:cs="Times New Roman"/>
          <w:color w:val="000000" w:themeColor="text1"/>
          <w:kern w:val="3"/>
          <w:sz w:val="28"/>
          <w:szCs w:val="28"/>
        </w:rPr>
        <w:t>т</w:t>
      </w:r>
      <w:r w:rsidRPr="00CC7883">
        <w:rPr>
          <w:rFonts w:ascii="Times New Roman" w:eastAsia="NSimSun" w:hAnsi="Times New Roman" w:cs="Times New Roman"/>
          <w:color w:val="000000" w:themeColor="text1"/>
          <w:kern w:val="3"/>
          <w:sz w:val="28"/>
          <w:szCs w:val="28"/>
        </w:rPr>
        <w:t>яної (</w:t>
      </w:r>
      <w:r w:rsidRPr="00CC7883">
        <w:rPr>
          <w:rFonts w:ascii="Times New Roman" w:eastAsia="NSimSun" w:hAnsi="Times New Roman" w:cs="Times New Roman"/>
          <w:i/>
          <w:color w:val="000000" w:themeColor="text1"/>
          <w:kern w:val="3"/>
          <w:sz w:val="28"/>
          <w:szCs w:val="28"/>
        </w:rPr>
        <w:t>Paulownia tomentosa</w:t>
      </w:r>
      <w:r w:rsidRPr="00CC7883">
        <w:rPr>
          <w:rFonts w:ascii="Times New Roman" w:eastAsia="NSimSun" w:hAnsi="Times New Roman" w:cs="Times New Roman"/>
          <w:color w:val="000000" w:themeColor="text1"/>
          <w:kern w:val="3"/>
          <w:sz w:val="28"/>
          <w:szCs w:val="28"/>
        </w:rPr>
        <w:t xml:space="preserve"> (Thunb.) Steud.)</w:t>
      </w:r>
      <w:r w:rsidR="0097741D"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після</w:t>
      </w:r>
      <w:r w:rsidR="0097741D"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внесення до </w:t>
      </w:r>
      <w:r w:rsidR="0033132D">
        <w:rPr>
          <w:rFonts w:ascii="Times New Roman" w:eastAsia="NSimSun" w:hAnsi="Times New Roman" w:cs="Times New Roman"/>
          <w:color w:val="000000" w:themeColor="text1"/>
          <w:kern w:val="3"/>
          <w:sz w:val="28"/>
          <w:szCs w:val="28"/>
        </w:rPr>
        <w:t xml:space="preserve">поживного середовища </w:t>
      </w:r>
      <w:r w:rsidRPr="00CC7883">
        <w:rPr>
          <w:rFonts w:ascii="Times New Roman" w:eastAsia="NSimSun" w:hAnsi="Times New Roman" w:cs="Times New Roman"/>
          <w:color w:val="000000" w:themeColor="text1"/>
          <w:kern w:val="3"/>
          <w:sz w:val="28"/>
          <w:szCs w:val="28"/>
        </w:rPr>
        <w:t xml:space="preserve">MS </w:t>
      </w:r>
      <w:r w:rsidR="00904B7A">
        <w:rPr>
          <w:rFonts w:ascii="Times New Roman" w:eastAsia="NSimSun" w:hAnsi="Times New Roman" w:cs="Times New Roman"/>
          <w:color w:val="000000" w:themeColor="text1"/>
          <w:kern w:val="3"/>
          <w:sz w:val="28"/>
          <w:szCs w:val="28"/>
        </w:rPr>
        <w:t>гелеутворювальних</w:t>
      </w:r>
      <w:r w:rsidRPr="00CC7883">
        <w:rPr>
          <w:rFonts w:ascii="Times New Roman" w:eastAsia="NSimSun" w:hAnsi="Times New Roman" w:cs="Times New Roman"/>
          <w:color w:val="000000" w:themeColor="text1"/>
          <w:kern w:val="3"/>
          <w:sz w:val="28"/>
          <w:szCs w:val="28"/>
        </w:rPr>
        <w:t xml:space="preserve"> </w:t>
      </w:r>
      <w:r w:rsidR="00904B7A">
        <w:rPr>
          <w:rFonts w:ascii="Times New Roman" w:eastAsia="NSimSun" w:hAnsi="Times New Roman" w:cs="Times New Roman"/>
          <w:color w:val="000000" w:themeColor="text1"/>
          <w:kern w:val="3"/>
          <w:sz w:val="28"/>
          <w:szCs w:val="28"/>
        </w:rPr>
        <w:t>речовин</w:t>
      </w:r>
      <w:r w:rsidRPr="00CC7883">
        <w:rPr>
          <w:rFonts w:ascii="Times New Roman" w:eastAsia="NSimSun" w:hAnsi="Times New Roman" w:cs="Times New Roman"/>
          <w:color w:val="000000" w:themeColor="text1"/>
          <w:kern w:val="3"/>
          <w:sz w:val="28"/>
          <w:szCs w:val="28"/>
        </w:rPr>
        <w:t xml:space="preserve"> – кукурудзяний кр</w:t>
      </w:r>
      <w:r w:rsidR="00CC7883">
        <w:rPr>
          <w:rFonts w:ascii="Times New Roman" w:eastAsia="NSimSun" w:hAnsi="Times New Roman" w:cs="Times New Roman"/>
          <w:color w:val="000000" w:themeColor="text1"/>
          <w:kern w:val="3"/>
          <w:sz w:val="28"/>
          <w:szCs w:val="28"/>
        </w:rPr>
        <w:t>о</w:t>
      </w:r>
      <w:r w:rsidRPr="00CC7883">
        <w:rPr>
          <w:rFonts w:ascii="Times New Roman" w:eastAsia="NSimSun" w:hAnsi="Times New Roman" w:cs="Times New Roman"/>
          <w:color w:val="000000" w:themeColor="text1"/>
          <w:kern w:val="3"/>
          <w:sz w:val="28"/>
          <w:szCs w:val="28"/>
        </w:rPr>
        <w:t>хмаль (7 %), гуарову камедь (3 %) [6</w:t>
      </w:r>
      <w:r w:rsidR="00C818CF" w:rsidRPr="00CC7883">
        <w:rPr>
          <w:rFonts w:ascii="Times New Roman" w:eastAsia="NSimSun" w:hAnsi="Times New Roman" w:cs="Times New Roman"/>
          <w:color w:val="000000" w:themeColor="text1"/>
          <w:kern w:val="3"/>
          <w:sz w:val="28"/>
          <w:szCs w:val="28"/>
        </w:rPr>
        <w:t>4</w:t>
      </w:r>
      <w:r w:rsidRPr="00CC7883">
        <w:rPr>
          <w:rFonts w:ascii="Times New Roman" w:eastAsia="NSimSun" w:hAnsi="Times New Roman" w:cs="Times New Roman"/>
          <w:color w:val="000000" w:themeColor="text1"/>
          <w:kern w:val="3"/>
          <w:sz w:val="28"/>
          <w:szCs w:val="28"/>
        </w:rPr>
        <w:t>].</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Ще одним ефективним фактором, який впливає на покращення біометричних показників росту вегетативної надземної маси рослин </w:t>
      </w:r>
      <w:r w:rsidR="000553AD" w:rsidRPr="00CC7883">
        <w:rPr>
          <w:rFonts w:ascii="Times New Roman" w:hAnsi="Times New Roman" w:cs="Times New Roman"/>
          <w:i/>
          <w:color w:val="000000" w:themeColor="text1"/>
          <w:sz w:val="28"/>
        </w:rPr>
        <w:t>in vitro</w:t>
      </w:r>
      <w:r w:rsidRPr="00CC7883">
        <w:rPr>
          <w:rFonts w:ascii="Times New Roman" w:eastAsia="NSimSun" w:hAnsi="Times New Roman" w:cs="Times New Roman"/>
          <w:iCs/>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є використання мікроорганізмів. Так, у роботі Н. В. Титаренко та ін. проводили інокуляцію насіння крес-салату (</w:t>
      </w:r>
      <w:r w:rsidRPr="00CC7883">
        <w:rPr>
          <w:rFonts w:ascii="Times New Roman" w:eastAsia="NSimSun" w:hAnsi="Times New Roman" w:cs="Times New Roman"/>
          <w:i/>
          <w:iCs/>
          <w:color w:val="000000" w:themeColor="text1"/>
          <w:kern w:val="3"/>
          <w:sz w:val="28"/>
          <w:szCs w:val="28"/>
        </w:rPr>
        <w:t>Lepidium sativum</w:t>
      </w:r>
      <w:r w:rsidRPr="00CC7883">
        <w:rPr>
          <w:rFonts w:ascii="Times New Roman" w:eastAsia="NSimSun" w:hAnsi="Times New Roman" w:cs="Times New Roman"/>
          <w:color w:val="000000" w:themeColor="text1"/>
          <w:kern w:val="3"/>
          <w:sz w:val="28"/>
          <w:szCs w:val="28"/>
        </w:rPr>
        <w:t xml:space="preserve"> L.) штамами </w:t>
      </w:r>
      <w:r w:rsidRPr="00CC7883">
        <w:rPr>
          <w:rFonts w:ascii="Times New Roman" w:eastAsia="NSimSun" w:hAnsi="Times New Roman" w:cs="Times New Roman"/>
          <w:i/>
          <w:iCs/>
          <w:color w:val="000000" w:themeColor="text1"/>
          <w:kern w:val="3"/>
          <w:sz w:val="28"/>
          <w:szCs w:val="28"/>
        </w:rPr>
        <w:t>Bacillus megaterium</w:t>
      </w:r>
      <w:r w:rsidRPr="00CC7883">
        <w:rPr>
          <w:rFonts w:ascii="Times New Roman" w:eastAsia="NSimSun" w:hAnsi="Times New Roman" w:cs="Times New Roman"/>
          <w:color w:val="000000" w:themeColor="text1"/>
          <w:kern w:val="3"/>
          <w:sz w:val="28"/>
          <w:szCs w:val="28"/>
        </w:rPr>
        <w:t xml:space="preserve"> ONU500, </w:t>
      </w:r>
      <w:r w:rsidRPr="00CC7883">
        <w:rPr>
          <w:rFonts w:ascii="Times New Roman" w:eastAsia="NSimSun" w:hAnsi="Times New Roman" w:cs="Times New Roman"/>
          <w:i/>
          <w:iCs/>
          <w:color w:val="000000" w:themeColor="text1"/>
          <w:kern w:val="3"/>
          <w:sz w:val="28"/>
          <w:szCs w:val="28"/>
        </w:rPr>
        <w:t>B. velezensis</w:t>
      </w:r>
      <w:r w:rsidRPr="00CC7883">
        <w:rPr>
          <w:rFonts w:ascii="Times New Roman" w:eastAsia="NSimSun" w:hAnsi="Times New Roman" w:cs="Times New Roman"/>
          <w:color w:val="000000" w:themeColor="text1"/>
          <w:kern w:val="3"/>
          <w:sz w:val="28"/>
          <w:szCs w:val="28"/>
        </w:rPr>
        <w:t xml:space="preserve"> ONU553, </w:t>
      </w:r>
      <w:r w:rsidRPr="00CC7883">
        <w:rPr>
          <w:rFonts w:ascii="Times New Roman" w:eastAsia="NSimSun" w:hAnsi="Times New Roman" w:cs="Times New Roman"/>
          <w:i/>
          <w:iCs/>
          <w:color w:val="000000" w:themeColor="text1"/>
          <w:kern w:val="3"/>
          <w:sz w:val="28"/>
          <w:szCs w:val="28"/>
        </w:rPr>
        <w:t>B. pumilus</w:t>
      </w:r>
      <w:r w:rsidRPr="00CC7883">
        <w:rPr>
          <w:rFonts w:ascii="Times New Roman" w:eastAsia="NSimSun" w:hAnsi="Times New Roman" w:cs="Times New Roman"/>
          <w:color w:val="000000" w:themeColor="text1"/>
          <w:kern w:val="3"/>
          <w:sz w:val="28"/>
          <w:szCs w:val="28"/>
        </w:rPr>
        <w:t xml:space="preserve"> ONU554, </w:t>
      </w:r>
      <w:r w:rsidRPr="00CC7883">
        <w:rPr>
          <w:rFonts w:ascii="Times New Roman" w:eastAsia="NSimSun" w:hAnsi="Times New Roman" w:cs="Times New Roman"/>
          <w:i/>
          <w:iCs/>
          <w:color w:val="000000" w:themeColor="text1"/>
          <w:kern w:val="3"/>
          <w:sz w:val="28"/>
          <w:szCs w:val="28"/>
        </w:rPr>
        <w:t>B. subtilis</w:t>
      </w:r>
      <w:r w:rsidRPr="00CC7883">
        <w:rPr>
          <w:rFonts w:ascii="Times New Roman" w:eastAsia="NSimSun" w:hAnsi="Times New Roman" w:cs="Times New Roman"/>
          <w:color w:val="000000" w:themeColor="text1"/>
          <w:kern w:val="3"/>
          <w:sz w:val="28"/>
          <w:szCs w:val="28"/>
        </w:rPr>
        <w:t xml:space="preserve"> ONU559, </w:t>
      </w:r>
      <w:r w:rsidRPr="00CC7883">
        <w:rPr>
          <w:rFonts w:ascii="Times New Roman" w:eastAsia="NSimSun" w:hAnsi="Times New Roman" w:cs="Times New Roman"/>
          <w:i/>
          <w:iCs/>
          <w:color w:val="000000" w:themeColor="text1"/>
          <w:kern w:val="3"/>
          <w:sz w:val="28"/>
          <w:szCs w:val="28"/>
        </w:rPr>
        <w:t>Enterococcus italicus</w:t>
      </w:r>
      <w:r w:rsidRPr="00CC7883">
        <w:rPr>
          <w:rFonts w:ascii="Times New Roman" w:eastAsia="NSimSun" w:hAnsi="Times New Roman" w:cs="Times New Roman"/>
          <w:color w:val="000000" w:themeColor="text1"/>
          <w:kern w:val="3"/>
          <w:sz w:val="28"/>
          <w:szCs w:val="28"/>
        </w:rPr>
        <w:t xml:space="preserve"> ONU547 та ізолятами актинобактерій з подальшим його культивуванням на поживному середовищі MS [66]. Подібні тенденції відзначено у роботі Pace et al. для полину альпійського (</w:t>
      </w:r>
      <w:r w:rsidRPr="00CC7883">
        <w:rPr>
          <w:rFonts w:ascii="Times New Roman" w:eastAsia="NSimSun" w:hAnsi="Times New Roman" w:cs="Times New Roman"/>
          <w:i/>
          <w:iCs/>
          <w:color w:val="000000" w:themeColor="text1"/>
          <w:kern w:val="3"/>
          <w:sz w:val="28"/>
          <w:szCs w:val="28"/>
        </w:rPr>
        <w:t>Artemisia umbelliformis</w:t>
      </w:r>
      <w:r w:rsidRPr="00CC7883">
        <w:rPr>
          <w:rFonts w:ascii="Times New Roman" w:eastAsia="NSimSun" w:hAnsi="Times New Roman" w:cs="Times New Roman"/>
          <w:color w:val="000000" w:themeColor="text1"/>
          <w:kern w:val="3"/>
          <w:sz w:val="28"/>
          <w:szCs w:val="28"/>
        </w:rPr>
        <w:t xml:space="preserve"> Lam.) (у роботі використовували суспензію PGPR (суміш </w:t>
      </w:r>
      <w:r w:rsidRPr="00CC7883">
        <w:rPr>
          <w:rFonts w:ascii="Times New Roman" w:eastAsia="NSimSun" w:hAnsi="Times New Roman" w:cs="Times New Roman"/>
          <w:i/>
          <w:iCs/>
          <w:color w:val="000000" w:themeColor="text1"/>
          <w:kern w:val="3"/>
          <w:sz w:val="28"/>
          <w:szCs w:val="28"/>
        </w:rPr>
        <w:t>Azospirillum, Pseudomonas</w:t>
      </w:r>
      <w:r w:rsidRPr="00CC7883">
        <w:rPr>
          <w:rFonts w:ascii="Times New Roman" w:eastAsia="NSimSun" w:hAnsi="Times New Roman" w:cs="Times New Roman"/>
          <w:color w:val="000000" w:themeColor="text1"/>
          <w:kern w:val="3"/>
          <w:sz w:val="28"/>
          <w:szCs w:val="28"/>
        </w:rPr>
        <w:t xml:space="preserve"> і </w:t>
      </w:r>
      <w:r w:rsidRPr="00CC7883">
        <w:rPr>
          <w:rFonts w:ascii="Times New Roman" w:eastAsia="NSimSun" w:hAnsi="Times New Roman" w:cs="Times New Roman"/>
          <w:i/>
          <w:iCs/>
          <w:color w:val="000000" w:themeColor="text1"/>
          <w:kern w:val="3"/>
          <w:sz w:val="28"/>
          <w:szCs w:val="28"/>
        </w:rPr>
        <w:t>Bacillus</w:t>
      </w:r>
      <w:r w:rsidRPr="00CC7883">
        <w:rPr>
          <w:rFonts w:ascii="Times New Roman" w:eastAsia="NSimSun" w:hAnsi="Times New Roman" w:cs="Times New Roman"/>
          <w:color w:val="000000" w:themeColor="text1"/>
          <w:kern w:val="3"/>
          <w:sz w:val="28"/>
          <w:szCs w:val="28"/>
        </w:rPr>
        <w:t>) та гідрогель) [</w:t>
      </w:r>
      <w:r w:rsidR="00C818CF" w:rsidRPr="00CC7883">
        <w:rPr>
          <w:rFonts w:ascii="Times New Roman" w:eastAsia="NSimSun" w:hAnsi="Times New Roman" w:cs="Times New Roman"/>
          <w:color w:val="000000" w:themeColor="text1"/>
          <w:kern w:val="3"/>
          <w:sz w:val="28"/>
          <w:szCs w:val="28"/>
        </w:rPr>
        <w:t>19</w:t>
      </w:r>
      <w:r w:rsidR="005612C3" w:rsidRPr="00CC7883">
        <w:rPr>
          <w:rFonts w:ascii="Times New Roman" w:eastAsia="NSimSun" w:hAnsi="Times New Roman" w:cs="Times New Roman"/>
          <w:color w:val="000000" w:themeColor="text1"/>
          <w:kern w:val="3"/>
          <w:sz w:val="28"/>
          <w:szCs w:val="28"/>
        </w:rPr>
        <w:t>8</w:t>
      </w:r>
      <w:r w:rsidRPr="00CC7883">
        <w:rPr>
          <w:rFonts w:ascii="Times New Roman" w:eastAsia="NSimSun" w:hAnsi="Times New Roman" w:cs="Times New Roman"/>
          <w:color w:val="000000" w:themeColor="text1"/>
          <w:kern w:val="3"/>
          <w:sz w:val="28"/>
          <w:szCs w:val="28"/>
        </w:rPr>
        <w:t>], картоплі (</w:t>
      </w:r>
      <w:r w:rsidRPr="00CC7883">
        <w:rPr>
          <w:rFonts w:ascii="Times New Roman" w:eastAsia="NSimSun" w:hAnsi="Times New Roman" w:cs="Times New Roman"/>
          <w:i/>
          <w:iCs/>
          <w:color w:val="000000" w:themeColor="text1"/>
          <w:kern w:val="3"/>
          <w:sz w:val="28"/>
          <w:szCs w:val="28"/>
        </w:rPr>
        <w:t>Solanum tuberosum</w:t>
      </w:r>
      <w:r w:rsidRPr="00CC7883">
        <w:rPr>
          <w:rFonts w:ascii="Times New Roman" w:eastAsia="NSimSun" w:hAnsi="Times New Roman" w:cs="Times New Roman"/>
          <w:color w:val="000000" w:themeColor="text1"/>
          <w:kern w:val="3"/>
          <w:sz w:val="28"/>
          <w:szCs w:val="28"/>
        </w:rPr>
        <w:t xml:space="preserve"> L.) (штами бактерій </w:t>
      </w:r>
      <w:r w:rsidRPr="00CC7883">
        <w:rPr>
          <w:rFonts w:ascii="Times New Roman" w:eastAsia="NSimSun" w:hAnsi="Times New Roman" w:cs="Times New Roman"/>
          <w:i/>
          <w:iCs/>
          <w:color w:val="000000" w:themeColor="text1"/>
          <w:kern w:val="3"/>
          <w:sz w:val="28"/>
          <w:szCs w:val="28"/>
        </w:rPr>
        <w:t>Azospirillum brasilense</w:t>
      </w:r>
      <w:r w:rsidRPr="00CC7883">
        <w:rPr>
          <w:rFonts w:ascii="Times New Roman" w:eastAsia="NSimSun" w:hAnsi="Times New Roman" w:cs="Times New Roman"/>
          <w:color w:val="000000" w:themeColor="text1"/>
          <w:kern w:val="3"/>
          <w:sz w:val="28"/>
          <w:szCs w:val="28"/>
        </w:rPr>
        <w:t>) [2</w:t>
      </w:r>
      <w:r w:rsidR="00C818CF" w:rsidRPr="00CC7883">
        <w:rPr>
          <w:rFonts w:ascii="Times New Roman" w:eastAsia="NSimSun" w:hAnsi="Times New Roman" w:cs="Times New Roman"/>
          <w:color w:val="000000" w:themeColor="text1"/>
          <w:kern w:val="3"/>
          <w:sz w:val="28"/>
          <w:szCs w:val="28"/>
        </w:rPr>
        <w:t>4</w:t>
      </w:r>
      <w:r w:rsidR="009E747E" w:rsidRPr="00CC7883">
        <w:rPr>
          <w:rFonts w:ascii="Times New Roman" w:eastAsia="NSimSun" w:hAnsi="Times New Roman" w:cs="Times New Roman"/>
          <w:color w:val="000000" w:themeColor="text1"/>
          <w:kern w:val="3"/>
          <w:sz w:val="28"/>
          <w:szCs w:val="28"/>
        </w:rPr>
        <w:t>7</w:t>
      </w:r>
      <w:r w:rsidRPr="00CC7883">
        <w:rPr>
          <w:rFonts w:ascii="Times New Roman" w:eastAsia="NSimSun" w:hAnsi="Times New Roman" w:cs="Times New Roman"/>
          <w:color w:val="000000" w:themeColor="text1"/>
          <w:kern w:val="3"/>
          <w:sz w:val="28"/>
          <w:szCs w:val="28"/>
        </w:rPr>
        <w:t>].</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Важливу роль у формуванні приросту та біометричних показників рослин, що визначає їх здатність до успішної адаптації в умовах </w:t>
      </w:r>
      <w:r w:rsidR="00F5525C" w:rsidRPr="00CC7883">
        <w:rPr>
          <w:rFonts w:ascii="Times New Roman" w:eastAsia="NSimSun" w:hAnsi="Times New Roman" w:cs="Times New Roman"/>
          <w:i/>
          <w:iCs/>
          <w:color w:val="000000" w:themeColor="text1"/>
          <w:kern w:val="3"/>
          <w:sz w:val="28"/>
          <w:szCs w:val="28"/>
        </w:rPr>
        <w:t>in vivo</w:t>
      </w:r>
      <w:r w:rsidRPr="00CC7883">
        <w:rPr>
          <w:rFonts w:ascii="Times New Roman" w:eastAsia="NSimSun" w:hAnsi="Times New Roman" w:cs="Times New Roman"/>
          <w:color w:val="000000" w:themeColor="text1"/>
          <w:kern w:val="3"/>
          <w:sz w:val="28"/>
          <w:szCs w:val="28"/>
        </w:rPr>
        <w:t xml:space="preserve">, відіграє якість і тривалість освітлення під час культивування. Так, для </w:t>
      </w:r>
      <w:r w:rsidRPr="00CC7883">
        <w:rPr>
          <w:rFonts w:ascii="Times New Roman" w:eastAsia="NSimSun" w:hAnsi="Times New Roman" w:cs="Times New Roman"/>
          <w:i/>
          <w:iCs/>
          <w:color w:val="000000" w:themeColor="text1"/>
          <w:kern w:val="3"/>
          <w:sz w:val="28"/>
          <w:szCs w:val="28"/>
        </w:rPr>
        <w:t>Ficus microcarpa</w:t>
      </w:r>
      <w:r w:rsidR="00CC7883">
        <w:rPr>
          <w:rFonts w:ascii="Times New Roman" w:eastAsia="NSimSun" w:hAnsi="Times New Roman" w:cs="Times New Roman"/>
          <w:i/>
          <w:iCs/>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L. червоне світло стимулювало формування пагонів довжиною 2,5 см і 4,5 листків, синє світло, навпаки, значно зменшувало обидва показники [104]. У дослідженні щодо каштану їстівного (</w:t>
      </w:r>
      <w:r w:rsidRPr="00CC7883">
        <w:rPr>
          <w:rFonts w:ascii="Times New Roman" w:eastAsia="NSimSun" w:hAnsi="Times New Roman" w:cs="Times New Roman"/>
          <w:i/>
          <w:color w:val="000000" w:themeColor="text1"/>
          <w:kern w:val="3"/>
          <w:sz w:val="28"/>
          <w:szCs w:val="28"/>
        </w:rPr>
        <w:t xml:space="preserve">Castanea sativa </w:t>
      </w:r>
      <w:r w:rsidRPr="00CC7883">
        <w:rPr>
          <w:rFonts w:ascii="Times New Roman" w:eastAsia="NSimSun" w:hAnsi="Times New Roman" w:cs="Times New Roman"/>
          <w:color w:val="000000" w:themeColor="text1"/>
          <w:kern w:val="3"/>
          <w:sz w:val="28"/>
          <w:szCs w:val="28"/>
        </w:rPr>
        <w:t xml:space="preserve">Mill.) Marino et al. було встановлено, що оптимальним для зростання мікроклонів є червоний </w:t>
      </w:r>
      <w:r w:rsidRPr="00CC7883">
        <w:rPr>
          <w:rFonts w:ascii="Times New Roman" w:eastAsia="NSimSun" w:hAnsi="Times New Roman" w:cs="Times New Roman"/>
          <w:color w:val="000000" w:themeColor="text1"/>
          <w:kern w:val="3"/>
          <w:sz w:val="28"/>
          <w:szCs w:val="28"/>
        </w:rPr>
        <w:lastRenderedPageBreak/>
        <w:t>+ синій + зелений + далекий червоний (ДЧ) (3:1:2 + 10 % ДЧ) спектри світла, які впливали позитивно на приріст пагонів та кількість листків</w:t>
      </w:r>
      <w:r w:rsidR="0097741D"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bCs/>
          <w:color w:val="000000" w:themeColor="text1"/>
          <w:kern w:val="3"/>
          <w:sz w:val="28"/>
          <w:szCs w:val="28"/>
        </w:rPr>
        <w:t>17</w:t>
      </w:r>
      <w:r w:rsidR="005612C3" w:rsidRPr="00CC7883">
        <w:rPr>
          <w:rFonts w:ascii="Times New Roman" w:eastAsia="NSimSun" w:hAnsi="Times New Roman" w:cs="Times New Roman"/>
          <w:bCs/>
          <w:color w:val="000000" w:themeColor="text1"/>
          <w:kern w:val="3"/>
          <w:sz w:val="28"/>
          <w:szCs w:val="28"/>
        </w:rPr>
        <w:t>3</w:t>
      </w:r>
      <w:r w:rsidRPr="00CC7883">
        <w:rPr>
          <w:rFonts w:ascii="Times New Roman" w:eastAsia="NSimSun" w:hAnsi="Times New Roman" w:cs="Times New Roman"/>
          <w:color w:val="000000" w:themeColor="text1"/>
          <w:kern w:val="3"/>
          <w:sz w:val="28"/>
          <w:szCs w:val="28"/>
        </w:rPr>
        <w:t xml:space="preserve">]. </w:t>
      </w:r>
    </w:p>
    <w:p w:rsidR="00B01A54" w:rsidRPr="00CC7883" w:rsidRDefault="00B01A54" w:rsidP="00047411">
      <w:pPr>
        <w:widowControl w:val="0"/>
        <w:spacing w:after="0" w:line="360" w:lineRule="auto"/>
        <w:ind w:firstLine="708"/>
        <w:jc w:val="both"/>
        <w:rPr>
          <w:rFonts w:ascii="Times New Roman" w:eastAsia="Times New Roman" w:hAnsi="Times New Roman" w:cs="Times New Roman"/>
          <w:color w:val="000000" w:themeColor="text1"/>
          <w:sz w:val="28"/>
          <w:szCs w:val="28"/>
        </w:rPr>
      </w:pPr>
      <w:r w:rsidRPr="00CC7883">
        <w:rPr>
          <w:rFonts w:ascii="Times New Roman" w:eastAsia="NSimSun" w:hAnsi="Times New Roman" w:cs="Times New Roman"/>
          <w:bCs/>
          <w:i/>
          <w:iCs/>
          <w:color w:val="000000" w:themeColor="text1"/>
          <w:kern w:val="3"/>
          <w:sz w:val="28"/>
          <w:szCs w:val="28"/>
        </w:rPr>
        <w:t>Виноград</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Times New Roman" w:hAnsi="Times New Roman" w:cs="Times New Roman"/>
          <w:color w:val="000000" w:themeColor="text1"/>
          <w:sz w:val="28"/>
          <w:szCs w:val="28"/>
        </w:rPr>
        <w:t xml:space="preserve">На етапі введення ініціальних експлантів винограду в культуру </w:t>
      </w:r>
      <w:r w:rsidRPr="00CC7883">
        <w:rPr>
          <w:rFonts w:ascii="Times New Roman" w:eastAsia="Times New Roman" w:hAnsi="Times New Roman" w:cs="Times New Roman"/>
          <w:i/>
          <w:color w:val="000000" w:themeColor="text1"/>
          <w:sz w:val="28"/>
          <w:szCs w:val="28"/>
        </w:rPr>
        <w:t>in</w:t>
      </w:r>
      <w:r w:rsidR="008B5203" w:rsidRPr="00CC7883">
        <w:rPr>
          <w:rFonts w:ascii="Times New Roman" w:eastAsia="Times New Roman" w:hAnsi="Times New Roman" w:cs="Times New Roman"/>
          <w:i/>
          <w:color w:val="000000" w:themeColor="text1"/>
          <w:sz w:val="28"/>
          <w:szCs w:val="28"/>
        </w:rPr>
        <w:t> </w:t>
      </w:r>
      <w:r w:rsidRPr="00CC7883">
        <w:rPr>
          <w:rFonts w:ascii="Times New Roman" w:eastAsia="Times New Roman" w:hAnsi="Times New Roman" w:cs="Times New Roman"/>
          <w:i/>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рекомендують використовувати різні типи поживних середовищ. Diab</w:t>
      </w:r>
      <w:r w:rsid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A. і Dominguez</w:t>
      </w:r>
      <w:r w:rsidR="008B5203"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M. для введення у культуру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винограду сортів «Суперіор» і «Флейм безнасінний» використовували бічні бруньки і верхівки пагонів, які культивували на модифікованих поживних середовищах MS – С2D, </w:t>
      </w:r>
      <w:r w:rsidRPr="00CC7883">
        <w:rPr>
          <w:rFonts w:ascii="Times New Roman" w:eastAsia="Times New Roman" w:hAnsi="Times New Roman" w:cs="Times New Roman"/>
          <w:bCs/>
          <w:color w:val="000000" w:themeColor="text1"/>
          <w:sz w:val="28"/>
          <w:szCs w:val="28"/>
        </w:rPr>
        <w:t>SM1</w:t>
      </w:r>
      <w:r w:rsidR="00CC7883">
        <w:rPr>
          <w:rFonts w:ascii="Times New Roman" w:eastAsia="Times New Roman" w:hAnsi="Times New Roman" w:cs="Times New Roman"/>
          <w:bCs/>
          <w:color w:val="000000" w:themeColor="text1"/>
          <w:sz w:val="28"/>
          <w:szCs w:val="28"/>
        </w:rPr>
        <w:t xml:space="preserve"> </w:t>
      </w:r>
      <w:r w:rsidRPr="00CC7883">
        <w:rPr>
          <w:rFonts w:ascii="Times New Roman" w:eastAsia="Times New Roman" w:hAnsi="Times New Roman" w:cs="Times New Roman"/>
          <w:bCs/>
          <w:color w:val="000000" w:themeColor="text1"/>
          <w:sz w:val="28"/>
          <w:szCs w:val="28"/>
        </w:rPr>
        <w:t>(</w:t>
      </w:r>
      <w:r w:rsidRPr="00CC7883">
        <w:rPr>
          <w:rFonts w:ascii="Times New Roman" w:eastAsia="Times New Roman" w:hAnsi="Times New Roman" w:cs="Times New Roman"/>
          <w:color w:val="000000" w:themeColor="text1"/>
          <w:sz w:val="28"/>
          <w:szCs w:val="28"/>
        </w:rPr>
        <w:t xml:space="preserve">0,8 мг/л 6-БAП) та </w:t>
      </w:r>
      <w:r w:rsidRPr="00CC7883">
        <w:rPr>
          <w:rFonts w:ascii="Times New Roman" w:eastAsia="Times New Roman" w:hAnsi="Times New Roman" w:cs="Times New Roman"/>
          <w:bCs/>
          <w:color w:val="000000" w:themeColor="text1"/>
          <w:sz w:val="28"/>
          <w:szCs w:val="28"/>
        </w:rPr>
        <w:t>SM2 (</w:t>
      </w:r>
      <w:r w:rsidRPr="00CC7883">
        <w:rPr>
          <w:rFonts w:ascii="Times New Roman" w:eastAsia="Times New Roman" w:hAnsi="Times New Roman" w:cs="Times New Roman"/>
          <w:color w:val="000000" w:themeColor="text1"/>
          <w:sz w:val="28"/>
          <w:szCs w:val="28"/>
        </w:rPr>
        <w:t>1,0 мг/л 6-БАП і 0,1 мг/л α-НОК). Вже на 12 добу культивування в експлантів винограду було відзначено п</w:t>
      </w:r>
      <w:r w:rsidR="00171E6A" w:rsidRPr="00CC7883">
        <w:rPr>
          <w:rFonts w:ascii="Times New Roman" w:eastAsia="Times New Roman" w:hAnsi="Times New Roman" w:cs="Times New Roman"/>
          <w:color w:val="000000" w:themeColor="text1"/>
          <w:sz w:val="28"/>
          <w:szCs w:val="28"/>
        </w:rPr>
        <w:t>роліферацію пазушних бруньок [109</w:t>
      </w:r>
      <w:r w:rsidR="00F44ECE" w:rsidRPr="00C634FF">
        <w:rPr>
          <w:rFonts w:ascii="Times New Roman" w:eastAsia="Times New Roman" w:hAnsi="Times New Roman" w:cs="Times New Roman"/>
          <w:color w:val="000000" w:themeColor="text1"/>
          <w:sz w:val="28"/>
          <w:szCs w:val="28"/>
          <w:lang w:val="ru-RU"/>
        </w:rPr>
        <w:t>,</w:t>
      </w:r>
      <w:r w:rsidRPr="00CC7883">
        <w:rPr>
          <w:rFonts w:ascii="Times New Roman" w:eastAsia="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rPr>
        <w:t>1</w:t>
      </w:r>
      <w:r w:rsidR="005612C3" w:rsidRPr="00CC7883">
        <w:rPr>
          <w:rFonts w:ascii="Times New Roman" w:hAnsi="Times New Roman" w:cs="Times New Roman"/>
          <w:color w:val="000000" w:themeColor="text1"/>
          <w:sz w:val="28"/>
        </w:rPr>
        <w:t>57</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Hashemi S. A. A. et</w:t>
      </w:r>
      <w:r w:rsidR="00694F30"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al. для прискорення проліферації пазушних бруньок ініціальних експлантів винограду сорту «Thompson» використовували поживне середовище, яке містило ½ MS + 6-БАП (1,0–8,0 мг/л) і ½ MS + ІМК (1,0–8,0 мг/л). Згідно з отриманими результатами було показано, що поживне середовище ½ MS +</w:t>
      </w:r>
      <w:r w:rsidRPr="00CC7883">
        <w:rPr>
          <w:rFonts w:ascii="Times New Roman" w:eastAsia="Times New Roman" w:hAnsi="Times New Roman" w:cs="Times New Roman"/>
          <w:bCs/>
          <w:color w:val="000000" w:themeColor="text1"/>
          <w:sz w:val="28"/>
          <w:szCs w:val="28"/>
        </w:rPr>
        <w:t xml:space="preserve">2,0 мг/л </w:t>
      </w:r>
      <w:r w:rsidRPr="00CC7883">
        <w:rPr>
          <w:rFonts w:ascii="Times New Roman" w:eastAsia="Times New Roman" w:hAnsi="Times New Roman" w:cs="Times New Roman"/>
          <w:color w:val="000000" w:themeColor="text1"/>
          <w:sz w:val="28"/>
          <w:szCs w:val="28"/>
        </w:rPr>
        <w:t>6-БАП сприяло прискоренню та інтенсифікації проліферації пазушних бруньок. Цей процес розпочинався вже на 6 добу [13</w:t>
      </w:r>
      <w:r w:rsidR="00171E6A" w:rsidRPr="00CC7883">
        <w:rPr>
          <w:rFonts w:ascii="Times New Roman" w:eastAsia="Times New Roman" w:hAnsi="Times New Roman" w:cs="Times New Roman"/>
          <w:color w:val="000000" w:themeColor="text1"/>
          <w:sz w:val="28"/>
          <w:szCs w:val="28"/>
        </w:rPr>
        <w:t>1</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Дослідження свідчать, що оптимізація складу поживного середовища та концентрацій фітогормонів також відіграє ключове значення для росту і розвитку приросту мікроклонів винограду. Mostafa</w:t>
      </w:r>
      <w:r w:rsidR="00694F30" w:rsidRPr="00CC7883">
        <w:rPr>
          <w:rFonts w:ascii="Times New Roman" w:eastAsia="NSimSun" w:hAnsi="Times New Roman" w:cs="Times New Roman"/>
          <w:color w:val="000000" w:themeColor="text1"/>
          <w:kern w:val="3"/>
          <w:sz w:val="28"/>
          <w:szCs w:val="28"/>
        </w:rPr>
        <w:t xml:space="preserve"> </w:t>
      </w:r>
      <w:r w:rsidR="001563C7" w:rsidRPr="00813FFA">
        <w:rPr>
          <w:rFonts w:ascii="Times New Roman" w:hAnsi="Times New Roman"/>
          <w:color w:val="000000" w:themeColor="text1"/>
          <w:sz w:val="28"/>
          <w:szCs w:val="28"/>
          <w:lang w:val="en-US"/>
        </w:rPr>
        <w:t>F</w:t>
      </w:r>
      <w:r w:rsidR="001563C7" w:rsidRPr="00F62136">
        <w:rPr>
          <w:rFonts w:ascii="Times New Roman" w:hAnsi="Times New Roman"/>
          <w:color w:val="000000" w:themeColor="text1"/>
          <w:sz w:val="28"/>
          <w:szCs w:val="28"/>
        </w:rPr>
        <w:t xml:space="preserve">. </w:t>
      </w:r>
      <w:r w:rsidR="001563C7" w:rsidRPr="00813FFA">
        <w:rPr>
          <w:rFonts w:ascii="Times New Roman" w:hAnsi="Times New Roman"/>
          <w:color w:val="000000" w:themeColor="text1"/>
          <w:sz w:val="28"/>
          <w:szCs w:val="28"/>
          <w:lang w:val="en-US"/>
        </w:rPr>
        <w:t>M</w:t>
      </w:r>
      <w:r w:rsidR="001563C7" w:rsidRPr="00F62136">
        <w:rPr>
          <w:rFonts w:ascii="Times New Roman" w:hAnsi="Times New Roman"/>
          <w:color w:val="000000" w:themeColor="text1"/>
          <w:sz w:val="28"/>
          <w:szCs w:val="28"/>
        </w:rPr>
        <w:t xml:space="preserve">. </w:t>
      </w:r>
      <w:r w:rsidR="001563C7" w:rsidRPr="00813FFA">
        <w:rPr>
          <w:rFonts w:ascii="Times New Roman" w:hAnsi="Times New Roman"/>
          <w:color w:val="000000" w:themeColor="text1"/>
          <w:sz w:val="28"/>
          <w:szCs w:val="28"/>
          <w:lang w:val="en-US"/>
        </w:rPr>
        <w:t>A</w:t>
      </w:r>
      <w:r w:rsidR="001563C7" w:rsidRPr="00F62136">
        <w:rPr>
          <w:rFonts w:ascii="Times New Roman" w:hAnsi="Times New Roman"/>
          <w:color w:val="000000" w:themeColor="text1"/>
          <w:sz w:val="28"/>
          <w:szCs w:val="28"/>
        </w:rPr>
        <w:t>.</w:t>
      </w:r>
      <w:r w:rsidR="001563C7">
        <w:rPr>
          <w:rFonts w:ascii="Times New Roman" w:hAnsi="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rPr>
        <w:t>et</w:t>
      </w:r>
      <w:r w:rsidR="00694F30"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al. у своїй роботі показали, що поживне середовище MS із додаванням 1,0 мг/л 6-БАП + 0,01 мг/л α-НОК позитивно впливало на формування пагонів чотирьох сортів винограду «Concord», «Thompson», «Beauty», «King Ruby». На такому</w:t>
      </w:r>
      <w:r w:rsid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MS у мікроклонів формувалась найбільша кількість пагонів (4,7–5,5 шт.) з найбільшою висотою (4,9–5,3 см), при 2,0–3,0 шт. і 2,5–3,0 см у контролі [18</w:t>
      </w:r>
      <w:r w:rsidR="005612C3" w:rsidRPr="00CC7883">
        <w:rPr>
          <w:rFonts w:ascii="Times New Roman" w:eastAsia="NSimSun" w:hAnsi="Times New Roman" w:cs="Times New Roman"/>
          <w:color w:val="000000" w:themeColor="text1"/>
          <w:kern w:val="3"/>
          <w:sz w:val="28"/>
          <w:szCs w:val="28"/>
        </w:rPr>
        <w:t>6</w:t>
      </w:r>
      <w:r w:rsidRPr="00CC7883">
        <w:rPr>
          <w:rFonts w:ascii="Times New Roman" w:eastAsia="NSimSun" w:hAnsi="Times New Roman" w:cs="Times New Roman"/>
          <w:color w:val="000000" w:themeColor="text1"/>
          <w:kern w:val="3"/>
          <w:sz w:val="28"/>
          <w:szCs w:val="28"/>
        </w:rPr>
        <w:t>]. Подібні результати були отримані Nookaraju</w:t>
      </w:r>
      <w:r w:rsidR="00694F30" w:rsidRPr="00CC7883">
        <w:rPr>
          <w:rFonts w:ascii="Times New Roman" w:eastAsia="NSimSun" w:hAnsi="Times New Roman" w:cs="Times New Roman"/>
          <w:color w:val="000000" w:themeColor="text1"/>
          <w:kern w:val="3"/>
          <w:sz w:val="28"/>
          <w:szCs w:val="28"/>
        </w:rPr>
        <w:t xml:space="preserve"> </w:t>
      </w:r>
      <w:r w:rsidR="001563C7" w:rsidRPr="00813FFA">
        <w:rPr>
          <w:rFonts w:ascii="Times New Roman" w:hAnsi="Times New Roman"/>
          <w:color w:val="000000" w:themeColor="text1"/>
          <w:sz w:val="28"/>
          <w:szCs w:val="28"/>
          <w:lang w:val="en-US"/>
        </w:rPr>
        <w:t>A</w:t>
      </w:r>
      <w:r w:rsidR="001563C7" w:rsidRPr="00F62136">
        <w:rPr>
          <w:rFonts w:ascii="Times New Roman" w:hAnsi="Times New Roman"/>
          <w:color w:val="000000" w:themeColor="text1"/>
          <w:sz w:val="28"/>
          <w:szCs w:val="28"/>
        </w:rPr>
        <w:t>.</w:t>
      </w:r>
      <w:r w:rsidR="001563C7">
        <w:rPr>
          <w:rFonts w:ascii="Times New Roman" w:hAnsi="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rPr>
        <w:t>et</w:t>
      </w:r>
      <w:r w:rsidR="00694F30"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al. для сорту винограду «Crimson» [19</w:t>
      </w:r>
      <w:r w:rsidR="005612C3" w:rsidRPr="00CC7883">
        <w:rPr>
          <w:rFonts w:ascii="Times New Roman" w:eastAsia="NSimSun" w:hAnsi="Times New Roman" w:cs="Times New Roman"/>
          <w:color w:val="000000" w:themeColor="text1"/>
          <w:kern w:val="3"/>
          <w:sz w:val="28"/>
          <w:szCs w:val="28"/>
        </w:rPr>
        <w:t>5</w:t>
      </w:r>
      <w:r w:rsidRPr="00CC7883">
        <w:rPr>
          <w:rFonts w:ascii="Times New Roman" w:eastAsia="NSimSun" w:hAnsi="Times New Roman" w:cs="Times New Roman"/>
          <w:color w:val="000000" w:themeColor="text1"/>
          <w:kern w:val="3"/>
          <w:sz w:val="28"/>
          <w:szCs w:val="28"/>
        </w:rPr>
        <w:t xml:space="preserve">], </w:t>
      </w:r>
      <w:r w:rsidR="00281502" w:rsidRPr="00CC7883">
        <w:rPr>
          <w:rFonts w:ascii="Times New Roman" w:eastAsia="NSimSun" w:hAnsi="Times New Roman" w:cs="Times New Roman"/>
          <w:color w:val="000000" w:themeColor="text1"/>
          <w:kern w:val="3"/>
          <w:sz w:val="28"/>
          <w:szCs w:val="28"/>
        </w:rPr>
        <w:t>Beza</w:t>
      </w:r>
      <w:r w:rsidR="001563C7">
        <w:rPr>
          <w:rFonts w:ascii="Times New Roman" w:eastAsia="NSimSun" w:hAnsi="Times New Roman" w:cs="Times New Roman"/>
          <w:color w:val="000000" w:themeColor="text1"/>
          <w:kern w:val="3"/>
          <w:sz w:val="28"/>
          <w:szCs w:val="28"/>
        </w:rPr>
        <w:t xml:space="preserve"> </w:t>
      </w:r>
      <w:r w:rsidR="001563C7" w:rsidRPr="00813FFA">
        <w:rPr>
          <w:rFonts w:ascii="Times New Roman" w:hAnsi="Times New Roman"/>
          <w:bCs/>
          <w:color w:val="000000" w:themeColor="text1"/>
          <w:sz w:val="28"/>
          <w:szCs w:val="28"/>
          <w:lang w:val="en-US"/>
        </w:rPr>
        <w:t>K</w:t>
      </w:r>
      <w:r w:rsidR="001563C7" w:rsidRPr="00F62136">
        <w:rPr>
          <w:rFonts w:ascii="Times New Roman" w:hAnsi="Times New Roman"/>
          <w:bCs/>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et al., </w:t>
      </w:r>
      <w:r w:rsidR="00406C63" w:rsidRPr="00CC7883">
        <w:rPr>
          <w:rFonts w:ascii="Times New Roman" w:hAnsi="Times New Roman"/>
          <w:color w:val="000000" w:themeColor="text1"/>
          <w:sz w:val="28"/>
          <w:szCs w:val="28"/>
        </w:rPr>
        <w:t>Sajid</w:t>
      </w:r>
      <w:r w:rsidRPr="00CC7883">
        <w:rPr>
          <w:rFonts w:ascii="Times New Roman" w:eastAsia="NSimSun" w:hAnsi="Times New Roman" w:cs="Times New Roman"/>
          <w:color w:val="000000" w:themeColor="text1"/>
          <w:kern w:val="3"/>
          <w:sz w:val="28"/>
          <w:szCs w:val="28"/>
        </w:rPr>
        <w:t xml:space="preserve"> </w:t>
      </w:r>
      <w:r w:rsidR="001563C7" w:rsidRPr="00813FFA">
        <w:rPr>
          <w:rFonts w:ascii="Times New Roman" w:hAnsi="Times New Roman"/>
          <w:color w:val="000000" w:themeColor="text1"/>
          <w:sz w:val="28"/>
          <w:szCs w:val="28"/>
          <w:lang w:val="en-US"/>
        </w:rPr>
        <w:t>G</w:t>
      </w:r>
      <w:r w:rsidR="001563C7" w:rsidRPr="00F62136">
        <w:rPr>
          <w:rFonts w:ascii="Times New Roman" w:hAnsi="Times New Roman"/>
          <w:color w:val="000000" w:themeColor="text1"/>
          <w:sz w:val="28"/>
          <w:szCs w:val="28"/>
        </w:rPr>
        <w:t xml:space="preserve">. </w:t>
      </w:r>
      <w:r w:rsidR="001563C7" w:rsidRPr="00813FFA">
        <w:rPr>
          <w:rFonts w:ascii="Times New Roman" w:hAnsi="Times New Roman"/>
          <w:color w:val="000000" w:themeColor="text1"/>
          <w:sz w:val="28"/>
          <w:szCs w:val="28"/>
          <w:lang w:val="en-US"/>
        </w:rPr>
        <w:t>M</w:t>
      </w:r>
      <w:r w:rsidR="001563C7" w:rsidRPr="00F62136">
        <w:rPr>
          <w:rFonts w:ascii="Times New Roman" w:hAnsi="Times New Roman"/>
          <w:color w:val="000000" w:themeColor="text1"/>
          <w:sz w:val="28"/>
          <w:szCs w:val="28"/>
        </w:rPr>
        <w:t>.</w:t>
      </w:r>
      <w:r w:rsidR="001563C7">
        <w:rPr>
          <w:rFonts w:ascii="Times New Roman" w:hAnsi="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rPr>
        <w:t>et al. для сортів «</w:t>
      </w:r>
      <w:r w:rsidRPr="00CC7883">
        <w:rPr>
          <w:rFonts w:ascii="Times New Roman" w:eastAsia="NSimSun" w:hAnsi="Times New Roman" w:cs="Times New Roman"/>
          <w:iCs/>
          <w:color w:val="000000" w:themeColor="text1"/>
          <w:kern w:val="3"/>
          <w:sz w:val="28"/>
          <w:szCs w:val="28"/>
        </w:rPr>
        <w:t>Chenin blanc»</w:t>
      </w:r>
      <w:r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iCs/>
          <w:color w:val="000000" w:themeColor="text1"/>
          <w:kern w:val="3"/>
          <w:sz w:val="28"/>
          <w:szCs w:val="28"/>
        </w:rPr>
        <w:t>Canonannon»</w:t>
      </w:r>
      <w:r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iCs/>
          <w:color w:val="000000" w:themeColor="text1"/>
          <w:kern w:val="3"/>
          <w:sz w:val="28"/>
          <w:szCs w:val="28"/>
        </w:rPr>
        <w:t>Ugni blanc»</w:t>
      </w:r>
      <w:r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iCs/>
          <w:color w:val="000000" w:themeColor="text1"/>
          <w:kern w:val="3"/>
          <w:sz w:val="28"/>
          <w:szCs w:val="28"/>
        </w:rPr>
        <w:t>Sundar Khani»</w:t>
      </w:r>
      <w:r w:rsidRPr="00CC7883">
        <w:rPr>
          <w:rFonts w:ascii="Times New Roman" w:eastAsia="NSimSun" w:hAnsi="Times New Roman" w:cs="Times New Roman"/>
          <w:color w:val="000000" w:themeColor="text1"/>
          <w:kern w:val="3"/>
          <w:sz w:val="28"/>
          <w:szCs w:val="28"/>
        </w:rPr>
        <w:t xml:space="preserve"> та «</w:t>
      </w:r>
      <w:r w:rsidRPr="00CC7883">
        <w:rPr>
          <w:rFonts w:ascii="Times New Roman" w:eastAsia="NSimSun" w:hAnsi="Times New Roman" w:cs="Times New Roman"/>
          <w:iCs/>
          <w:color w:val="000000" w:themeColor="text1"/>
          <w:kern w:val="3"/>
          <w:sz w:val="28"/>
          <w:szCs w:val="28"/>
        </w:rPr>
        <w:t>Wild Grape»</w:t>
      </w:r>
      <w:r w:rsidRPr="00CC7883">
        <w:rPr>
          <w:rFonts w:ascii="Times New Roman" w:eastAsia="NSimSun" w:hAnsi="Times New Roman" w:cs="Times New Roman"/>
          <w:color w:val="000000" w:themeColor="text1"/>
          <w:kern w:val="3"/>
          <w:sz w:val="28"/>
          <w:szCs w:val="28"/>
        </w:rPr>
        <w:t xml:space="preserve"> [</w:t>
      </w:r>
      <w:r w:rsidR="00627718" w:rsidRPr="00CC7883">
        <w:rPr>
          <w:rFonts w:ascii="Times New Roman" w:eastAsia="NSimSun" w:hAnsi="Times New Roman" w:cs="Times New Roman"/>
          <w:color w:val="000000" w:themeColor="text1"/>
          <w:kern w:val="3"/>
          <w:sz w:val="28"/>
          <w:szCs w:val="28"/>
        </w:rPr>
        <w:t>9</w:t>
      </w:r>
      <w:r w:rsidR="00171E6A" w:rsidRPr="00CC7883">
        <w:rPr>
          <w:rFonts w:ascii="Times New Roman" w:eastAsia="NSimSun" w:hAnsi="Times New Roman" w:cs="Times New Roman"/>
          <w:color w:val="000000" w:themeColor="text1"/>
          <w:kern w:val="3"/>
          <w:sz w:val="28"/>
          <w:szCs w:val="28"/>
        </w:rPr>
        <w:t>4</w:t>
      </w:r>
      <w:r w:rsidR="00F44ECE" w:rsidRPr="00F62136">
        <w:rPr>
          <w:rFonts w:ascii="Times New Roman" w:eastAsia="NSimSun" w:hAnsi="Times New Roman" w:cs="Times New Roman"/>
          <w:color w:val="000000" w:themeColor="text1"/>
          <w:kern w:val="3"/>
          <w:sz w:val="28"/>
          <w:szCs w:val="28"/>
        </w:rPr>
        <w:t>,</w:t>
      </w:r>
      <w:r w:rsidR="009E747E" w:rsidRPr="00CC7883">
        <w:rPr>
          <w:rFonts w:ascii="Times New Roman" w:eastAsia="NSimSun" w:hAnsi="Times New Roman" w:cs="Times New Roman"/>
          <w:color w:val="000000" w:themeColor="text1"/>
          <w:kern w:val="3"/>
          <w:sz w:val="28"/>
          <w:szCs w:val="28"/>
        </w:rPr>
        <w:t xml:space="preserve"> </w:t>
      </w:r>
      <w:r w:rsidR="00281502" w:rsidRPr="00CC7883">
        <w:rPr>
          <w:rFonts w:ascii="Times New Roman" w:eastAsia="NSimSun" w:hAnsi="Times New Roman" w:cs="Times New Roman"/>
          <w:color w:val="000000" w:themeColor="text1"/>
          <w:kern w:val="3"/>
          <w:sz w:val="28"/>
          <w:szCs w:val="28"/>
        </w:rPr>
        <w:t>22</w:t>
      </w:r>
      <w:r w:rsidR="009E747E" w:rsidRPr="00CC7883">
        <w:rPr>
          <w:rFonts w:ascii="Times New Roman" w:eastAsia="NSimSun" w:hAnsi="Times New Roman" w:cs="Times New Roman"/>
          <w:color w:val="000000" w:themeColor="text1"/>
          <w:kern w:val="3"/>
          <w:sz w:val="28"/>
          <w:szCs w:val="28"/>
        </w:rPr>
        <w:t>2</w:t>
      </w:r>
      <w:r w:rsidRPr="00CC7883">
        <w:rPr>
          <w:rFonts w:ascii="Times New Roman" w:eastAsia="NSimSun" w:hAnsi="Times New Roman" w:cs="Times New Roman"/>
          <w:color w:val="000000" w:themeColor="text1"/>
          <w:kern w:val="3"/>
          <w:sz w:val="28"/>
          <w:szCs w:val="28"/>
        </w:rPr>
        <w:t xml:space="preserve">]. Melyan G. et al. та Ikten H. і Read P. E. показали позитивний результат впливу комбінацій 6-БАП, кінетину та гіберелінової кислоти або 2-іп на видовження </w:t>
      </w:r>
      <w:r w:rsidRPr="00CC7883">
        <w:rPr>
          <w:rFonts w:ascii="Times New Roman" w:eastAsia="NSimSun" w:hAnsi="Times New Roman" w:cs="Times New Roman"/>
          <w:color w:val="000000" w:themeColor="text1"/>
          <w:kern w:val="3"/>
          <w:sz w:val="28"/>
          <w:szCs w:val="28"/>
        </w:rPr>
        <w:lastRenderedPageBreak/>
        <w:t>пагонів (до 2,4–6,0 см) та збільшення кількості вузлів (до 7,0 шт.) сортів винограду «</w:t>
      </w:r>
      <w:r w:rsidRPr="00CC7883">
        <w:rPr>
          <w:rFonts w:ascii="Times New Roman" w:eastAsia="NSimSun" w:hAnsi="Times New Roman" w:cs="Times New Roman"/>
          <w:iCs/>
          <w:color w:val="000000" w:themeColor="text1"/>
          <w:kern w:val="3"/>
          <w:sz w:val="28"/>
          <w:szCs w:val="28"/>
        </w:rPr>
        <w:t>Charentsi»</w:t>
      </w:r>
      <w:r w:rsidRPr="00CC7883">
        <w:rPr>
          <w:rFonts w:ascii="Times New Roman" w:eastAsia="NSimSun" w:hAnsi="Times New Roman" w:cs="Times New Roman"/>
          <w:color w:val="000000" w:themeColor="text1"/>
          <w:kern w:val="3"/>
          <w:sz w:val="28"/>
          <w:szCs w:val="28"/>
        </w:rPr>
        <w:t xml:space="preserve"> та «</w:t>
      </w:r>
      <w:r w:rsidRPr="00CC7883">
        <w:rPr>
          <w:rFonts w:ascii="Times New Roman" w:eastAsia="NSimSun" w:hAnsi="Times New Roman" w:cs="Times New Roman"/>
          <w:iCs/>
          <w:color w:val="000000" w:themeColor="text1"/>
          <w:kern w:val="3"/>
          <w:sz w:val="28"/>
          <w:szCs w:val="28"/>
        </w:rPr>
        <w:t>Sev Khaedj»</w:t>
      </w:r>
      <w:r w:rsidRPr="00CC7883">
        <w:rPr>
          <w:rFonts w:ascii="Times New Roman" w:eastAsia="NSimSun" w:hAnsi="Times New Roman" w:cs="Times New Roman"/>
          <w:i/>
          <w:iCs/>
          <w:color w:val="000000" w:themeColor="text1"/>
          <w:kern w:val="3"/>
          <w:sz w:val="28"/>
          <w:szCs w:val="28"/>
        </w:rPr>
        <w:t xml:space="preserve">. </w:t>
      </w:r>
      <w:r w:rsidR="001B7D0D">
        <w:rPr>
          <w:rFonts w:ascii="Times New Roman" w:eastAsia="NSimSun" w:hAnsi="Times New Roman" w:cs="Times New Roman"/>
          <w:color w:val="000000" w:themeColor="text1"/>
          <w:kern w:val="3"/>
          <w:sz w:val="28"/>
          <w:szCs w:val="28"/>
        </w:rPr>
        <w:t xml:space="preserve">Унаслідок цього </w:t>
      </w:r>
      <w:r w:rsidRPr="00CC7883">
        <w:rPr>
          <w:rFonts w:ascii="Times New Roman" w:eastAsia="NSimSun" w:hAnsi="Times New Roman" w:cs="Times New Roman"/>
          <w:color w:val="000000" w:themeColor="text1"/>
          <w:kern w:val="3"/>
          <w:sz w:val="28"/>
          <w:szCs w:val="28"/>
        </w:rPr>
        <w:t xml:space="preserve">показано, що перенесення мікроклонів винограду, які культивували в умовах </w:t>
      </w:r>
      <w:r w:rsidRPr="00CC7883">
        <w:rPr>
          <w:rFonts w:ascii="Times New Roman" w:eastAsia="NSimSun" w:hAnsi="Times New Roman" w:cs="Times New Roman"/>
          <w:i/>
          <w:color w:val="000000" w:themeColor="text1"/>
          <w:kern w:val="3"/>
          <w:sz w:val="28"/>
          <w:szCs w:val="28"/>
        </w:rPr>
        <w:t>in</w:t>
      </w:r>
      <w:r w:rsidR="008B5203" w:rsidRPr="00CC7883">
        <w:rPr>
          <w:rFonts w:ascii="Times New Roman" w:eastAsia="NSimSun" w:hAnsi="Times New Roman" w:cs="Times New Roman"/>
          <w:i/>
          <w:color w:val="000000" w:themeColor="text1"/>
          <w:kern w:val="3"/>
          <w:sz w:val="28"/>
          <w:szCs w:val="28"/>
        </w:rPr>
        <w:t> </w:t>
      </w:r>
      <w:r w:rsidRPr="00CC7883">
        <w:rPr>
          <w:rFonts w:ascii="Times New Roman" w:eastAsia="NSimSun" w:hAnsi="Times New Roman" w:cs="Times New Roman"/>
          <w:i/>
          <w:color w:val="000000" w:themeColor="text1"/>
          <w:kern w:val="3"/>
          <w:sz w:val="28"/>
          <w:szCs w:val="28"/>
        </w:rPr>
        <w:t>vitro</w:t>
      </w:r>
      <w:r w:rsidRPr="00CC7883">
        <w:rPr>
          <w:rFonts w:ascii="Times New Roman" w:eastAsia="NSimSun" w:hAnsi="Times New Roman" w:cs="Times New Roman"/>
          <w:color w:val="000000" w:themeColor="text1"/>
          <w:kern w:val="3"/>
          <w:sz w:val="28"/>
          <w:szCs w:val="28"/>
        </w:rPr>
        <w:t xml:space="preserve"> на модифікованих поживних середовищах у неконтрольовані умови </w:t>
      </w:r>
      <w:r w:rsidR="001221F9" w:rsidRPr="00CC7883">
        <w:rPr>
          <w:rFonts w:ascii="Times New Roman" w:hAnsi="Times New Roman" w:cs="Times New Roman"/>
          <w:i/>
          <w:color w:val="000000" w:themeColor="text1"/>
          <w:sz w:val="28"/>
          <w:szCs w:val="28"/>
        </w:rPr>
        <w:t>in vivo</w:t>
      </w:r>
      <w:r w:rsidRPr="00CC7883">
        <w:rPr>
          <w:rFonts w:ascii="Times New Roman" w:eastAsia="NSimSun" w:hAnsi="Times New Roman" w:cs="Times New Roman"/>
          <w:color w:val="000000" w:themeColor="text1"/>
          <w:kern w:val="3"/>
          <w:sz w:val="28"/>
          <w:szCs w:val="28"/>
        </w:rPr>
        <w:t xml:space="preserve"> сприяло приживлюваності на 80,0–85,0 %. [1</w:t>
      </w:r>
      <w:r w:rsidR="005612C3" w:rsidRPr="00CC7883">
        <w:rPr>
          <w:rFonts w:ascii="Times New Roman" w:eastAsia="NSimSun" w:hAnsi="Times New Roman" w:cs="Times New Roman"/>
          <w:color w:val="000000" w:themeColor="text1"/>
          <w:kern w:val="3"/>
          <w:sz w:val="28"/>
          <w:szCs w:val="28"/>
        </w:rPr>
        <w:t>75</w:t>
      </w:r>
      <w:r w:rsidR="00F44ECE" w:rsidRPr="00C634FF">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1</w:t>
      </w:r>
      <w:r w:rsidR="00171E6A" w:rsidRPr="00CC7883">
        <w:rPr>
          <w:rFonts w:ascii="Times New Roman" w:eastAsia="NSimSun" w:hAnsi="Times New Roman" w:cs="Times New Roman"/>
          <w:color w:val="000000" w:themeColor="text1"/>
          <w:kern w:val="3"/>
          <w:sz w:val="28"/>
          <w:szCs w:val="28"/>
        </w:rPr>
        <w:t>39</w:t>
      </w:r>
      <w:r w:rsidR="00F44ECE" w:rsidRPr="00C634FF">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9</w:t>
      </w:r>
      <w:r w:rsidR="00171E6A" w:rsidRPr="00CC7883">
        <w:rPr>
          <w:rFonts w:ascii="Times New Roman" w:eastAsia="NSimSun" w:hAnsi="Times New Roman" w:cs="Times New Roman"/>
          <w:color w:val="000000" w:themeColor="text1"/>
          <w:kern w:val="3"/>
          <w:sz w:val="28"/>
          <w:szCs w:val="28"/>
        </w:rPr>
        <w:t>3</w:t>
      </w:r>
      <w:r w:rsidRPr="00CC7883">
        <w:rPr>
          <w:rFonts w:ascii="Times New Roman" w:eastAsia="NSimSun" w:hAnsi="Times New Roman" w:cs="Times New Roman"/>
          <w:color w:val="000000" w:themeColor="text1"/>
          <w:kern w:val="3"/>
          <w:sz w:val="28"/>
          <w:szCs w:val="28"/>
        </w:rPr>
        <w:t xml:space="preserve">]. </w:t>
      </w:r>
    </w:p>
    <w:p w:rsidR="00B01A54" w:rsidRPr="00CC7883" w:rsidRDefault="00B01A54" w:rsidP="00047411">
      <w:pPr>
        <w:widowControl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Times New Roman" w:hAnsi="Times New Roman" w:cs="Times New Roman"/>
          <w:color w:val="000000" w:themeColor="text1"/>
          <w:sz w:val="28"/>
          <w:szCs w:val="28"/>
        </w:rPr>
        <w:t xml:space="preserve">Для інтенсифікації процесів проліферації ініціальних експлантів винограду та </w:t>
      </w:r>
      <w:r w:rsidR="000207A2" w:rsidRPr="00C634FF">
        <w:rPr>
          <w:rFonts w:ascii="Times New Roman" w:eastAsia="NSimSun" w:hAnsi="Times New Roman" w:cs="Times New Roman"/>
          <w:color w:val="000000" w:themeColor="text1"/>
          <w:kern w:val="3"/>
          <w:sz w:val="28"/>
          <w:szCs w:val="28"/>
        </w:rPr>
        <w:t>росту</w:t>
      </w:r>
      <w:r w:rsidRPr="00CC7883">
        <w:rPr>
          <w:rFonts w:ascii="Times New Roman" w:eastAsia="NSimSun" w:hAnsi="Times New Roman" w:cs="Times New Roman"/>
          <w:color w:val="000000" w:themeColor="text1"/>
          <w:kern w:val="3"/>
          <w:sz w:val="28"/>
          <w:szCs w:val="28"/>
        </w:rPr>
        <w:t xml:space="preserve"> мікроклонів винограду </w:t>
      </w:r>
      <w:r w:rsidRPr="00CC7883">
        <w:rPr>
          <w:rFonts w:ascii="Times New Roman" w:eastAsia="Times New Roman" w:hAnsi="Times New Roman" w:cs="Times New Roman"/>
          <w:color w:val="000000" w:themeColor="text1"/>
          <w:sz w:val="28"/>
          <w:szCs w:val="28"/>
        </w:rPr>
        <w:t>науковці ННЦ «ІВіВ ім. В.</w:t>
      </w:r>
      <w:r w:rsidR="00396E12">
        <w:rPr>
          <w:rFonts w:ascii="Times New Roman" w:eastAsia="Times New Roman" w:hAnsi="Times New Roman" w:cs="Times New Roman"/>
          <w:color w:val="000000" w:themeColor="text1"/>
          <w:sz w:val="28"/>
          <w:szCs w:val="28"/>
        </w:rPr>
        <w:t> </w:t>
      </w:r>
      <w:r w:rsidRPr="00CC7883">
        <w:rPr>
          <w:rFonts w:ascii="Times New Roman" w:eastAsia="Times New Roman" w:hAnsi="Times New Roman" w:cs="Times New Roman"/>
          <w:color w:val="000000" w:themeColor="text1"/>
          <w:sz w:val="28"/>
          <w:szCs w:val="28"/>
        </w:rPr>
        <w:t>Є.</w:t>
      </w:r>
      <w:r w:rsidR="00396E12">
        <w:rPr>
          <w:rFonts w:ascii="Times New Roman" w:eastAsia="Times New Roman" w:hAnsi="Times New Roman" w:cs="Times New Roman"/>
          <w:color w:val="000000" w:themeColor="text1"/>
          <w:sz w:val="28"/>
          <w:szCs w:val="28"/>
        </w:rPr>
        <w:t> </w:t>
      </w:r>
      <w:r w:rsidRPr="00CC7883">
        <w:rPr>
          <w:rFonts w:ascii="Times New Roman" w:eastAsia="Times New Roman" w:hAnsi="Times New Roman" w:cs="Times New Roman"/>
          <w:color w:val="000000" w:themeColor="text1"/>
          <w:sz w:val="28"/>
          <w:szCs w:val="28"/>
        </w:rPr>
        <w:t>Таїрова» розробили та успішно використовують модифіковані поживні середовища MS та Ніча і Ніч</w:t>
      </w:r>
      <w:r w:rsidR="00921370">
        <w:rPr>
          <w:rFonts w:ascii="Times New Roman" w:eastAsia="Times New Roman" w:hAnsi="Times New Roman" w:cs="Times New Roman"/>
          <w:color w:val="000000" w:themeColor="text1"/>
          <w:sz w:val="28"/>
          <w:szCs w:val="28"/>
        </w:rPr>
        <w:t>а</w:t>
      </w:r>
      <w:r w:rsidRPr="00CC7883">
        <w:rPr>
          <w:rFonts w:ascii="Times New Roman" w:eastAsia="Times New Roman" w:hAnsi="Times New Roman" w:cs="Times New Roman"/>
          <w:color w:val="000000" w:themeColor="text1"/>
          <w:sz w:val="28"/>
          <w:szCs w:val="28"/>
        </w:rPr>
        <w:t xml:space="preserve"> (NN). Їх модифікація включала зменшення кількості агару або повну його заміну на альтернативні </w:t>
      </w:r>
      <w:r w:rsidR="004978A5">
        <w:rPr>
          <w:rFonts w:ascii="Times New Roman" w:eastAsia="Times New Roman" w:hAnsi="Times New Roman" w:cs="Times New Roman"/>
          <w:color w:val="000000" w:themeColor="text1"/>
          <w:sz w:val="28"/>
          <w:szCs w:val="28"/>
        </w:rPr>
        <w:t>гелеутворювальні</w:t>
      </w:r>
      <w:r w:rsidRPr="00CC7883">
        <w:rPr>
          <w:rFonts w:ascii="Times New Roman" w:eastAsia="Times New Roman" w:hAnsi="Times New Roman" w:cs="Times New Roman"/>
          <w:color w:val="000000" w:themeColor="text1"/>
          <w:sz w:val="28"/>
          <w:szCs w:val="28"/>
        </w:rPr>
        <w:t xml:space="preserve"> </w:t>
      </w:r>
      <w:r w:rsidR="004978A5">
        <w:rPr>
          <w:rFonts w:ascii="Times New Roman" w:eastAsia="Times New Roman" w:hAnsi="Times New Roman" w:cs="Times New Roman"/>
          <w:color w:val="000000" w:themeColor="text1"/>
          <w:sz w:val="28"/>
          <w:szCs w:val="28"/>
        </w:rPr>
        <w:t>речовини</w:t>
      </w:r>
      <w:r w:rsidRPr="00CC7883">
        <w:rPr>
          <w:rFonts w:ascii="Times New Roman" w:eastAsia="Times New Roman" w:hAnsi="Times New Roman" w:cs="Times New Roman"/>
          <w:color w:val="000000" w:themeColor="text1"/>
          <w:sz w:val="28"/>
          <w:szCs w:val="28"/>
        </w:rPr>
        <w:t xml:space="preserve"> (кукурудзяний і картопляний крохмаль), зменшення (або повне усунення) ф</w:t>
      </w:r>
      <w:r w:rsidR="004048D3">
        <w:rPr>
          <w:rFonts w:ascii="Times New Roman" w:eastAsia="Times New Roman" w:hAnsi="Times New Roman" w:cs="Times New Roman"/>
          <w:color w:val="000000" w:themeColor="text1"/>
          <w:sz w:val="28"/>
          <w:szCs w:val="28"/>
        </w:rPr>
        <w:t>і</w:t>
      </w:r>
      <w:r w:rsidRPr="00CC7883">
        <w:rPr>
          <w:rFonts w:ascii="Times New Roman" w:eastAsia="Times New Roman" w:hAnsi="Times New Roman" w:cs="Times New Roman"/>
          <w:color w:val="000000" w:themeColor="text1"/>
          <w:sz w:val="28"/>
          <w:szCs w:val="28"/>
        </w:rPr>
        <w:t>тогормонів, зб</w:t>
      </w:r>
      <w:r w:rsidR="004048D3">
        <w:rPr>
          <w:rFonts w:ascii="Times New Roman" w:eastAsia="Times New Roman" w:hAnsi="Times New Roman" w:cs="Times New Roman"/>
          <w:color w:val="000000" w:themeColor="text1"/>
          <w:sz w:val="28"/>
          <w:szCs w:val="28"/>
        </w:rPr>
        <w:t>і</w:t>
      </w:r>
      <w:r w:rsidRPr="00CC7883">
        <w:rPr>
          <w:rFonts w:ascii="Times New Roman" w:eastAsia="Times New Roman" w:hAnsi="Times New Roman" w:cs="Times New Roman"/>
          <w:color w:val="000000" w:themeColor="text1"/>
          <w:sz w:val="28"/>
          <w:szCs w:val="28"/>
        </w:rPr>
        <w:t>льшення дег</w:t>
      </w:r>
      <w:r w:rsidR="004048D3">
        <w:rPr>
          <w:rFonts w:ascii="Times New Roman" w:eastAsia="Times New Roman" w:hAnsi="Times New Roman" w:cs="Times New Roman"/>
          <w:color w:val="000000" w:themeColor="text1"/>
          <w:sz w:val="28"/>
          <w:szCs w:val="28"/>
        </w:rPr>
        <w:t>і</w:t>
      </w:r>
      <w:r w:rsidRPr="00CC7883">
        <w:rPr>
          <w:rFonts w:ascii="Times New Roman" w:eastAsia="Times New Roman" w:hAnsi="Times New Roman" w:cs="Times New Roman"/>
          <w:color w:val="000000" w:themeColor="text1"/>
          <w:sz w:val="28"/>
          <w:szCs w:val="28"/>
        </w:rPr>
        <w:t>дрофосфату кал</w:t>
      </w:r>
      <w:r w:rsidR="004048D3">
        <w:rPr>
          <w:rFonts w:ascii="Times New Roman" w:eastAsia="Times New Roman" w:hAnsi="Times New Roman" w:cs="Times New Roman"/>
          <w:color w:val="000000" w:themeColor="text1"/>
          <w:sz w:val="28"/>
          <w:szCs w:val="28"/>
        </w:rPr>
        <w:t>і</w:t>
      </w:r>
      <w:r w:rsidRPr="00CC7883">
        <w:rPr>
          <w:rFonts w:ascii="Times New Roman" w:eastAsia="Times New Roman" w:hAnsi="Times New Roman" w:cs="Times New Roman"/>
          <w:color w:val="000000" w:themeColor="text1"/>
          <w:sz w:val="28"/>
          <w:szCs w:val="28"/>
        </w:rPr>
        <w:t xml:space="preserve">ю та </w:t>
      </w:r>
      <w:r w:rsidR="00C15357" w:rsidRPr="00CC7883">
        <w:rPr>
          <w:rFonts w:ascii="Times New Roman" w:eastAsia="Times New Roman" w:hAnsi="Times New Roman" w:cs="Times New Roman"/>
          <w:color w:val="000000" w:themeColor="text1"/>
          <w:sz w:val="28"/>
          <w:szCs w:val="28"/>
        </w:rPr>
        <w:t>в</w:t>
      </w:r>
      <w:r w:rsidR="004048D3">
        <w:rPr>
          <w:rFonts w:ascii="Times New Roman" w:eastAsia="Times New Roman" w:hAnsi="Times New Roman" w:cs="Times New Roman"/>
          <w:color w:val="000000" w:themeColor="text1"/>
          <w:sz w:val="28"/>
          <w:szCs w:val="28"/>
        </w:rPr>
        <w:t>і</w:t>
      </w:r>
      <w:r w:rsidR="00C15357" w:rsidRPr="00CC7883">
        <w:rPr>
          <w:rFonts w:ascii="Times New Roman" w:eastAsia="Times New Roman" w:hAnsi="Times New Roman" w:cs="Times New Roman"/>
          <w:color w:val="000000" w:themeColor="text1"/>
          <w:sz w:val="28"/>
          <w:szCs w:val="28"/>
        </w:rPr>
        <w:t>там</w:t>
      </w:r>
      <w:r w:rsidR="004048D3">
        <w:rPr>
          <w:rFonts w:ascii="Times New Roman" w:eastAsia="Times New Roman" w:hAnsi="Times New Roman" w:cs="Times New Roman"/>
          <w:color w:val="000000" w:themeColor="text1"/>
          <w:sz w:val="28"/>
          <w:szCs w:val="28"/>
        </w:rPr>
        <w:t>і</w:t>
      </w:r>
      <w:r w:rsidR="00C15357" w:rsidRPr="00CC7883">
        <w:rPr>
          <w:rFonts w:ascii="Times New Roman" w:eastAsia="Times New Roman" w:hAnsi="Times New Roman" w:cs="Times New Roman"/>
          <w:color w:val="000000" w:themeColor="text1"/>
          <w:sz w:val="28"/>
          <w:szCs w:val="28"/>
        </w:rPr>
        <w:t>н</w:t>
      </w:r>
      <w:r w:rsidR="004048D3">
        <w:rPr>
          <w:rFonts w:ascii="Times New Roman" w:eastAsia="Times New Roman" w:hAnsi="Times New Roman" w:cs="Times New Roman"/>
          <w:color w:val="000000" w:themeColor="text1"/>
          <w:sz w:val="28"/>
          <w:szCs w:val="28"/>
        </w:rPr>
        <w:t>і</w:t>
      </w:r>
      <w:r w:rsidR="00C15357" w:rsidRPr="00CC7883">
        <w:rPr>
          <w:rFonts w:ascii="Times New Roman" w:eastAsia="Times New Roman" w:hAnsi="Times New Roman" w:cs="Times New Roman"/>
          <w:color w:val="000000" w:themeColor="text1"/>
          <w:sz w:val="28"/>
          <w:szCs w:val="28"/>
        </w:rPr>
        <w:t>в</w:t>
      </w:r>
      <w:r w:rsidRPr="00CC7883">
        <w:rPr>
          <w:rFonts w:ascii="Times New Roman" w:eastAsia="Times New Roman" w:hAnsi="Times New Roman" w:cs="Times New Roman"/>
          <w:color w:val="000000" w:themeColor="text1"/>
          <w:sz w:val="28"/>
          <w:szCs w:val="28"/>
        </w:rPr>
        <w:t>, ам</w:t>
      </w:r>
      <w:r w:rsidR="004048D3">
        <w:rPr>
          <w:rFonts w:ascii="Times New Roman" w:eastAsia="Times New Roman" w:hAnsi="Times New Roman" w:cs="Times New Roman"/>
          <w:color w:val="000000" w:themeColor="text1"/>
          <w:sz w:val="28"/>
          <w:szCs w:val="28"/>
        </w:rPr>
        <w:t>і</w:t>
      </w:r>
      <w:r w:rsidRPr="00CC7883">
        <w:rPr>
          <w:rFonts w:ascii="Times New Roman" w:eastAsia="Times New Roman" w:hAnsi="Times New Roman" w:cs="Times New Roman"/>
          <w:color w:val="000000" w:themeColor="text1"/>
          <w:sz w:val="28"/>
          <w:szCs w:val="28"/>
        </w:rPr>
        <w:t xml:space="preserve">нокислот, а </w:t>
      </w:r>
      <w:r w:rsidR="00C6296F" w:rsidRPr="00CC7883">
        <w:rPr>
          <w:rFonts w:ascii="Times New Roman" w:eastAsia="Times New Roman" w:hAnsi="Times New Roman" w:cs="Times New Roman"/>
          <w:color w:val="000000" w:themeColor="text1"/>
          <w:sz w:val="28"/>
          <w:szCs w:val="28"/>
        </w:rPr>
        <w:t>к</w:t>
      </w:r>
      <w:r w:rsidR="00C6296F">
        <w:rPr>
          <w:rFonts w:ascii="Times New Roman" w:eastAsia="Times New Roman" w:hAnsi="Times New Roman" w:cs="Times New Roman"/>
          <w:color w:val="000000" w:themeColor="text1"/>
          <w:sz w:val="28"/>
          <w:szCs w:val="28"/>
        </w:rPr>
        <w:t>і</w:t>
      </w:r>
      <w:r w:rsidR="00C6296F" w:rsidRPr="00CC7883">
        <w:rPr>
          <w:rFonts w:ascii="Times New Roman" w:eastAsia="Times New Roman" w:hAnsi="Times New Roman" w:cs="Times New Roman"/>
          <w:color w:val="000000" w:themeColor="text1"/>
          <w:sz w:val="28"/>
          <w:szCs w:val="28"/>
        </w:rPr>
        <w:t>льк</w:t>
      </w:r>
      <w:r w:rsidR="00C6296F">
        <w:rPr>
          <w:rFonts w:ascii="Times New Roman" w:eastAsia="Times New Roman" w:hAnsi="Times New Roman" w:cs="Times New Roman"/>
          <w:color w:val="000000" w:themeColor="text1"/>
          <w:sz w:val="28"/>
          <w:szCs w:val="28"/>
        </w:rPr>
        <w:t>і</w:t>
      </w:r>
      <w:r w:rsidR="00C6296F" w:rsidRPr="00CC7883">
        <w:rPr>
          <w:rFonts w:ascii="Times New Roman" w:eastAsia="Times New Roman" w:hAnsi="Times New Roman" w:cs="Times New Roman"/>
          <w:color w:val="000000" w:themeColor="text1"/>
          <w:sz w:val="28"/>
          <w:szCs w:val="28"/>
        </w:rPr>
        <w:t>сть</w:t>
      </w:r>
      <w:r w:rsidRPr="00CC7883">
        <w:rPr>
          <w:rFonts w:ascii="Times New Roman" w:eastAsia="Times New Roman" w:hAnsi="Times New Roman" w:cs="Times New Roman"/>
          <w:color w:val="000000" w:themeColor="text1"/>
          <w:sz w:val="28"/>
          <w:szCs w:val="28"/>
        </w:rPr>
        <w:t xml:space="preserve"> макросолей зменшували до </w:t>
      </w:r>
      <w:r w:rsidR="004963F6" w:rsidRPr="00CC7883">
        <w:rPr>
          <w:rFonts w:ascii="Times New Roman" w:eastAsia="Times New Roman" w:hAnsi="Times New Roman" w:cs="Times New Roman"/>
          <w:color w:val="000000" w:themeColor="text1"/>
          <w:sz w:val="28"/>
          <w:szCs w:val="28"/>
        </w:rPr>
        <w:t>½</w:t>
      </w:r>
      <w:r w:rsidRPr="00CC7883">
        <w:rPr>
          <w:rFonts w:ascii="Times New Roman" w:eastAsia="Times New Roman" w:hAnsi="Times New Roman" w:cs="Times New Roman"/>
          <w:color w:val="000000" w:themeColor="text1"/>
          <w:sz w:val="28"/>
          <w:szCs w:val="28"/>
        </w:rPr>
        <w:t xml:space="preserve"> та </w:t>
      </w:r>
      <w:r w:rsidR="004963F6" w:rsidRPr="00CC7883">
        <w:rPr>
          <w:rFonts w:ascii="Times New Roman" w:eastAsia="Times New Roman" w:hAnsi="Times New Roman" w:cs="Times New Roman"/>
          <w:color w:val="000000" w:themeColor="text1"/>
          <w:sz w:val="28"/>
          <w:szCs w:val="28"/>
        </w:rPr>
        <w:t>⅓</w:t>
      </w:r>
      <w:r w:rsidRPr="00CC7883">
        <w:rPr>
          <w:rFonts w:ascii="Times New Roman" w:eastAsia="Times New Roman" w:hAnsi="Times New Roman" w:cs="Times New Roman"/>
          <w:color w:val="000000" w:themeColor="text1"/>
          <w:sz w:val="28"/>
          <w:szCs w:val="28"/>
        </w:rPr>
        <w:t xml:space="preserve"> відносно пропису.</w:t>
      </w:r>
      <w:r w:rsidR="008B5203"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Це </w:t>
      </w:r>
      <w:r w:rsidR="000852FF">
        <w:rPr>
          <w:rFonts w:ascii="Times New Roman" w:eastAsia="Times New Roman" w:hAnsi="Times New Roman" w:cs="Times New Roman"/>
          <w:color w:val="000000" w:themeColor="text1"/>
          <w:sz w:val="28"/>
          <w:szCs w:val="28"/>
        </w:rPr>
        <w:t>дало змогу</w:t>
      </w:r>
      <w:r w:rsidRPr="00CC7883">
        <w:rPr>
          <w:rFonts w:ascii="Times New Roman" w:eastAsia="Times New Roman" w:hAnsi="Times New Roman" w:cs="Times New Roman"/>
          <w:color w:val="000000" w:themeColor="text1"/>
          <w:sz w:val="28"/>
          <w:szCs w:val="28"/>
        </w:rPr>
        <w:t xml:space="preserve"> знизити вартість середовища, уникнути вітрифікації рослин, актив</w:t>
      </w:r>
      <w:r w:rsidR="004048D3">
        <w:rPr>
          <w:rFonts w:ascii="Times New Roman" w:eastAsia="Times New Roman" w:hAnsi="Times New Roman" w:cs="Times New Roman"/>
          <w:color w:val="000000" w:themeColor="text1"/>
          <w:sz w:val="28"/>
          <w:szCs w:val="28"/>
        </w:rPr>
        <w:t>і</w:t>
      </w:r>
      <w:r w:rsidRPr="00CC7883">
        <w:rPr>
          <w:rFonts w:ascii="Times New Roman" w:eastAsia="Times New Roman" w:hAnsi="Times New Roman" w:cs="Times New Roman"/>
          <w:color w:val="000000" w:themeColor="text1"/>
          <w:sz w:val="28"/>
          <w:szCs w:val="28"/>
        </w:rPr>
        <w:t xml:space="preserve">зувати морфогенез винограду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color w:val="000000" w:themeColor="text1"/>
          <w:sz w:val="28"/>
          <w:szCs w:val="28"/>
        </w:rPr>
        <w:t xml:space="preserve"> [</w:t>
      </w:r>
      <w:r w:rsidR="00171E6A" w:rsidRPr="00CC7883">
        <w:rPr>
          <w:rFonts w:ascii="Times New Roman" w:eastAsia="Times New Roman" w:hAnsi="Times New Roman" w:cs="Times New Roman"/>
          <w:color w:val="000000" w:themeColor="text1"/>
          <w:sz w:val="28"/>
          <w:szCs w:val="28"/>
        </w:rPr>
        <w:t>69</w:t>
      </w:r>
      <w:r w:rsidR="00F44ECE" w:rsidRPr="00C634FF">
        <w:rPr>
          <w:rFonts w:ascii="Times New Roman" w:eastAsia="Times New Roman" w:hAnsi="Times New Roman" w:cs="Times New Roman"/>
          <w:color w:val="000000" w:themeColor="text1"/>
          <w:sz w:val="28"/>
          <w:szCs w:val="28"/>
          <w:lang w:val="ru-RU"/>
        </w:rPr>
        <w:t>,</w:t>
      </w:r>
      <w:r w:rsidR="00171E6A" w:rsidRPr="00CC7883">
        <w:rPr>
          <w:rFonts w:ascii="Times New Roman" w:eastAsia="Times New Roman" w:hAnsi="Times New Roman" w:cs="Times New Roman"/>
          <w:color w:val="000000" w:themeColor="text1"/>
          <w:sz w:val="28"/>
          <w:szCs w:val="28"/>
        </w:rPr>
        <w:t xml:space="preserve"> 60</w:t>
      </w:r>
      <w:r w:rsidR="00F44ECE" w:rsidRPr="00C634FF">
        <w:rPr>
          <w:rFonts w:ascii="Times New Roman" w:eastAsia="Times New Roman" w:hAnsi="Times New Roman" w:cs="Times New Roman"/>
          <w:color w:val="000000" w:themeColor="text1"/>
          <w:sz w:val="28"/>
          <w:szCs w:val="28"/>
          <w:lang w:val="ru-RU"/>
        </w:rPr>
        <w:t>,</w:t>
      </w:r>
      <w:r w:rsidR="00171E6A" w:rsidRPr="00CC7883">
        <w:rPr>
          <w:rFonts w:ascii="Times New Roman" w:eastAsia="Times New Roman" w:hAnsi="Times New Roman" w:cs="Times New Roman"/>
          <w:color w:val="000000" w:themeColor="text1"/>
          <w:sz w:val="28"/>
          <w:szCs w:val="28"/>
        </w:rPr>
        <w:t xml:space="preserve"> 62</w:t>
      </w:r>
      <w:r w:rsidR="00F44ECE" w:rsidRPr="00C634FF">
        <w:rPr>
          <w:rFonts w:ascii="Times New Roman" w:eastAsia="Times New Roman" w:hAnsi="Times New Roman" w:cs="Times New Roman"/>
          <w:color w:val="000000" w:themeColor="text1"/>
          <w:sz w:val="28"/>
          <w:szCs w:val="28"/>
          <w:lang w:val="ru-RU"/>
        </w:rPr>
        <w:t>,</w:t>
      </w:r>
      <w:r w:rsidR="00171E6A" w:rsidRPr="00CC7883">
        <w:rPr>
          <w:rFonts w:ascii="Times New Roman" w:eastAsia="Times New Roman" w:hAnsi="Times New Roman" w:cs="Times New Roman"/>
          <w:color w:val="000000" w:themeColor="text1"/>
          <w:sz w:val="28"/>
          <w:szCs w:val="28"/>
        </w:rPr>
        <w:t xml:space="preserve"> 61</w:t>
      </w:r>
      <w:r w:rsidR="00F44ECE" w:rsidRPr="00C634FF">
        <w:rPr>
          <w:rFonts w:ascii="Times New Roman" w:eastAsia="Times New Roman" w:hAnsi="Times New Roman" w:cs="Times New Roman"/>
          <w:color w:val="000000" w:themeColor="text1"/>
          <w:sz w:val="28"/>
          <w:szCs w:val="28"/>
          <w:lang w:val="ru-RU"/>
        </w:rPr>
        <w:t>,</w:t>
      </w:r>
      <w:r w:rsidR="00C15357">
        <w:rPr>
          <w:rFonts w:ascii="Times New Roman" w:eastAsia="Times New Roman" w:hAnsi="Times New Roman" w:cs="Times New Roman"/>
          <w:color w:val="000000" w:themeColor="text1"/>
          <w:sz w:val="28"/>
          <w:szCs w:val="28"/>
        </w:rPr>
        <w:t xml:space="preserve"> </w:t>
      </w:r>
      <w:r w:rsidR="00171E6A" w:rsidRPr="00CC7883">
        <w:rPr>
          <w:rFonts w:ascii="Times New Roman" w:eastAsia="Times New Roman" w:hAnsi="Times New Roman" w:cs="Times New Roman"/>
          <w:color w:val="000000" w:themeColor="text1"/>
          <w:sz w:val="28"/>
          <w:szCs w:val="28"/>
        </w:rPr>
        <w:t>17</w:t>
      </w:r>
      <w:r w:rsidRPr="00CC7883">
        <w:rPr>
          <w:rFonts w:ascii="Times New Roman" w:eastAsia="Times New Roman" w:hAnsi="Times New Roman" w:cs="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rPr>
        <w:t>Так, у роботі Н. М. Зеленянської та ін., Н. І. Теслюк встановлено, що середовища з кукурудзяним крохмалем сприяли збільшенню висоти мікроклонів до 6,5 см, що на 4,5 см перевищувало показники агарового середовища. Середовища з картопляним та пшеничним крохмалем забезпечували приріст до 4,9 см, що на 3,2 см більше порівняно з агаровим середовищем [</w:t>
      </w:r>
      <w:r w:rsidR="00171E6A" w:rsidRPr="00CC7883">
        <w:rPr>
          <w:rFonts w:ascii="Times New Roman" w:eastAsia="NSimSun" w:hAnsi="Times New Roman" w:cs="Times New Roman"/>
          <w:color w:val="000000" w:themeColor="text1"/>
          <w:kern w:val="3"/>
          <w:sz w:val="28"/>
          <w:szCs w:val="28"/>
        </w:rPr>
        <w:t>60</w:t>
      </w:r>
      <w:r w:rsidR="00F44ECE" w:rsidRPr="00C634FF">
        <w:rPr>
          <w:rFonts w:ascii="Times New Roman" w:eastAsia="NSimSun" w:hAnsi="Times New Roman" w:cs="Times New Roman"/>
          <w:color w:val="000000" w:themeColor="text1"/>
          <w:kern w:val="3"/>
          <w:sz w:val="28"/>
          <w:szCs w:val="28"/>
          <w:lang w:val="ru-RU"/>
        </w:rPr>
        <w:t>,</w:t>
      </w:r>
      <w:r w:rsidRPr="00CC7883">
        <w:rPr>
          <w:rFonts w:ascii="Times New Roman" w:eastAsia="NSimSun" w:hAnsi="Times New Roman" w:cs="Times New Roman"/>
          <w:color w:val="000000" w:themeColor="text1"/>
          <w:kern w:val="3"/>
          <w:sz w:val="28"/>
          <w:szCs w:val="28"/>
        </w:rPr>
        <w:t xml:space="preserve"> </w:t>
      </w:r>
      <w:r w:rsidR="00171E6A" w:rsidRPr="00CC7883">
        <w:rPr>
          <w:rFonts w:ascii="Times New Roman" w:eastAsia="NSimSun" w:hAnsi="Times New Roman" w:cs="Times New Roman"/>
          <w:color w:val="000000" w:themeColor="text1"/>
          <w:kern w:val="3"/>
          <w:sz w:val="28"/>
          <w:szCs w:val="28"/>
        </w:rPr>
        <w:t>61</w:t>
      </w:r>
      <w:r w:rsidR="00F44ECE" w:rsidRPr="00C634FF">
        <w:rPr>
          <w:rFonts w:ascii="Times New Roman" w:eastAsia="NSimSun" w:hAnsi="Times New Roman" w:cs="Times New Roman"/>
          <w:color w:val="000000" w:themeColor="text1"/>
          <w:kern w:val="3"/>
          <w:sz w:val="28"/>
          <w:szCs w:val="28"/>
          <w:lang w:val="ru-RU"/>
        </w:rPr>
        <w:t>,</w:t>
      </w:r>
      <w:r w:rsidRPr="00CC7883">
        <w:rPr>
          <w:rFonts w:ascii="Times New Roman" w:eastAsia="NSimSun" w:hAnsi="Times New Roman" w:cs="Times New Roman"/>
          <w:color w:val="000000" w:themeColor="text1"/>
          <w:kern w:val="3"/>
          <w:sz w:val="28"/>
          <w:szCs w:val="28"/>
        </w:rPr>
        <w:t xml:space="preserve"> 1</w:t>
      </w:r>
      <w:r w:rsidR="00171E6A" w:rsidRPr="00CC7883">
        <w:rPr>
          <w:rFonts w:ascii="Times New Roman" w:eastAsia="NSimSun" w:hAnsi="Times New Roman" w:cs="Times New Roman"/>
          <w:color w:val="000000" w:themeColor="text1"/>
          <w:kern w:val="3"/>
          <w:sz w:val="28"/>
          <w:szCs w:val="28"/>
        </w:rPr>
        <w:t>8</w:t>
      </w:r>
      <w:r w:rsidRPr="00CC7883">
        <w:rPr>
          <w:rFonts w:ascii="Times New Roman" w:eastAsia="NSimSun" w:hAnsi="Times New Roman" w:cs="Times New Roman"/>
          <w:color w:val="000000" w:themeColor="text1"/>
          <w:kern w:val="3"/>
          <w:sz w:val="28"/>
          <w:szCs w:val="28"/>
        </w:rPr>
        <w:t xml:space="preserve">]. </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Черевата Т. М. у ході дослідження встановила, що спектральний склад світла істотно впливає на біометричні показники росту винограду в культурі </w:t>
      </w:r>
      <w:r w:rsidRPr="00CC7883">
        <w:rPr>
          <w:rFonts w:ascii="Times New Roman" w:eastAsia="NSimSun" w:hAnsi="Times New Roman" w:cs="Times New Roman"/>
          <w:i/>
          <w:color w:val="000000" w:themeColor="text1"/>
          <w:kern w:val="3"/>
          <w:sz w:val="28"/>
          <w:szCs w:val="28"/>
        </w:rPr>
        <w:t>in</w:t>
      </w:r>
      <w:r w:rsidR="008B5203" w:rsidRPr="00CC7883">
        <w:rPr>
          <w:rFonts w:ascii="Times New Roman" w:eastAsia="NSimSun" w:hAnsi="Times New Roman" w:cs="Times New Roman"/>
          <w:i/>
          <w:color w:val="000000" w:themeColor="text1"/>
          <w:kern w:val="3"/>
          <w:sz w:val="28"/>
          <w:szCs w:val="28"/>
        </w:rPr>
        <w:t> </w:t>
      </w:r>
      <w:r w:rsidRPr="00CC7883">
        <w:rPr>
          <w:rFonts w:ascii="Times New Roman" w:eastAsia="NSimSun" w:hAnsi="Times New Roman" w:cs="Times New Roman"/>
          <w:i/>
          <w:color w:val="000000" w:themeColor="text1"/>
          <w:kern w:val="3"/>
          <w:sz w:val="28"/>
          <w:szCs w:val="28"/>
        </w:rPr>
        <w:t>vitro</w:t>
      </w:r>
      <w:r w:rsidRPr="00CC7883">
        <w:rPr>
          <w:rFonts w:ascii="Times New Roman" w:eastAsia="NSimSun" w:hAnsi="Times New Roman" w:cs="Times New Roman"/>
          <w:color w:val="000000" w:themeColor="text1"/>
          <w:kern w:val="3"/>
          <w:sz w:val="28"/>
          <w:szCs w:val="28"/>
        </w:rPr>
        <w:t>. Використання фітоламп зі збалансованим поєднанням синього та червоного спектрів світла сприяло інтенсифікації морфогенезу та збільшенню довжини пагонів. За освітлення фітолампами ЛР-12,5 (12,5 % синього і 87,5</w:t>
      </w:r>
      <w:r w:rsidR="004B7F24">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 червоного спектру) висота мікроклонів через 30 діб культивування становила 10,8–11,6 см, що на 3,3 см перевищувало контроль (ЛБ-36), а також відзначалось збільшення кількості вузлів на пагоні (1,2–1,4 шт.). Використання фітоламп ЛР-25 (25 % синього, 75 % червоного) навпаки уповільнювало морфогенез і зменшувало приріст. На етапі адаптації </w:t>
      </w:r>
      <w:r w:rsidRPr="00CC7883">
        <w:rPr>
          <w:rFonts w:ascii="Times New Roman" w:eastAsia="NSimSun" w:hAnsi="Times New Roman" w:cs="Times New Roman"/>
          <w:color w:val="000000" w:themeColor="text1"/>
          <w:kern w:val="3"/>
          <w:sz w:val="28"/>
          <w:szCs w:val="28"/>
        </w:rPr>
        <w:lastRenderedPageBreak/>
        <w:t xml:space="preserve">застосування ЛР-12,5 забезпечувало найвищу приживлюваність мікроклонів (86,0–90,0 %) при 78,0–80,0 % у контролі </w:t>
      </w:r>
      <w:r w:rsidR="00171E6A" w:rsidRPr="00CC7883">
        <w:rPr>
          <w:rFonts w:ascii="Times New Roman" w:eastAsia="NSimSun" w:hAnsi="Times New Roman" w:cs="Times New Roman"/>
          <w:color w:val="000000" w:themeColor="text1"/>
          <w:kern w:val="3"/>
          <w:sz w:val="28"/>
          <w:szCs w:val="28"/>
        </w:rPr>
        <w:t>[69</w:t>
      </w:r>
      <w:r w:rsidRPr="00CC7883">
        <w:rPr>
          <w:rFonts w:ascii="Times New Roman" w:eastAsia="NSimSun" w:hAnsi="Times New Roman" w:cs="Times New Roman"/>
          <w:color w:val="000000" w:themeColor="text1"/>
          <w:kern w:val="3"/>
          <w:sz w:val="28"/>
          <w:szCs w:val="28"/>
        </w:rPr>
        <w:t>].</w:t>
      </w:r>
    </w:p>
    <w:p w:rsidR="00E44287" w:rsidRPr="00CC7883" w:rsidRDefault="00E44287"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p>
    <w:p w:rsidR="00B01A54" w:rsidRPr="00CC7883" w:rsidRDefault="00B01A54" w:rsidP="00047411">
      <w:pPr>
        <w:pStyle w:val="a7"/>
        <w:widowControl w:val="0"/>
        <w:numPr>
          <w:ilvl w:val="1"/>
          <w:numId w:val="12"/>
        </w:numPr>
        <w:spacing w:after="0" w:line="360" w:lineRule="auto"/>
        <w:ind w:left="0" w:firstLine="720"/>
        <w:jc w:val="both"/>
        <w:outlineLvl w:val="1"/>
        <w:rPr>
          <w:rFonts w:ascii="Times New Roman" w:eastAsia="Times New Roman" w:hAnsi="Times New Roman" w:cs="Times New Roman"/>
          <w:color w:val="000000" w:themeColor="text1"/>
          <w:sz w:val="28"/>
          <w:szCs w:val="28"/>
        </w:rPr>
      </w:pPr>
      <w:bookmarkStart w:id="10" w:name="_Hlk217736173"/>
      <w:bookmarkStart w:id="11" w:name="_Toc220058918"/>
      <w:r w:rsidRPr="00CC7883">
        <w:rPr>
          <w:rFonts w:ascii="Times New Roman" w:eastAsia="Times New Roman" w:hAnsi="Times New Roman" w:cs="Times New Roman"/>
          <w:b/>
          <w:iCs/>
          <w:color w:val="000000" w:themeColor="text1"/>
          <w:sz w:val="28"/>
          <w:szCs w:val="28"/>
        </w:rPr>
        <w:t>Укорінення (ризогенез) ініціальних експлантів та формування кореневої системи мікроклонів</w:t>
      </w:r>
      <w:bookmarkEnd w:id="10"/>
      <w:bookmarkEnd w:id="11"/>
    </w:p>
    <w:p w:rsidR="00B01A54" w:rsidRPr="00CC7883" w:rsidRDefault="00B01A54"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rPr>
      </w:pPr>
    </w:p>
    <w:p w:rsidR="00B01A54" w:rsidRPr="00CC7883" w:rsidRDefault="00B01A54" w:rsidP="00047411">
      <w:pPr>
        <w:widowControl w:val="0"/>
        <w:autoSpaceDN w:val="0"/>
        <w:spacing w:after="0" w:line="360" w:lineRule="auto"/>
        <w:ind w:firstLine="708"/>
        <w:contextualSpacing/>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Times New Roman" w:hAnsi="Times New Roman" w:cs="Times New Roman"/>
          <w:color w:val="000000" w:themeColor="text1"/>
          <w:sz w:val="28"/>
          <w:szCs w:val="28"/>
        </w:rPr>
        <w:t>Цей етап передбачає індукцію кореневих зачатків та формування добре розвиненої кореневої системи мікроклональних рослин.</w:t>
      </w:r>
      <w:r w:rsidR="0097741D" w:rsidRPr="00CC7883">
        <w:rPr>
          <w:rFonts w:ascii="Times New Roman" w:eastAsia="Times New Roman" w:hAnsi="Times New Roman" w:cs="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rPr>
        <w:t>Довжина та кількість коренів є важливими показниками, що визначають здатність рослини ефективно вбирати воду та поживні речовини. Більша кількість коренів забезпечує ефективне всмоктування поживних речовин і води, а також краще закріплення в ґрунті чи поживних субстратах. Маса коренів вказує на їх загальну міцність та накопичення сухих речовин.</w:t>
      </w:r>
    </w:p>
    <w:p w:rsidR="00B01A54" w:rsidRPr="00CC7883" w:rsidRDefault="00B01A54"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 Щоб прискорити цей процес, науковці та практик</w:t>
      </w:r>
      <w:r w:rsidR="00A458DC">
        <w:rPr>
          <w:rFonts w:ascii="Times New Roman" w:eastAsia="Times New Roman" w:hAnsi="Times New Roman" w:cs="Times New Roman"/>
          <w:color w:val="000000" w:themeColor="text1"/>
          <w:sz w:val="28"/>
          <w:szCs w:val="28"/>
        </w:rPr>
        <w:t>и</w:t>
      </w:r>
      <w:r w:rsidRPr="00CC7883">
        <w:rPr>
          <w:rFonts w:ascii="Times New Roman" w:eastAsia="Times New Roman" w:hAnsi="Times New Roman" w:cs="Times New Roman"/>
          <w:color w:val="000000" w:themeColor="text1"/>
          <w:sz w:val="28"/>
          <w:szCs w:val="28"/>
        </w:rPr>
        <w:t xml:space="preserve"> рекомендують додавати до поживного середовища фітогормони. Позитивний результат щодо укорінення було отримано для живців лядвенцю рогатого (</w:t>
      </w:r>
      <w:r w:rsidRPr="00CC7883">
        <w:rPr>
          <w:rFonts w:ascii="Times New Roman" w:eastAsia="Times New Roman" w:hAnsi="Times New Roman" w:cs="Times New Roman"/>
          <w:i/>
          <w:color w:val="000000" w:themeColor="text1"/>
          <w:sz w:val="28"/>
          <w:szCs w:val="28"/>
        </w:rPr>
        <w:t>Lotus corniculatus</w:t>
      </w:r>
      <w:r w:rsidRPr="00CC7883">
        <w:rPr>
          <w:rFonts w:ascii="Times New Roman" w:eastAsia="Times New Roman" w:hAnsi="Times New Roman" w:cs="Times New Roman"/>
          <w:color w:val="000000" w:themeColor="text1"/>
          <w:sz w:val="28"/>
          <w:szCs w:val="28"/>
        </w:rPr>
        <w:t xml:space="preserve"> L.), кокосової пальми (</w:t>
      </w:r>
      <w:r w:rsidRPr="00CC7883">
        <w:rPr>
          <w:rFonts w:ascii="Times New Roman" w:eastAsia="Times New Roman" w:hAnsi="Times New Roman" w:cs="Times New Roman"/>
          <w:i/>
          <w:color w:val="000000" w:themeColor="text1"/>
          <w:sz w:val="28"/>
          <w:szCs w:val="28"/>
        </w:rPr>
        <w:t>Cocos nucifera</w:t>
      </w:r>
      <w:r w:rsidR="00CA7BF0"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color w:val="000000" w:themeColor="text1"/>
          <w:sz w:val="28"/>
          <w:szCs w:val="28"/>
        </w:rPr>
        <w:t>L.), гвизоції аб</w:t>
      </w:r>
      <w:r w:rsidR="00E1738D">
        <w:rPr>
          <w:rFonts w:ascii="Times New Roman" w:eastAsia="Times New Roman" w:hAnsi="Times New Roman" w:cs="Times New Roman"/>
          <w:color w:val="000000" w:themeColor="text1"/>
          <w:sz w:val="28"/>
          <w:szCs w:val="28"/>
        </w:rPr>
        <w:t>і</w:t>
      </w:r>
      <w:r w:rsidRPr="00CC7883">
        <w:rPr>
          <w:rFonts w:ascii="Times New Roman" w:eastAsia="Times New Roman" w:hAnsi="Times New Roman" w:cs="Times New Roman"/>
          <w:color w:val="000000" w:themeColor="text1"/>
          <w:sz w:val="28"/>
          <w:szCs w:val="28"/>
        </w:rPr>
        <w:t>ссинської (</w:t>
      </w:r>
      <w:r w:rsidRPr="00CC7883">
        <w:rPr>
          <w:rFonts w:ascii="Times New Roman" w:eastAsia="Times New Roman" w:hAnsi="Times New Roman" w:cs="Times New Roman"/>
          <w:i/>
          <w:color w:val="000000" w:themeColor="text1"/>
          <w:sz w:val="28"/>
          <w:szCs w:val="28"/>
        </w:rPr>
        <w:t>Guizotia abyssinica</w:t>
      </w:r>
      <w:r w:rsidRPr="00CC7883">
        <w:rPr>
          <w:rFonts w:ascii="Times New Roman" w:eastAsia="Times New Roman" w:hAnsi="Times New Roman" w:cs="Times New Roman"/>
          <w:color w:val="000000" w:themeColor="text1"/>
          <w:sz w:val="28"/>
          <w:szCs w:val="28"/>
        </w:rPr>
        <w:t xml:space="preserve"> Cass.) після додавання до поживного середовища гіберелінів [19</w:t>
      </w:r>
      <w:r w:rsidR="005612C3" w:rsidRPr="00CC7883">
        <w:rPr>
          <w:rFonts w:ascii="Times New Roman" w:eastAsia="Times New Roman" w:hAnsi="Times New Roman" w:cs="Times New Roman"/>
          <w:color w:val="000000" w:themeColor="text1"/>
          <w:sz w:val="28"/>
          <w:szCs w:val="28"/>
        </w:rPr>
        <w:t>3</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8</w:t>
      </w:r>
      <w:r w:rsidR="00171E6A" w:rsidRPr="00CC7883">
        <w:rPr>
          <w:rFonts w:ascii="Times New Roman" w:eastAsia="Times New Roman" w:hAnsi="Times New Roman" w:cs="Times New Roman"/>
          <w:color w:val="000000" w:themeColor="text1"/>
          <w:sz w:val="28"/>
          <w:szCs w:val="28"/>
        </w:rPr>
        <w:t>6</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14</w:t>
      </w:r>
      <w:r w:rsidR="00171E6A" w:rsidRPr="00CC7883">
        <w:rPr>
          <w:rFonts w:ascii="Times New Roman" w:eastAsia="Times New Roman" w:hAnsi="Times New Roman" w:cs="Times New Roman"/>
          <w:color w:val="000000" w:themeColor="text1"/>
          <w:sz w:val="28"/>
          <w:szCs w:val="28"/>
        </w:rPr>
        <w:t>1</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11</w:t>
      </w:r>
      <w:r w:rsidR="00171E6A" w:rsidRPr="00CC7883">
        <w:rPr>
          <w:rFonts w:ascii="Times New Roman" w:eastAsia="Times New Roman" w:hAnsi="Times New Roman" w:cs="Times New Roman"/>
          <w:color w:val="000000" w:themeColor="text1"/>
          <w:sz w:val="28"/>
          <w:szCs w:val="28"/>
        </w:rPr>
        <w:t>1</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18</w:t>
      </w:r>
      <w:r w:rsidR="005612C3" w:rsidRPr="00CC7883">
        <w:rPr>
          <w:rFonts w:ascii="Times New Roman" w:eastAsia="Times New Roman" w:hAnsi="Times New Roman" w:cs="Times New Roman"/>
          <w:color w:val="000000" w:themeColor="text1"/>
          <w:sz w:val="28"/>
          <w:szCs w:val="28"/>
        </w:rPr>
        <w:t>1</w:t>
      </w:r>
      <w:r w:rsidRPr="00CC7883">
        <w:rPr>
          <w:rFonts w:ascii="Times New Roman" w:eastAsia="Times New Roman" w:hAnsi="Times New Roman" w:cs="Times New Roman"/>
          <w:color w:val="000000" w:themeColor="text1"/>
          <w:sz w:val="28"/>
          <w:szCs w:val="28"/>
        </w:rPr>
        <w:t xml:space="preserve">] та для живців </w:t>
      </w:r>
      <w:r w:rsidRPr="00CC7883">
        <w:rPr>
          <w:rFonts w:ascii="Times New Roman" w:eastAsia="Times New Roman" w:hAnsi="Times New Roman" w:cs="Times New Roman"/>
          <w:bCs/>
          <w:color w:val="000000" w:themeColor="text1"/>
          <w:sz w:val="28"/>
          <w:szCs w:val="28"/>
        </w:rPr>
        <w:t>агапантусу раннього (</w:t>
      </w:r>
      <w:r w:rsidRPr="00CC7883">
        <w:rPr>
          <w:rFonts w:ascii="Times New Roman" w:eastAsia="Times New Roman" w:hAnsi="Times New Roman" w:cs="Times New Roman"/>
          <w:bCs/>
          <w:i/>
          <w:color w:val="000000" w:themeColor="text1"/>
          <w:sz w:val="28"/>
          <w:szCs w:val="28"/>
        </w:rPr>
        <w:t>Agapanthus praecox</w:t>
      </w:r>
      <w:r w:rsidRPr="00CC7883">
        <w:rPr>
          <w:rFonts w:ascii="Times New Roman" w:eastAsia="Times New Roman" w:hAnsi="Times New Roman" w:cs="Times New Roman"/>
          <w:bCs/>
          <w:color w:val="000000" w:themeColor="text1"/>
          <w:sz w:val="28"/>
          <w:szCs w:val="28"/>
        </w:rPr>
        <w:t xml:space="preserve"> Willd.), яблуні домашньої (</w:t>
      </w:r>
      <w:r w:rsidRPr="00CC7883">
        <w:rPr>
          <w:rFonts w:ascii="Times New Roman" w:eastAsia="Times New Roman" w:hAnsi="Times New Roman" w:cs="Times New Roman"/>
          <w:bCs/>
          <w:i/>
          <w:color w:val="000000" w:themeColor="text1"/>
          <w:sz w:val="28"/>
          <w:szCs w:val="28"/>
        </w:rPr>
        <w:t>Malus</w:t>
      </w:r>
      <w:r w:rsidR="00CA7BF0" w:rsidRPr="00CC7883">
        <w:rPr>
          <w:rFonts w:ascii="Times New Roman" w:eastAsia="Times New Roman" w:hAnsi="Times New Roman" w:cs="Times New Roman"/>
          <w:bCs/>
          <w:i/>
          <w:color w:val="000000" w:themeColor="text1"/>
          <w:sz w:val="28"/>
          <w:szCs w:val="28"/>
        </w:rPr>
        <w:t xml:space="preserve"> </w:t>
      </w:r>
      <w:r w:rsidRPr="00CC7883">
        <w:rPr>
          <w:rFonts w:ascii="Times New Roman" w:eastAsia="Times New Roman" w:hAnsi="Times New Roman" w:cs="Times New Roman"/>
          <w:bCs/>
          <w:i/>
          <w:color w:val="000000" w:themeColor="text1"/>
          <w:sz w:val="28"/>
          <w:szCs w:val="28"/>
        </w:rPr>
        <w:t>domestica</w:t>
      </w:r>
      <w:r w:rsidR="00CA7BF0" w:rsidRPr="00CC7883">
        <w:rPr>
          <w:rFonts w:ascii="Times New Roman" w:eastAsia="Times New Roman" w:hAnsi="Times New Roman" w:cs="Times New Roman"/>
          <w:bCs/>
          <w:i/>
          <w:color w:val="000000" w:themeColor="text1"/>
          <w:sz w:val="28"/>
          <w:szCs w:val="28"/>
        </w:rPr>
        <w:t xml:space="preserve"> </w:t>
      </w:r>
      <w:r w:rsidRPr="00CC7883">
        <w:rPr>
          <w:rFonts w:ascii="Times New Roman" w:eastAsia="Times New Roman" w:hAnsi="Times New Roman" w:cs="Times New Roman"/>
          <w:bCs/>
          <w:color w:val="000000" w:themeColor="text1"/>
          <w:sz w:val="28"/>
          <w:szCs w:val="28"/>
        </w:rPr>
        <w:t xml:space="preserve">L.) </w:t>
      </w:r>
      <w:r w:rsidRPr="00CC7883">
        <w:rPr>
          <w:rFonts w:ascii="Times New Roman" w:eastAsia="Times New Roman" w:hAnsi="Times New Roman" w:cs="Times New Roman"/>
          <w:color w:val="000000" w:themeColor="text1"/>
          <w:sz w:val="28"/>
          <w:szCs w:val="28"/>
        </w:rPr>
        <w:t>після додавання до поживного середовища цитокінінів [23</w:t>
      </w:r>
      <w:r w:rsidR="009E747E" w:rsidRPr="00CC7883">
        <w:rPr>
          <w:rFonts w:ascii="Times New Roman" w:eastAsia="Times New Roman" w:hAnsi="Times New Roman" w:cs="Times New Roman"/>
          <w:color w:val="000000" w:themeColor="text1"/>
          <w:sz w:val="28"/>
          <w:szCs w:val="28"/>
        </w:rPr>
        <w:t>4</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26</w:t>
      </w:r>
      <w:r w:rsidR="009E747E" w:rsidRPr="00CC7883">
        <w:rPr>
          <w:rFonts w:ascii="Times New Roman" w:eastAsia="Times New Roman" w:hAnsi="Times New Roman" w:cs="Times New Roman"/>
          <w:color w:val="000000" w:themeColor="text1"/>
          <w:sz w:val="28"/>
          <w:szCs w:val="28"/>
        </w:rPr>
        <w:t>1</w:t>
      </w:r>
      <w:r w:rsidRPr="00CC7883">
        <w:rPr>
          <w:rFonts w:ascii="Times New Roman" w:eastAsia="Times New Roman" w:hAnsi="Times New Roman" w:cs="Times New Roman"/>
          <w:color w:val="000000" w:themeColor="text1"/>
          <w:sz w:val="28"/>
          <w:szCs w:val="28"/>
        </w:rPr>
        <w:t>]. Зокрема, García-Ramírez Y. і Sevik H. та Arab</w:t>
      </w:r>
      <w:r w:rsidR="001563C7">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M. M. у своїх дослідженнях порівнювали вплив різних ауксинів – ІОК, α-НОК та ІМК, які входили до складу поживного середовища MS, на активність ризогенезу меліси лікарської (</w:t>
      </w:r>
      <w:r w:rsidRPr="00CC7883">
        <w:rPr>
          <w:rFonts w:ascii="Times New Roman" w:eastAsia="Times New Roman" w:hAnsi="Times New Roman" w:cs="Times New Roman"/>
          <w:i/>
          <w:iCs/>
          <w:color w:val="000000" w:themeColor="text1"/>
          <w:sz w:val="28"/>
          <w:szCs w:val="28"/>
        </w:rPr>
        <w:t xml:space="preserve">Melissa officinalis </w:t>
      </w:r>
      <w:r w:rsidRPr="00CC7883">
        <w:rPr>
          <w:rFonts w:ascii="Times New Roman" w:eastAsia="Times New Roman" w:hAnsi="Times New Roman" w:cs="Times New Roman"/>
          <w:color w:val="000000" w:themeColor="text1"/>
          <w:sz w:val="28"/>
          <w:szCs w:val="28"/>
        </w:rPr>
        <w:t>L.), бамбуку звичайного (</w:t>
      </w:r>
      <w:r w:rsidRPr="00CC7883">
        <w:rPr>
          <w:rFonts w:ascii="Times New Roman" w:hAnsi="Times New Roman" w:cs="Times New Roman"/>
          <w:i/>
          <w:color w:val="000000" w:themeColor="text1"/>
          <w:sz w:val="28"/>
          <w:szCs w:val="28"/>
        </w:rPr>
        <w:t>Bambusa</w:t>
      </w:r>
      <w:r w:rsidR="0091155B">
        <w:rPr>
          <w:rFonts w:ascii="Times New Roman" w:hAnsi="Times New Roman" w:cs="Times New Roman"/>
          <w:i/>
          <w:color w:val="000000" w:themeColor="text1"/>
          <w:sz w:val="28"/>
          <w:szCs w:val="28"/>
        </w:rPr>
        <w:t xml:space="preserve"> </w:t>
      </w:r>
      <w:r w:rsidRPr="00CC7883">
        <w:rPr>
          <w:rFonts w:ascii="Times New Roman" w:hAnsi="Times New Roman" w:cs="Times New Roman"/>
          <w:i/>
          <w:color w:val="000000" w:themeColor="text1"/>
          <w:sz w:val="28"/>
          <w:szCs w:val="28"/>
        </w:rPr>
        <w:t>vulgaris</w:t>
      </w:r>
      <w:r w:rsidR="00CA7BF0"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 xml:space="preserve">Schrad. </w:t>
      </w:r>
      <w:r w:rsidR="00AF301C" w:rsidRPr="00CC7883">
        <w:rPr>
          <w:rFonts w:ascii="Times New Roman" w:hAnsi="Times New Roman" w:cs="Times New Roman"/>
          <w:color w:val="000000" w:themeColor="text1"/>
          <w:sz w:val="28"/>
          <w:szCs w:val="28"/>
        </w:rPr>
        <w:t>e</w:t>
      </w:r>
      <w:r w:rsidRPr="00CC7883">
        <w:rPr>
          <w:rFonts w:ascii="Times New Roman" w:hAnsi="Times New Roman" w:cs="Times New Roman"/>
          <w:color w:val="000000" w:themeColor="text1"/>
          <w:sz w:val="28"/>
          <w:szCs w:val="28"/>
        </w:rPr>
        <w:t>x</w:t>
      </w:r>
      <w:r w:rsidR="00CA7BF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Wendl) і</w:t>
      </w:r>
      <w:r w:rsidR="00CA7BF0" w:rsidRPr="00CC7883">
        <w:rPr>
          <w:rFonts w:ascii="Times New Roman" w:hAnsi="Times New Roman" w:cs="Times New Roman"/>
          <w:color w:val="000000" w:themeColor="text1"/>
          <w:sz w:val="28"/>
          <w:szCs w:val="28"/>
        </w:rPr>
        <w:t xml:space="preserve"> </w:t>
      </w:r>
      <w:r w:rsidRPr="00CC7883">
        <w:rPr>
          <w:rFonts w:ascii="Times New Roman" w:eastAsia="Times New Roman" w:hAnsi="Times New Roman" w:cs="Times New Roman"/>
          <w:bCs/>
          <w:i/>
          <w:iCs/>
          <w:color w:val="000000" w:themeColor="text1"/>
          <w:sz w:val="28"/>
          <w:szCs w:val="28"/>
        </w:rPr>
        <w:t xml:space="preserve">Gigantochloa atter </w:t>
      </w:r>
      <w:r w:rsidRPr="00CC7883">
        <w:rPr>
          <w:rFonts w:ascii="Times New Roman" w:eastAsia="Times New Roman" w:hAnsi="Times New Roman" w:cs="Times New Roman"/>
          <w:bCs/>
          <w:color w:val="000000" w:themeColor="text1"/>
          <w:sz w:val="28"/>
          <w:szCs w:val="28"/>
        </w:rPr>
        <w:t>(Hassk.) Kurz.</w:t>
      </w:r>
      <w:r w:rsidRPr="00CC7883">
        <w:rPr>
          <w:rFonts w:ascii="Times New Roman" w:eastAsia="Times New Roman" w:hAnsi="Times New Roman" w:cs="Times New Roman"/>
          <w:color w:val="000000" w:themeColor="text1"/>
          <w:sz w:val="28"/>
          <w:szCs w:val="28"/>
        </w:rPr>
        <w:t xml:space="preserve"> Вони встановили, що кращим впливом характеризувалася ІМК [22</w:t>
      </w:r>
      <w:r w:rsidR="009E747E" w:rsidRPr="00CC7883">
        <w:rPr>
          <w:rFonts w:ascii="Times New Roman" w:eastAsia="Times New Roman" w:hAnsi="Times New Roman" w:cs="Times New Roman"/>
          <w:color w:val="000000" w:themeColor="text1"/>
          <w:sz w:val="28"/>
          <w:szCs w:val="28"/>
        </w:rPr>
        <w:t>5</w:t>
      </w:r>
      <w:r w:rsidR="00F44ECE" w:rsidRPr="00C634FF">
        <w:rPr>
          <w:rFonts w:ascii="Times New Roman" w:eastAsia="Times New Roman" w:hAnsi="Times New Roman" w:cs="Times New Roman"/>
          <w:color w:val="000000" w:themeColor="text1"/>
          <w:sz w:val="28"/>
          <w:szCs w:val="28"/>
        </w:rPr>
        <w:t>,</w:t>
      </w:r>
      <w:r w:rsidR="00171E6A" w:rsidRPr="00CC7883">
        <w:rPr>
          <w:rFonts w:ascii="Times New Roman" w:eastAsia="Times New Roman" w:hAnsi="Times New Roman" w:cs="Times New Roman"/>
          <w:color w:val="000000" w:themeColor="text1"/>
          <w:sz w:val="28"/>
          <w:szCs w:val="28"/>
        </w:rPr>
        <w:t xml:space="preserve"> 123</w:t>
      </w:r>
      <w:r w:rsidR="00F44ECE" w:rsidRPr="00C634FF">
        <w:rPr>
          <w:rFonts w:ascii="Times New Roman" w:eastAsia="Times New Roman" w:hAnsi="Times New Roman" w:cs="Times New Roman"/>
          <w:color w:val="000000" w:themeColor="text1"/>
          <w:sz w:val="28"/>
          <w:szCs w:val="28"/>
        </w:rPr>
        <w:t>,</w:t>
      </w:r>
      <w:r w:rsidR="00171E6A" w:rsidRPr="00CC7883">
        <w:rPr>
          <w:rFonts w:ascii="Times New Roman" w:eastAsia="Times New Roman" w:hAnsi="Times New Roman" w:cs="Times New Roman"/>
          <w:color w:val="000000" w:themeColor="text1"/>
          <w:sz w:val="28"/>
          <w:szCs w:val="28"/>
        </w:rPr>
        <w:t xml:space="preserve"> 82</w:t>
      </w:r>
      <w:r w:rsidRPr="00CC7883">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bCs/>
          <w:color w:val="000000" w:themeColor="text1"/>
          <w:sz w:val="28"/>
          <w:szCs w:val="28"/>
        </w:rPr>
        <w:t>.</w:t>
      </w:r>
      <w:r w:rsidRPr="00CC7883">
        <w:rPr>
          <w:rFonts w:ascii="Times New Roman" w:eastAsia="Times New Roman" w:hAnsi="Times New Roman" w:cs="Times New Roman"/>
          <w:color w:val="000000" w:themeColor="text1"/>
          <w:sz w:val="28"/>
          <w:szCs w:val="28"/>
        </w:rPr>
        <w:t xml:space="preserve"> Для культивування рослин сливи домашньої (</w:t>
      </w:r>
      <w:r w:rsidRPr="00CC7883">
        <w:rPr>
          <w:rFonts w:ascii="Times New Roman" w:eastAsia="Times New Roman" w:hAnsi="Times New Roman" w:cs="Times New Roman"/>
          <w:i/>
          <w:iCs/>
          <w:color w:val="000000" w:themeColor="text1"/>
          <w:sz w:val="28"/>
          <w:szCs w:val="28"/>
        </w:rPr>
        <w:t>Prunus</w:t>
      </w:r>
      <w:r w:rsidR="00CA7BF0"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i/>
          <w:color w:val="000000" w:themeColor="text1"/>
          <w:sz w:val="28"/>
          <w:szCs w:val="28"/>
        </w:rPr>
        <w:t>domestica</w:t>
      </w:r>
      <w:r w:rsidR="00CA7BF0"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color w:val="000000" w:themeColor="text1"/>
          <w:sz w:val="28"/>
          <w:szCs w:val="28"/>
        </w:rPr>
        <w:t>L.) використовували модифіковане поживне середовище – ½ MS, доповнене 0,5 мг/л ІМК, 1,6 мг/л тіаміну, 20 г/л сахарози та Sequestrene 330</w:t>
      </w:r>
      <w:r w:rsidR="001563C7">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FE (6 %) (аналог хелату заліза). Такі умови дозволили досягти 100,0 % ефективності </w:t>
      </w:r>
      <w:r w:rsidRPr="00CC7883">
        <w:rPr>
          <w:rFonts w:ascii="Times New Roman" w:eastAsia="Times New Roman" w:hAnsi="Times New Roman" w:cs="Times New Roman"/>
          <w:color w:val="000000" w:themeColor="text1"/>
          <w:sz w:val="28"/>
          <w:szCs w:val="28"/>
        </w:rPr>
        <w:lastRenderedPageBreak/>
        <w:t xml:space="preserve">укорінення та формування коренів рослин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w:t>
      </w:r>
      <w:r w:rsidR="005612C3" w:rsidRPr="00CC7883">
        <w:rPr>
          <w:rFonts w:ascii="Times New Roman" w:eastAsia="Times New Roman" w:hAnsi="Times New Roman" w:cs="Times New Roman"/>
          <w:color w:val="000000" w:themeColor="text1"/>
          <w:sz w:val="28"/>
          <w:szCs w:val="28"/>
        </w:rPr>
        <w:t>21</w:t>
      </w:r>
      <w:r w:rsidR="009E747E" w:rsidRPr="00CC7883">
        <w:rPr>
          <w:rFonts w:ascii="Times New Roman" w:eastAsia="Times New Roman" w:hAnsi="Times New Roman" w:cs="Times New Roman"/>
          <w:color w:val="000000" w:themeColor="text1"/>
          <w:sz w:val="28"/>
          <w:szCs w:val="28"/>
        </w:rPr>
        <w:t>9</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Склад поживного середовища активно впливає і на формування потужної кореневої системи мікроклонів рослин. За даними Sota V. et al., Shirin F. et al. та Lakho M. A. et al., найбільш розвинена і розгалужена коренева система формувалася у </w:t>
      </w:r>
      <w:r w:rsidRPr="00CC7883">
        <w:rPr>
          <w:rFonts w:ascii="Times New Roman" w:eastAsia="NSimSun" w:hAnsi="Times New Roman" w:cs="Times New Roman"/>
          <w:bCs/>
          <w:color w:val="000000" w:themeColor="text1"/>
          <w:kern w:val="3"/>
          <w:sz w:val="28"/>
          <w:szCs w:val="28"/>
        </w:rPr>
        <w:t>вишні антипки</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iCs/>
          <w:color w:val="000000" w:themeColor="text1"/>
          <w:kern w:val="3"/>
          <w:sz w:val="28"/>
          <w:szCs w:val="28"/>
        </w:rPr>
        <w:t>Prunus mahaleb</w:t>
      </w:r>
      <w:r w:rsidRPr="00CC7883">
        <w:rPr>
          <w:rFonts w:ascii="Times New Roman" w:eastAsia="NSimSun" w:hAnsi="Times New Roman" w:cs="Times New Roman"/>
          <w:color w:val="000000" w:themeColor="text1"/>
          <w:kern w:val="3"/>
          <w:sz w:val="28"/>
          <w:szCs w:val="28"/>
        </w:rPr>
        <w:t xml:space="preserve"> L.), </w:t>
      </w:r>
      <w:r w:rsidRPr="00CC7883">
        <w:rPr>
          <w:rFonts w:ascii="Times New Roman" w:eastAsia="NSimSun" w:hAnsi="Times New Roman" w:cs="Times New Roman"/>
          <w:bCs/>
          <w:color w:val="000000" w:themeColor="text1"/>
          <w:kern w:val="3"/>
          <w:sz w:val="28"/>
          <w:szCs w:val="28"/>
        </w:rPr>
        <w:t>ашоки</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iCs/>
          <w:color w:val="000000" w:themeColor="text1"/>
          <w:kern w:val="3"/>
          <w:sz w:val="28"/>
          <w:szCs w:val="28"/>
        </w:rPr>
        <w:t>Saraca asoca</w:t>
      </w:r>
      <w:r w:rsidRPr="00CC7883">
        <w:rPr>
          <w:rFonts w:ascii="Times New Roman" w:eastAsia="NSimSun" w:hAnsi="Times New Roman" w:cs="Times New Roman"/>
          <w:color w:val="000000" w:themeColor="text1"/>
          <w:kern w:val="3"/>
          <w:sz w:val="28"/>
          <w:szCs w:val="28"/>
        </w:rPr>
        <w:t xml:space="preserve"> (Roxb.) W.J. de Wilde) та </w:t>
      </w:r>
      <w:r w:rsidRPr="00CC7883">
        <w:rPr>
          <w:rFonts w:ascii="Times New Roman" w:eastAsia="NSimSun" w:hAnsi="Times New Roman" w:cs="Times New Roman"/>
          <w:bCs/>
          <w:color w:val="000000" w:themeColor="text1"/>
          <w:kern w:val="3"/>
          <w:sz w:val="28"/>
          <w:szCs w:val="28"/>
        </w:rPr>
        <w:t>ананасу посівного</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iCs/>
          <w:color w:val="000000" w:themeColor="text1"/>
          <w:kern w:val="3"/>
          <w:sz w:val="28"/>
          <w:szCs w:val="28"/>
        </w:rPr>
        <w:t>Ananas comosus</w:t>
      </w:r>
      <w:r w:rsidRPr="00CC7883">
        <w:rPr>
          <w:rFonts w:ascii="Times New Roman" w:eastAsia="NSimSun" w:hAnsi="Times New Roman" w:cs="Times New Roman"/>
          <w:color w:val="000000" w:themeColor="text1"/>
          <w:kern w:val="3"/>
          <w:sz w:val="28"/>
          <w:szCs w:val="28"/>
        </w:rPr>
        <w:t xml:space="preserve"> (L.) Merr.) на стандартному поживному середовищі MS, поживні середовища WPM, B5 і NN виявилися менш ефективними для потужного розвитку кореневої системи [23</w:t>
      </w:r>
      <w:r w:rsidR="009E747E" w:rsidRPr="00CC7883">
        <w:rPr>
          <w:rFonts w:ascii="Times New Roman" w:eastAsia="NSimSun" w:hAnsi="Times New Roman" w:cs="Times New Roman"/>
          <w:color w:val="000000" w:themeColor="text1"/>
          <w:kern w:val="3"/>
          <w:sz w:val="28"/>
          <w:szCs w:val="28"/>
        </w:rPr>
        <w:t>5</w:t>
      </w:r>
      <w:r w:rsidR="00F44ECE" w:rsidRPr="00C634FF">
        <w:rPr>
          <w:rFonts w:ascii="Times New Roman" w:eastAsia="NSimSun" w:hAnsi="Times New Roman" w:cs="Times New Roman"/>
          <w:color w:val="000000" w:themeColor="text1"/>
          <w:kern w:val="3"/>
          <w:sz w:val="28"/>
          <w:szCs w:val="28"/>
          <w:lang w:val="ru-RU"/>
        </w:rPr>
        <w:t>,</w:t>
      </w:r>
      <w:r w:rsidRPr="00CC7883">
        <w:rPr>
          <w:rFonts w:ascii="Times New Roman" w:eastAsia="NSimSun" w:hAnsi="Times New Roman" w:cs="Times New Roman"/>
          <w:color w:val="000000" w:themeColor="text1"/>
          <w:kern w:val="3"/>
          <w:sz w:val="28"/>
          <w:szCs w:val="28"/>
        </w:rPr>
        <w:t xml:space="preserve"> </w:t>
      </w:r>
      <w:r w:rsidR="00171E6A" w:rsidRPr="00CC7883">
        <w:rPr>
          <w:rFonts w:ascii="Times New Roman" w:eastAsia="NSimSun" w:hAnsi="Times New Roman" w:cs="Times New Roman"/>
          <w:color w:val="000000" w:themeColor="text1"/>
          <w:kern w:val="3"/>
          <w:sz w:val="28"/>
          <w:szCs w:val="28"/>
        </w:rPr>
        <w:t>2</w:t>
      </w:r>
      <w:r w:rsidR="005612C3" w:rsidRPr="00CC7883">
        <w:rPr>
          <w:rFonts w:ascii="Times New Roman" w:eastAsia="NSimSun" w:hAnsi="Times New Roman" w:cs="Times New Roman"/>
          <w:color w:val="000000" w:themeColor="text1"/>
          <w:kern w:val="3"/>
          <w:sz w:val="28"/>
          <w:szCs w:val="28"/>
        </w:rPr>
        <w:t>2</w:t>
      </w:r>
      <w:r w:rsidR="009E747E" w:rsidRPr="00CC7883">
        <w:rPr>
          <w:rFonts w:ascii="Times New Roman" w:eastAsia="NSimSun" w:hAnsi="Times New Roman" w:cs="Times New Roman"/>
          <w:color w:val="000000" w:themeColor="text1"/>
          <w:kern w:val="3"/>
          <w:sz w:val="28"/>
          <w:szCs w:val="28"/>
        </w:rPr>
        <w:t>8</w:t>
      </w:r>
      <w:r w:rsidR="00F44ECE" w:rsidRPr="00C634FF">
        <w:rPr>
          <w:rFonts w:ascii="Times New Roman" w:eastAsia="NSimSun" w:hAnsi="Times New Roman" w:cs="Times New Roman"/>
          <w:color w:val="000000" w:themeColor="text1"/>
          <w:kern w:val="3"/>
          <w:sz w:val="28"/>
          <w:szCs w:val="28"/>
          <w:lang w:val="ru-RU"/>
        </w:rPr>
        <w:t>,</w:t>
      </w:r>
      <w:r w:rsidRPr="00CC7883">
        <w:rPr>
          <w:rFonts w:ascii="Times New Roman" w:eastAsia="NSimSun" w:hAnsi="Times New Roman" w:cs="Times New Roman"/>
          <w:color w:val="000000" w:themeColor="text1"/>
          <w:kern w:val="3"/>
          <w:sz w:val="28"/>
          <w:szCs w:val="28"/>
        </w:rPr>
        <w:t xml:space="preserve"> </w:t>
      </w:r>
      <w:r w:rsidR="00946960" w:rsidRPr="00CC7883">
        <w:rPr>
          <w:rFonts w:ascii="Times New Roman" w:eastAsia="NSimSun" w:hAnsi="Times New Roman" w:cs="Times New Roman"/>
          <w:color w:val="000000" w:themeColor="text1"/>
          <w:kern w:val="3"/>
          <w:sz w:val="28"/>
          <w:szCs w:val="28"/>
        </w:rPr>
        <w:t>15</w:t>
      </w:r>
      <w:r w:rsidR="005612C3" w:rsidRPr="00CC7883">
        <w:rPr>
          <w:rFonts w:ascii="Times New Roman" w:eastAsia="NSimSun" w:hAnsi="Times New Roman" w:cs="Times New Roman"/>
          <w:color w:val="000000" w:themeColor="text1"/>
          <w:kern w:val="3"/>
          <w:sz w:val="28"/>
          <w:szCs w:val="28"/>
        </w:rPr>
        <w:t>5</w:t>
      </w:r>
      <w:r w:rsidRPr="00CC7883">
        <w:rPr>
          <w:rFonts w:ascii="Times New Roman" w:eastAsia="NSimSun" w:hAnsi="Times New Roman" w:cs="Times New Roman"/>
          <w:color w:val="000000" w:themeColor="text1"/>
          <w:kern w:val="3"/>
          <w:sz w:val="28"/>
          <w:szCs w:val="28"/>
        </w:rPr>
        <w:t xml:space="preserve">]. У дослідженнях Van Yen D. &amp; Li J. при культивуванні </w:t>
      </w:r>
      <w:r w:rsidRPr="00CC7883">
        <w:rPr>
          <w:rFonts w:ascii="Times New Roman" w:eastAsia="NSimSun" w:hAnsi="Times New Roman" w:cs="Times New Roman"/>
          <w:i/>
          <w:iCs/>
          <w:color w:val="000000" w:themeColor="text1"/>
          <w:kern w:val="3"/>
          <w:sz w:val="28"/>
          <w:szCs w:val="28"/>
        </w:rPr>
        <w:t>Stahlianthus thorelii</w:t>
      </w:r>
      <w:r w:rsidRPr="00CC7883">
        <w:rPr>
          <w:rFonts w:ascii="Times New Roman" w:eastAsia="NSimSun" w:hAnsi="Times New Roman" w:cs="Times New Roman"/>
          <w:color w:val="000000" w:themeColor="text1"/>
          <w:kern w:val="3"/>
          <w:sz w:val="28"/>
          <w:szCs w:val="28"/>
        </w:rPr>
        <w:t xml:space="preserve"> Gagnep. до середовища MS додавали α-НОК і ІМК у різних співвідношеннях. Найкращий результат було отримано після їх комбінованого використання у концентрації 0,25–0,50 мг/л, що забезпечувало формування у середньому 26,1 шт. коренів на один мікроклон. Parabia F. M. et al. показали, що для </w:t>
      </w:r>
      <w:r w:rsidRPr="00CC7883">
        <w:rPr>
          <w:rFonts w:ascii="Times New Roman" w:eastAsia="NSimSun" w:hAnsi="Times New Roman" w:cs="Times New Roman"/>
          <w:bCs/>
          <w:color w:val="000000" w:themeColor="text1"/>
          <w:kern w:val="3"/>
          <w:sz w:val="28"/>
          <w:szCs w:val="28"/>
        </w:rPr>
        <w:t>лептаденії сітча</w:t>
      </w:r>
      <w:r w:rsidR="001213D6">
        <w:rPr>
          <w:rFonts w:ascii="Times New Roman" w:eastAsia="NSimSun" w:hAnsi="Times New Roman" w:cs="Times New Roman"/>
          <w:bCs/>
          <w:color w:val="000000" w:themeColor="text1"/>
          <w:kern w:val="3"/>
          <w:sz w:val="28"/>
          <w:szCs w:val="28"/>
        </w:rPr>
        <w:t>с</w:t>
      </w:r>
      <w:r w:rsidRPr="00CC7883">
        <w:rPr>
          <w:rFonts w:ascii="Times New Roman" w:eastAsia="NSimSun" w:hAnsi="Times New Roman" w:cs="Times New Roman"/>
          <w:bCs/>
          <w:color w:val="000000" w:themeColor="text1"/>
          <w:kern w:val="3"/>
          <w:sz w:val="28"/>
          <w:szCs w:val="28"/>
        </w:rPr>
        <w:t>тої</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iCs/>
          <w:color w:val="000000" w:themeColor="text1"/>
          <w:kern w:val="3"/>
          <w:sz w:val="28"/>
          <w:szCs w:val="28"/>
        </w:rPr>
        <w:t>Leptadenia reticulata</w:t>
      </w:r>
      <w:r w:rsidRPr="00CC7883">
        <w:rPr>
          <w:rFonts w:ascii="Times New Roman" w:eastAsia="NSimSun" w:hAnsi="Times New Roman" w:cs="Times New Roman"/>
          <w:color w:val="000000" w:themeColor="text1"/>
          <w:kern w:val="3"/>
          <w:sz w:val="28"/>
          <w:szCs w:val="28"/>
        </w:rPr>
        <w:t xml:space="preserve"> (Retz.) Wight &amp; Arn.) оптимальною була концентрація 0,25 мг/л ІМК, за якої утворювалося близько </w:t>
      </w:r>
      <w:r w:rsidR="00946960" w:rsidRPr="00CC7883">
        <w:rPr>
          <w:rFonts w:ascii="Times New Roman" w:eastAsia="NSimSun" w:hAnsi="Times New Roman" w:cs="Times New Roman"/>
          <w:color w:val="000000" w:themeColor="text1"/>
          <w:kern w:val="3"/>
          <w:sz w:val="28"/>
          <w:szCs w:val="28"/>
        </w:rPr>
        <w:t>8,0 коренів до</w:t>
      </w:r>
      <w:r w:rsidR="005612C3" w:rsidRPr="00CC7883">
        <w:rPr>
          <w:rFonts w:ascii="Times New Roman" w:eastAsia="NSimSun" w:hAnsi="Times New Roman" w:cs="Times New Roman"/>
          <w:color w:val="000000" w:themeColor="text1"/>
          <w:kern w:val="3"/>
          <w:sz w:val="28"/>
          <w:szCs w:val="28"/>
        </w:rPr>
        <w:t>вжиною 5,0 см [198</w:t>
      </w:r>
      <w:r w:rsidRPr="00CC7883">
        <w:rPr>
          <w:rFonts w:ascii="Times New Roman" w:eastAsia="NSimSun" w:hAnsi="Times New Roman" w:cs="Times New Roman"/>
          <w:color w:val="000000" w:themeColor="text1"/>
          <w:kern w:val="3"/>
          <w:sz w:val="28"/>
          <w:szCs w:val="28"/>
        </w:rPr>
        <w:t>]. Однак у дослідженнях Asadi A. A. et al. та Van Yen D. &amp; Li J. при культивуванні троянд додавання ІОК та α-НОК не мало позитивного впливу – зі збільшенням концентрації цих ауксинів (від 1,0 до 6,0 мг/л) кількість коренів навпаки зм</w:t>
      </w:r>
      <w:r w:rsidR="00171E6A" w:rsidRPr="00CC7883">
        <w:rPr>
          <w:rFonts w:ascii="Times New Roman" w:eastAsia="NSimSun" w:hAnsi="Times New Roman" w:cs="Times New Roman"/>
          <w:color w:val="000000" w:themeColor="text1"/>
          <w:kern w:val="3"/>
          <w:sz w:val="28"/>
          <w:szCs w:val="28"/>
        </w:rPr>
        <w:t>еншувалася [83</w:t>
      </w:r>
      <w:r w:rsidR="00F44ECE" w:rsidRPr="00C634FF">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25</w:t>
      </w:r>
      <w:r w:rsidR="009E747E" w:rsidRPr="00CC7883">
        <w:rPr>
          <w:rFonts w:ascii="Times New Roman" w:eastAsia="NSimSun" w:hAnsi="Times New Roman" w:cs="Times New Roman"/>
          <w:color w:val="000000" w:themeColor="text1"/>
          <w:kern w:val="3"/>
          <w:sz w:val="28"/>
          <w:szCs w:val="28"/>
        </w:rPr>
        <w:t>3</w:t>
      </w:r>
      <w:r w:rsidRPr="00CC7883">
        <w:rPr>
          <w:rFonts w:ascii="Times New Roman" w:eastAsia="NSimSun" w:hAnsi="Times New Roman" w:cs="Times New Roman"/>
          <w:color w:val="000000" w:themeColor="text1"/>
          <w:kern w:val="3"/>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Дуже часто для ініціації ризогенезу рослин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додають стабілізовані біологічно активні препарати. У процесі культивування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рослин гороху посівного (</w:t>
      </w:r>
      <w:r w:rsidRPr="00CC7883">
        <w:rPr>
          <w:rFonts w:ascii="Times New Roman" w:eastAsia="Times New Roman" w:hAnsi="Times New Roman" w:cs="Times New Roman"/>
          <w:i/>
          <w:color w:val="000000" w:themeColor="text1"/>
          <w:sz w:val="28"/>
          <w:szCs w:val="28"/>
        </w:rPr>
        <w:t>Pisum</w:t>
      </w:r>
      <w:r w:rsidR="00CA7BF0"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i/>
          <w:color w:val="000000" w:themeColor="text1"/>
          <w:sz w:val="28"/>
          <w:szCs w:val="28"/>
        </w:rPr>
        <w:t>sativum</w:t>
      </w:r>
      <w:r w:rsidR="00CA7BF0"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color w:val="000000" w:themeColor="text1"/>
          <w:sz w:val="28"/>
          <w:szCs w:val="28"/>
        </w:rPr>
        <w:t>L.), тютюну справжнього (</w:t>
      </w:r>
      <w:r w:rsidRPr="00CC7883">
        <w:rPr>
          <w:rFonts w:ascii="Times New Roman" w:eastAsia="Times New Roman" w:hAnsi="Times New Roman" w:cs="Times New Roman"/>
          <w:i/>
          <w:color w:val="000000" w:themeColor="text1"/>
          <w:sz w:val="28"/>
          <w:szCs w:val="28"/>
        </w:rPr>
        <w:t>Nicotiana tabacum</w:t>
      </w:r>
      <w:r w:rsidR="008B5203"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color w:val="000000" w:themeColor="text1"/>
          <w:sz w:val="28"/>
          <w:szCs w:val="28"/>
        </w:rPr>
        <w:t>L.), буряку звичайного (</w:t>
      </w:r>
      <w:r w:rsidRPr="00CC7883">
        <w:rPr>
          <w:rFonts w:ascii="Times New Roman" w:eastAsia="Times New Roman" w:hAnsi="Times New Roman" w:cs="Times New Roman"/>
          <w:i/>
          <w:color w:val="000000" w:themeColor="text1"/>
          <w:sz w:val="28"/>
          <w:szCs w:val="28"/>
        </w:rPr>
        <w:t>Beta vulgaris</w:t>
      </w:r>
      <w:r w:rsidR="00CA7BF0"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color w:val="000000" w:themeColor="text1"/>
          <w:sz w:val="28"/>
          <w:szCs w:val="28"/>
        </w:rPr>
        <w:t>L.) було встановлено, що високим ризогенним впливом характеризувались кокосова вода (комплекс фітогормонів, амінокислот, вітамінів та мікроелементів) і ліофілізована біомаса штамів МАСС (висушена методом сублімації біомаса зелених водоростей та ціанобактерій з культуральної колекції Mosonmagyarovar</w:t>
      </w:r>
      <w:r w:rsidR="00AF301C"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Algal, Угорщина). Їх додавання до поживного середовища MS, порівняно з контролем, сприяло появі коренів уже на 12–15 добу культивування, рослини </w:t>
      </w:r>
      <w:r w:rsidRPr="00CC7883">
        <w:rPr>
          <w:rFonts w:ascii="Times New Roman" w:eastAsia="Times New Roman" w:hAnsi="Times New Roman" w:cs="Times New Roman"/>
          <w:color w:val="000000" w:themeColor="text1"/>
          <w:sz w:val="28"/>
          <w:szCs w:val="28"/>
        </w:rPr>
        <w:lastRenderedPageBreak/>
        <w:t xml:space="preserve">на 25,0–35,0 % укорінювалися краще </w:t>
      </w:r>
      <w:r w:rsidR="00946960" w:rsidRPr="00CC7883">
        <w:rPr>
          <w:rFonts w:ascii="Times New Roman" w:eastAsia="Times New Roman" w:hAnsi="Times New Roman" w:cs="Times New Roman"/>
          <w:color w:val="000000" w:themeColor="text1"/>
          <w:sz w:val="28"/>
          <w:szCs w:val="28"/>
        </w:rPr>
        <w:t>[18</w:t>
      </w:r>
      <w:r w:rsidR="005612C3" w:rsidRPr="00CC7883">
        <w:rPr>
          <w:rFonts w:ascii="Times New Roman" w:eastAsia="Times New Roman" w:hAnsi="Times New Roman" w:cs="Times New Roman"/>
          <w:color w:val="000000" w:themeColor="text1"/>
          <w:sz w:val="28"/>
          <w:szCs w:val="28"/>
        </w:rPr>
        <w:t>4</w:t>
      </w:r>
      <w:r w:rsidRPr="00CC7883">
        <w:rPr>
          <w:rFonts w:ascii="Times New Roman" w:eastAsia="Times New Roman" w:hAnsi="Times New Roman" w:cs="Times New Roman"/>
          <w:color w:val="000000" w:themeColor="text1"/>
          <w:sz w:val="28"/>
          <w:szCs w:val="28"/>
        </w:rPr>
        <w:t>]. Застосування екстракту бананового псевдостебла (порошкоподібний продукт із м'якоті бананового псевдостебла) як часткової заміни (25 %) поживного середовища MS для культивування банану загостреного (</w:t>
      </w:r>
      <w:r w:rsidRPr="00CC7883">
        <w:rPr>
          <w:rFonts w:ascii="Times New Roman" w:eastAsia="Times New Roman" w:hAnsi="Times New Roman" w:cs="Times New Roman"/>
          <w:i/>
          <w:color w:val="000000" w:themeColor="text1"/>
          <w:sz w:val="28"/>
          <w:szCs w:val="28"/>
        </w:rPr>
        <w:t>Musa acuminata</w:t>
      </w:r>
      <w:r w:rsidRPr="00CC7883">
        <w:rPr>
          <w:rFonts w:ascii="Times New Roman" w:eastAsia="Times New Roman" w:hAnsi="Times New Roman" w:cs="Times New Roman"/>
          <w:color w:val="000000" w:themeColor="text1"/>
          <w:sz w:val="28"/>
          <w:szCs w:val="28"/>
        </w:rPr>
        <w:t xml:space="preserve"> Colla) </w:t>
      </w:r>
      <w:r w:rsidRPr="00CC7883">
        <w:rPr>
          <w:rFonts w:ascii="Times New Roman" w:eastAsia="Times New Roman" w:hAnsi="Times New Roman" w:cs="Times New Roman"/>
          <w:i/>
          <w:color w:val="000000" w:themeColor="text1"/>
          <w:sz w:val="28"/>
          <w:szCs w:val="28"/>
        </w:rPr>
        <w:t>in</w:t>
      </w:r>
      <w:r w:rsidR="008B5203" w:rsidRPr="00CC7883">
        <w:rPr>
          <w:rFonts w:ascii="Times New Roman" w:eastAsia="Times New Roman" w:hAnsi="Times New Roman" w:cs="Times New Roman"/>
          <w:i/>
          <w:color w:val="000000" w:themeColor="text1"/>
          <w:sz w:val="28"/>
          <w:szCs w:val="28"/>
        </w:rPr>
        <w:t> </w:t>
      </w:r>
      <w:r w:rsidRPr="00CC7883">
        <w:rPr>
          <w:rFonts w:ascii="Times New Roman" w:eastAsia="Times New Roman" w:hAnsi="Times New Roman" w:cs="Times New Roman"/>
          <w:i/>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показало, що порівняно з контрольним варіантом таке співвідношення призводить до статистично значущого збільшення кількості коренів на 27,0 % (5,2 см у досліді та 4,1 см у контролі) [24</w:t>
      </w:r>
      <w:r w:rsidR="009E747E" w:rsidRPr="00CC7883">
        <w:rPr>
          <w:rFonts w:ascii="Times New Roman" w:eastAsia="Times New Roman" w:hAnsi="Times New Roman" w:cs="Times New Roman"/>
          <w:color w:val="000000" w:themeColor="text1"/>
          <w:sz w:val="28"/>
          <w:szCs w:val="28"/>
        </w:rPr>
        <w:t>5</w:t>
      </w:r>
      <w:r w:rsidRPr="00CC7883">
        <w:rPr>
          <w:rFonts w:ascii="Times New Roman" w:eastAsia="Times New Roman" w:hAnsi="Times New Roman" w:cs="Times New Roman"/>
          <w:color w:val="000000" w:themeColor="text1"/>
          <w:sz w:val="28"/>
          <w:szCs w:val="28"/>
        </w:rPr>
        <w:t>]. Parthibhan S. &amp;</w:t>
      </w:r>
      <w:r w:rsidR="00AF301C"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Senthil</w:t>
      </w:r>
      <w:r w:rsidR="00AF301C"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Kumar</w:t>
      </w:r>
      <w:r w:rsidR="00AF301C"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T. для покращення укорінення рослин </w:t>
      </w:r>
      <w:r w:rsidRPr="00CC7883">
        <w:rPr>
          <w:rFonts w:ascii="Times New Roman" w:eastAsia="Times New Roman" w:hAnsi="Times New Roman" w:cs="Times New Roman"/>
          <w:i/>
          <w:color w:val="000000" w:themeColor="text1"/>
          <w:sz w:val="28"/>
          <w:szCs w:val="28"/>
        </w:rPr>
        <w:t>Ceropegia maculata</w:t>
      </w:r>
      <w:r w:rsidR="00AF301C"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L. застосовували екстракти морських водоростей </w:t>
      </w:r>
      <w:r w:rsidRPr="00CC7883">
        <w:rPr>
          <w:rFonts w:ascii="Times New Roman" w:eastAsia="Times New Roman" w:hAnsi="Times New Roman" w:cs="Times New Roman"/>
          <w:i/>
          <w:color w:val="000000" w:themeColor="text1"/>
          <w:sz w:val="28"/>
          <w:szCs w:val="28"/>
        </w:rPr>
        <w:t>Sargassum wightii</w:t>
      </w:r>
      <w:r w:rsidRPr="00CC7883">
        <w:rPr>
          <w:rFonts w:ascii="Times New Roman" w:eastAsia="Times New Roman" w:hAnsi="Times New Roman" w:cs="Times New Roman"/>
          <w:color w:val="000000" w:themeColor="text1"/>
          <w:sz w:val="28"/>
          <w:szCs w:val="28"/>
        </w:rPr>
        <w:t xml:space="preserve"> Greville. Додавання 20 % цього екстракту до поживного середовища MS значно підвищувало ефективність укорінення – кількість коренів зростала до 7,3 шт. (контроль – 5,9 шт.), їх довжина – до 14,3 см (контроль – 12,3 см) [20</w:t>
      </w:r>
      <w:r w:rsidR="005612C3" w:rsidRPr="00CC7883">
        <w:rPr>
          <w:rFonts w:ascii="Times New Roman" w:eastAsia="Times New Roman" w:hAnsi="Times New Roman" w:cs="Times New Roman"/>
          <w:color w:val="000000" w:themeColor="text1"/>
          <w:sz w:val="28"/>
          <w:szCs w:val="28"/>
        </w:rPr>
        <w:t>0</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Культивування картоплі їстівної (</w:t>
      </w:r>
      <w:r w:rsidRPr="00CC7883">
        <w:rPr>
          <w:rFonts w:ascii="Times New Roman" w:eastAsia="Times New Roman" w:hAnsi="Times New Roman" w:cs="Times New Roman"/>
          <w:i/>
          <w:color w:val="000000" w:themeColor="text1"/>
          <w:sz w:val="28"/>
          <w:szCs w:val="28"/>
        </w:rPr>
        <w:t>Solanum tuberosum</w:t>
      </w:r>
      <w:r w:rsidRPr="00CC7883">
        <w:rPr>
          <w:rFonts w:ascii="Times New Roman" w:eastAsia="Times New Roman" w:hAnsi="Times New Roman" w:cs="Times New Roman"/>
          <w:color w:val="000000" w:themeColor="text1"/>
          <w:sz w:val="28"/>
          <w:szCs w:val="28"/>
        </w:rPr>
        <w:t xml:space="preserve"> L.) на поживному середовищі MS з додаванням препаратів Епін-Максі (0,025 г/л) і Потейтін (0,3 мг/л) сприяло збільшенню довжини та кількості коренів порівняно з контролем (8,2–8,9 шт. і 9,0 шт., при довжині </w:t>
      </w:r>
      <w:r w:rsidR="00171E6A" w:rsidRPr="00CC7883">
        <w:rPr>
          <w:rFonts w:ascii="Times New Roman" w:eastAsia="Times New Roman" w:hAnsi="Times New Roman" w:cs="Times New Roman"/>
          <w:color w:val="000000" w:themeColor="text1"/>
          <w:sz w:val="28"/>
          <w:szCs w:val="28"/>
        </w:rPr>
        <w:t>81,4–91,3 мм і 84,5–89,2 мм) [53</w:t>
      </w:r>
      <w:r w:rsidRPr="00CC7883">
        <w:rPr>
          <w:rFonts w:ascii="Times New Roman" w:eastAsia="Times New Roman" w:hAnsi="Times New Roman" w:cs="Times New Roman"/>
          <w:color w:val="000000" w:themeColor="text1"/>
          <w:sz w:val="28"/>
          <w:szCs w:val="28"/>
        </w:rPr>
        <w:t xml:space="preserve">]. </w:t>
      </w:r>
    </w:p>
    <w:p w:rsidR="00B01A54" w:rsidRPr="00CC7883" w:rsidRDefault="00B01A54" w:rsidP="00047411">
      <w:pPr>
        <w:widowControl w:val="0"/>
        <w:spacing w:after="0" w:line="360" w:lineRule="auto"/>
        <w:ind w:firstLine="720"/>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У дослідженні Sulusoglu</w:t>
      </w:r>
      <w:r w:rsidR="00694F30" w:rsidRPr="00CC7883">
        <w:rPr>
          <w:rFonts w:ascii="Times New Roman" w:eastAsia="Times New Roman" w:hAnsi="Times New Roman" w:cs="Times New Roman"/>
          <w:color w:val="000000" w:themeColor="text1"/>
          <w:sz w:val="28"/>
          <w:szCs w:val="28"/>
        </w:rPr>
        <w:t xml:space="preserve"> </w:t>
      </w:r>
      <w:r w:rsidR="001563C7" w:rsidRPr="00813FFA">
        <w:rPr>
          <w:rFonts w:ascii="Times New Roman" w:hAnsi="Times New Roman"/>
          <w:color w:val="000000" w:themeColor="text1"/>
          <w:sz w:val="28"/>
          <w:szCs w:val="28"/>
          <w:lang w:val="en-US"/>
        </w:rPr>
        <w:t>M</w:t>
      </w:r>
      <w:r w:rsidR="001563C7" w:rsidRPr="00C634FF">
        <w:rPr>
          <w:rFonts w:ascii="Times New Roman" w:hAnsi="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et</w:t>
      </w:r>
      <w:r w:rsidR="00694F30"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al. було вивчено вплив різних типів агарів на укорінення айви звичайної (</w:t>
      </w:r>
      <w:r w:rsidRPr="00CC7883">
        <w:rPr>
          <w:rStyle w:val="binomial"/>
          <w:rFonts w:ascii="Times New Roman" w:hAnsi="Times New Roman" w:cs="Times New Roman"/>
          <w:bCs/>
          <w:i/>
          <w:color w:val="000000" w:themeColor="text1"/>
          <w:sz w:val="28"/>
          <w:szCs w:val="28"/>
          <w:shd w:val="clear" w:color="auto" w:fill="F8F9FA"/>
        </w:rPr>
        <w:t>Cydonia oblonga</w:t>
      </w:r>
      <w:r w:rsidR="002102AF" w:rsidRPr="00CC7883">
        <w:rPr>
          <w:rStyle w:val="binomial"/>
          <w:rFonts w:ascii="Times New Roman" w:hAnsi="Times New Roman" w:cs="Times New Roman"/>
          <w:bCs/>
          <w:i/>
          <w:color w:val="000000" w:themeColor="text1"/>
          <w:sz w:val="28"/>
          <w:szCs w:val="28"/>
          <w:shd w:val="clear" w:color="auto" w:fill="F8F9FA"/>
        </w:rPr>
        <w:t xml:space="preserve"> </w:t>
      </w:r>
      <w:r w:rsidRPr="00CC7883">
        <w:rPr>
          <w:rFonts w:ascii="Times New Roman" w:eastAsia="Times New Roman" w:hAnsi="Times New Roman" w:cs="Times New Roman"/>
          <w:color w:val="000000" w:themeColor="text1"/>
          <w:sz w:val="28"/>
          <w:szCs w:val="28"/>
        </w:rPr>
        <w:t xml:space="preserve">Mill.) в умовах </w:t>
      </w:r>
      <w:r w:rsidRPr="00CC7883">
        <w:rPr>
          <w:rFonts w:ascii="Times New Roman" w:eastAsia="Times New Roman" w:hAnsi="Times New Roman" w:cs="Times New Roman"/>
          <w:i/>
          <w:color w:val="000000" w:themeColor="text1"/>
          <w:sz w:val="28"/>
          <w:szCs w:val="28"/>
        </w:rPr>
        <w:t>in</w:t>
      </w:r>
      <w:r w:rsidR="008B5203" w:rsidRPr="00CC7883">
        <w:rPr>
          <w:rFonts w:ascii="Times New Roman" w:eastAsia="Times New Roman" w:hAnsi="Times New Roman" w:cs="Times New Roman"/>
          <w:i/>
          <w:color w:val="000000" w:themeColor="text1"/>
          <w:sz w:val="28"/>
          <w:szCs w:val="28"/>
        </w:rPr>
        <w:t> </w:t>
      </w:r>
      <w:r w:rsidRPr="00CC7883">
        <w:rPr>
          <w:rFonts w:ascii="Times New Roman" w:eastAsia="Times New Roman" w:hAnsi="Times New Roman" w:cs="Times New Roman"/>
          <w:i/>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Як базове використовували поживне середовище MS із додаванням агарів Bacto, Merck, Oxoid та Gelrite. Найкращі показники укорінення отримано після застосування агару </w:t>
      </w:r>
      <w:r w:rsidR="00D16FBB">
        <w:rPr>
          <w:rFonts w:ascii="Times New Roman" w:eastAsia="Times New Roman" w:hAnsi="Times New Roman" w:cs="Times New Roman"/>
          <w:color w:val="000000" w:themeColor="text1"/>
          <w:sz w:val="28"/>
          <w:szCs w:val="28"/>
          <w:lang w:val="en-US"/>
        </w:rPr>
        <w:t>Bacto</w:t>
      </w:r>
      <w:r w:rsidR="00D16FBB" w:rsidRPr="00C634FF">
        <w:rPr>
          <w:rFonts w:ascii="Times New Roman" w:eastAsia="Times New Roman" w:hAnsi="Times New Roman" w:cs="Times New Roman"/>
          <w:color w:val="000000" w:themeColor="text1"/>
          <w:sz w:val="28"/>
          <w:szCs w:val="28"/>
          <w:lang w:val="ru-RU"/>
        </w:rPr>
        <w:t xml:space="preserve"> </w:t>
      </w:r>
      <w:r w:rsidRPr="00CC7883">
        <w:rPr>
          <w:rFonts w:ascii="Times New Roman" w:eastAsia="Times New Roman" w:hAnsi="Times New Roman" w:cs="Times New Roman"/>
          <w:color w:val="000000" w:themeColor="text1"/>
          <w:sz w:val="28"/>
          <w:szCs w:val="28"/>
        </w:rPr>
        <w:t xml:space="preserve">(7 г/л) – на 28-му добу формувалося в середньому 5,6 коренів </w:t>
      </w:r>
      <w:r w:rsidR="005612C3" w:rsidRPr="00CC7883">
        <w:rPr>
          <w:rFonts w:ascii="Times New Roman" w:eastAsia="Times New Roman" w:hAnsi="Times New Roman" w:cs="Times New Roman"/>
          <w:color w:val="000000" w:themeColor="text1"/>
          <w:sz w:val="28"/>
          <w:szCs w:val="28"/>
        </w:rPr>
        <w:t>із середньою довжиною 3,2 см [23</w:t>
      </w:r>
      <w:r w:rsidR="009E747E" w:rsidRPr="00CC7883">
        <w:rPr>
          <w:rFonts w:ascii="Times New Roman" w:eastAsia="Times New Roman" w:hAnsi="Times New Roman" w:cs="Times New Roman"/>
          <w:color w:val="000000" w:themeColor="text1"/>
          <w:sz w:val="28"/>
          <w:szCs w:val="28"/>
        </w:rPr>
        <w:t>9</w:t>
      </w:r>
      <w:r w:rsidRPr="00CC7883">
        <w:rPr>
          <w:rFonts w:ascii="Times New Roman" w:eastAsia="Times New Roman" w:hAnsi="Times New Roman" w:cs="Times New Roman"/>
          <w:color w:val="000000" w:themeColor="text1"/>
          <w:sz w:val="28"/>
          <w:szCs w:val="28"/>
        </w:rPr>
        <w:t>]. Подібні результати було отримано і після модифікації середовища MS – додавання активованого вугілля (50–500 мг/л) сприяло ініціації ризогенезу та подовженню коренів картоплі їстівної (</w:t>
      </w:r>
      <w:r w:rsidRPr="00CC7883">
        <w:rPr>
          <w:rFonts w:ascii="Times New Roman" w:eastAsia="Times New Roman" w:hAnsi="Times New Roman" w:cs="Times New Roman"/>
          <w:i/>
          <w:color w:val="000000" w:themeColor="text1"/>
          <w:sz w:val="28"/>
          <w:szCs w:val="28"/>
        </w:rPr>
        <w:t>Solanum tuberosum</w:t>
      </w:r>
      <w:r w:rsidRPr="00CC7883">
        <w:rPr>
          <w:rFonts w:ascii="Times New Roman" w:eastAsia="Times New Roman" w:hAnsi="Times New Roman" w:cs="Times New Roman"/>
          <w:color w:val="000000" w:themeColor="text1"/>
          <w:sz w:val="28"/>
          <w:szCs w:val="28"/>
        </w:rPr>
        <w:t xml:space="preserve"> L.) сортів «Kufri Jyoti» і «Kufri Sindhuri», однак для інших сортів такий ефект не підтвердився [</w:t>
      </w:r>
      <w:r w:rsidR="00171E6A" w:rsidRPr="00CC7883">
        <w:rPr>
          <w:rFonts w:ascii="Times New Roman" w:eastAsia="Times New Roman" w:hAnsi="Times New Roman" w:cs="Times New Roman"/>
          <w:color w:val="000000" w:themeColor="text1"/>
          <w:sz w:val="28"/>
          <w:szCs w:val="28"/>
        </w:rPr>
        <w:t>98</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Nadal M. C. та Zawadzka M. досліджували можливість використання пробіотиків для оптимізації укорінення й росту коренів мікроклональних </w:t>
      </w:r>
      <w:r w:rsidRPr="00CC7883">
        <w:rPr>
          <w:rFonts w:ascii="Times New Roman" w:eastAsia="Times New Roman" w:hAnsi="Times New Roman" w:cs="Times New Roman"/>
          <w:color w:val="000000" w:themeColor="text1"/>
          <w:sz w:val="28"/>
          <w:szCs w:val="28"/>
        </w:rPr>
        <w:lastRenderedPageBreak/>
        <w:t>рослин груші звичайної (</w:t>
      </w:r>
      <w:r w:rsidRPr="00CC7883">
        <w:rPr>
          <w:rFonts w:ascii="Times New Roman" w:eastAsia="Times New Roman" w:hAnsi="Times New Roman" w:cs="Times New Roman"/>
          <w:i/>
          <w:iCs/>
          <w:color w:val="000000" w:themeColor="text1"/>
          <w:sz w:val="28"/>
          <w:szCs w:val="28"/>
        </w:rPr>
        <w:t xml:space="preserve">Pyrus communis </w:t>
      </w:r>
      <w:r w:rsidRPr="00CC7883">
        <w:rPr>
          <w:rFonts w:ascii="Times New Roman" w:eastAsia="Times New Roman" w:hAnsi="Times New Roman" w:cs="Times New Roman"/>
          <w:iCs/>
          <w:color w:val="000000" w:themeColor="text1"/>
          <w:sz w:val="28"/>
          <w:szCs w:val="28"/>
        </w:rPr>
        <w:t>L</w:t>
      </w:r>
      <w:r w:rsidRPr="00CC7883">
        <w:rPr>
          <w:rFonts w:ascii="Times New Roman" w:eastAsia="Times New Roman" w:hAnsi="Times New Roman" w:cs="Times New Roman"/>
          <w:color w:val="000000" w:themeColor="text1"/>
          <w:sz w:val="28"/>
          <w:szCs w:val="28"/>
        </w:rPr>
        <w:t>.), хризантеми великоквіткової (</w:t>
      </w:r>
      <w:r w:rsidRPr="00CC7883">
        <w:rPr>
          <w:rFonts w:ascii="Times New Roman" w:eastAsia="Times New Roman" w:hAnsi="Times New Roman" w:cs="Times New Roman"/>
          <w:i/>
          <w:iCs/>
          <w:color w:val="000000" w:themeColor="text1"/>
          <w:sz w:val="28"/>
          <w:szCs w:val="28"/>
        </w:rPr>
        <w:t>Chrysanthemum grandiflorum</w:t>
      </w:r>
      <w:r w:rsidRPr="00CC7883">
        <w:rPr>
          <w:rFonts w:ascii="Times New Roman" w:eastAsia="Times New Roman" w:hAnsi="Times New Roman" w:cs="Times New Roman"/>
          <w:color w:val="000000" w:themeColor="text1"/>
          <w:sz w:val="28"/>
          <w:szCs w:val="28"/>
        </w:rPr>
        <w:t xml:space="preserve"> (Desf.) Batt.) та гербери Джеймсона (</w:t>
      </w:r>
      <w:r w:rsidRPr="00CC7883">
        <w:rPr>
          <w:rFonts w:ascii="Times New Roman" w:eastAsia="Times New Roman" w:hAnsi="Times New Roman" w:cs="Times New Roman"/>
          <w:i/>
          <w:iCs/>
          <w:color w:val="000000" w:themeColor="text1"/>
          <w:sz w:val="28"/>
          <w:szCs w:val="28"/>
        </w:rPr>
        <w:t>Gerbera jamesonii</w:t>
      </w:r>
      <w:r w:rsidRPr="00CC7883">
        <w:rPr>
          <w:rFonts w:ascii="Times New Roman" w:eastAsia="Times New Roman" w:hAnsi="Times New Roman" w:cs="Times New Roman"/>
          <w:color w:val="000000" w:themeColor="text1"/>
          <w:sz w:val="28"/>
          <w:szCs w:val="28"/>
        </w:rPr>
        <w:t xml:space="preserve"> Bolus ex Hook. f.). Зокрема, інокуляція експлантів бактеріями </w:t>
      </w:r>
      <w:r w:rsidRPr="00CC7883">
        <w:rPr>
          <w:rFonts w:ascii="Times New Roman" w:eastAsia="Times New Roman" w:hAnsi="Times New Roman" w:cs="Times New Roman"/>
          <w:i/>
          <w:iCs/>
          <w:color w:val="000000" w:themeColor="text1"/>
          <w:sz w:val="28"/>
          <w:szCs w:val="28"/>
        </w:rPr>
        <w:t>A. ursingii</w:t>
      </w:r>
      <w:r w:rsidRPr="00CC7883">
        <w:rPr>
          <w:rFonts w:ascii="Times New Roman" w:eastAsia="Times New Roman" w:hAnsi="Times New Roman" w:cs="Times New Roman"/>
          <w:color w:val="000000" w:themeColor="text1"/>
          <w:sz w:val="28"/>
          <w:szCs w:val="28"/>
        </w:rPr>
        <w:t xml:space="preserve"> забезпечувала утворення 5–7 коренів завдовжки 1,0–1,9 см, що було </w:t>
      </w:r>
      <w:r w:rsidR="001213D6">
        <w:rPr>
          <w:rFonts w:ascii="Times New Roman" w:eastAsia="Times New Roman" w:hAnsi="Times New Roman" w:cs="Times New Roman"/>
          <w:color w:val="000000" w:themeColor="text1"/>
          <w:sz w:val="28"/>
          <w:szCs w:val="28"/>
        </w:rPr>
        <w:t>зі</w:t>
      </w:r>
      <w:r w:rsidRPr="00CC7883">
        <w:rPr>
          <w:rFonts w:ascii="Times New Roman" w:eastAsia="Times New Roman" w:hAnsi="Times New Roman" w:cs="Times New Roman"/>
          <w:color w:val="000000" w:themeColor="text1"/>
          <w:sz w:val="28"/>
          <w:szCs w:val="28"/>
        </w:rPr>
        <w:t>ста</w:t>
      </w:r>
      <w:r w:rsidR="005612C3" w:rsidRPr="00CC7883">
        <w:rPr>
          <w:rFonts w:ascii="Times New Roman" w:eastAsia="Times New Roman" w:hAnsi="Times New Roman" w:cs="Times New Roman"/>
          <w:color w:val="000000" w:themeColor="text1"/>
          <w:sz w:val="28"/>
          <w:szCs w:val="28"/>
        </w:rPr>
        <w:t>вним із дією ІМК (2,0 мг/л) [189</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26</w:t>
      </w:r>
      <w:r w:rsidR="009E747E" w:rsidRPr="00CC7883">
        <w:rPr>
          <w:rFonts w:ascii="Times New Roman" w:eastAsia="Times New Roman" w:hAnsi="Times New Roman" w:cs="Times New Roman"/>
          <w:color w:val="000000" w:themeColor="text1"/>
          <w:sz w:val="28"/>
          <w:szCs w:val="28"/>
        </w:rPr>
        <w:t>6</w:t>
      </w:r>
      <w:r w:rsidRPr="00CC7883">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bCs/>
          <w:iCs/>
          <w:color w:val="000000" w:themeColor="text1"/>
          <w:sz w:val="28"/>
          <w:szCs w:val="28"/>
        </w:rPr>
        <w:t>.</w:t>
      </w:r>
      <w:r w:rsidR="008323EC" w:rsidRPr="00CC7883">
        <w:rPr>
          <w:rFonts w:ascii="Times New Roman" w:eastAsia="Times New Roman" w:hAnsi="Times New Roman" w:cs="Times New Roman"/>
          <w:bCs/>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Подібно до використання пробіотиків, для стимулювання регенерації коренів</w:t>
      </w:r>
      <w:r w:rsidR="00D16FBB" w:rsidRPr="00C634FF">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осики звичайної (</w:t>
      </w:r>
      <w:r w:rsidRPr="00CC7883">
        <w:rPr>
          <w:rFonts w:ascii="Times New Roman" w:eastAsia="Times New Roman" w:hAnsi="Times New Roman" w:cs="Times New Roman"/>
          <w:i/>
          <w:iCs/>
          <w:color w:val="000000" w:themeColor="text1"/>
          <w:sz w:val="28"/>
          <w:szCs w:val="28"/>
        </w:rPr>
        <w:t>Populus tremula</w:t>
      </w:r>
      <w:r w:rsidRPr="00CC7883">
        <w:rPr>
          <w:rFonts w:ascii="Times New Roman" w:eastAsia="Times New Roman" w:hAnsi="Times New Roman" w:cs="Times New Roman"/>
          <w:color w:val="000000" w:themeColor="text1"/>
          <w:sz w:val="28"/>
          <w:szCs w:val="28"/>
        </w:rPr>
        <w:t xml:space="preserve"> L.) Р. М. Гричаник застосовував модифіковане поживне середовище Меліна-Норкранса, інокульоване чистою культурою свинушки тонкої (</w:t>
      </w:r>
      <w:r w:rsidRPr="00CC7883">
        <w:rPr>
          <w:rFonts w:ascii="Times New Roman" w:eastAsia="Times New Roman" w:hAnsi="Times New Roman" w:cs="Times New Roman"/>
          <w:i/>
          <w:iCs/>
          <w:color w:val="000000" w:themeColor="text1"/>
          <w:sz w:val="28"/>
          <w:szCs w:val="28"/>
        </w:rPr>
        <w:t>Paxillus involutus</w:t>
      </w:r>
      <w:r w:rsidRPr="00CC7883">
        <w:rPr>
          <w:rFonts w:ascii="Times New Roman" w:eastAsia="Times New Roman" w:hAnsi="Times New Roman" w:cs="Times New Roman"/>
          <w:color w:val="000000" w:themeColor="text1"/>
          <w:sz w:val="28"/>
          <w:szCs w:val="28"/>
        </w:rPr>
        <w:t xml:space="preserve"> Batch. ex Fr.). Це середовище позитивно впливало на ризогенез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color w:val="000000" w:themeColor="text1"/>
          <w:sz w:val="28"/>
          <w:szCs w:val="28"/>
        </w:rPr>
        <w:t xml:space="preserve"> – після 9 діб культивування живців формувалося в середньому 1,8–5,5 коренів, а після 14 діб – 2,5–7,7 коренів [</w:t>
      </w:r>
      <w:r w:rsidR="00171E6A" w:rsidRPr="00CC7883">
        <w:rPr>
          <w:rFonts w:ascii="Times New Roman" w:eastAsia="Times New Roman" w:hAnsi="Times New Roman" w:cs="Times New Roman"/>
          <w:color w:val="000000" w:themeColor="text1"/>
          <w:sz w:val="28"/>
          <w:szCs w:val="28"/>
        </w:rPr>
        <w:t>10</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bCs/>
          <w:color w:val="000000" w:themeColor="text1"/>
          <w:sz w:val="28"/>
          <w:szCs w:val="28"/>
        </w:rPr>
      </w:pPr>
      <w:r w:rsidRPr="00CC7883">
        <w:rPr>
          <w:rFonts w:ascii="Times New Roman" w:eastAsia="Times New Roman" w:hAnsi="Times New Roman" w:cs="Times New Roman"/>
          <w:bCs/>
          <w:color w:val="000000" w:themeColor="text1"/>
          <w:sz w:val="28"/>
          <w:szCs w:val="28"/>
        </w:rPr>
        <w:t xml:space="preserve">Дослідження показують, що використання інертних субстратів (торф, перліт, </w:t>
      </w:r>
      <w:r w:rsidR="005A0410" w:rsidRPr="00CC7883">
        <w:rPr>
          <w:rFonts w:ascii="Times New Roman" w:hAnsi="Times New Roman" w:cs="Times New Roman"/>
          <w:color w:val="000000" w:themeColor="text1"/>
          <w:sz w:val="28"/>
          <w:szCs w:val="28"/>
        </w:rPr>
        <w:t>верм</w:t>
      </w:r>
      <w:r w:rsidR="005A0410">
        <w:rPr>
          <w:rFonts w:ascii="Times New Roman" w:hAnsi="Times New Roman" w:cs="Times New Roman"/>
          <w:color w:val="000000" w:themeColor="text1"/>
          <w:sz w:val="28"/>
          <w:szCs w:val="28"/>
        </w:rPr>
        <w:t>и</w:t>
      </w:r>
      <w:r w:rsidR="005A0410" w:rsidRPr="00CC7883">
        <w:rPr>
          <w:rFonts w:ascii="Times New Roman" w:hAnsi="Times New Roman" w:cs="Times New Roman"/>
          <w:color w:val="000000" w:themeColor="text1"/>
          <w:sz w:val="28"/>
          <w:szCs w:val="28"/>
        </w:rPr>
        <w:t>куліт</w:t>
      </w:r>
      <w:r w:rsidRPr="00CC7883">
        <w:rPr>
          <w:rFonts w:ascii="Times New Roman" w:eastAsia="Times New Roman" w:hAnsi="Times New Roman" w:cs="Times New Roman"/>
          <w:bCs/>
          <w:color w:val="000000" w:themeColor="text1"/>
          <w:sz w:val="28"/>
          <w:szCs w:val="28"/>
        </w:rPr>
        <w:t xml:space="preserve">) у поєднанні з рідкими поживними середовищами та регуляторами росту значно підвищує ефективність вкорінення рослин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bCs/>
          <w:color w:val="000000" w:themeColor="text1"/>
          <w:sz w:val="28"/>
          <w:szCs w:val="28"/>
        </w:rPr>
        <w:t>. Наприклад, для олеандру звичайного (</w:t>
      </w:r>
      <w:r w:rsidRPr="00CC7883">
        <w:rPr>
          <w:rFonts w:ascii="Times New Roman" w:eastAsia="Times New Roman" w:hAnsi="Times New Roman" w:cs="Times New Roman"/>
          <w:bCs/>
          <w:i/>
          <w:color w:val="000000" w:themeColor="text1"/>
          <w:sz w:val="28"/>
          <w:szCs w:val="28"/>
        </w:rPr>
        <w:t>Nerium oleander</w:t>
      </w:r>
      <w:r w:rsidR="002102AF" w:rsidRPr="00CC7883">
        <w:rPr>
          <w:rFonts w:ascii="Times New Roman" w:eastAsia="Times New Roman" w:hAnsi="Times New Roman" w:cs="Times New Roman"/>
          <w:bCs/>
          <w:i/>
          <w:color w:val="000000" w:themeColor="text1"/>
          <w:sz w:val="28"/>
          <w:szCs w:val="28"/>
        </w:rPr>
        <w:t xml:space="preserve"> </w:t>
      </w:r>
      <w:r w:rsidRPr="00CC7883">
        <w:rPr>
          <w:rFonts w:ascii="Times New Roman" w:eastAsia="Times New Roman" w:hAnsi="Times New Roman" w:cs="Times New Roman"/>
          <w:bCs/>
          <w:color w:val="000000" w:themeColor="text1"/>
          <w:sz w:val="28"/>
          <w:szCs w:val="28"/>
        </w:rPr>
        <w:t>L.) використання суміші зазначених субстратів, насиченої поживним середовищем WPM сприяло укоріненню 75,6–80,0 % експлантів порівняно з 37,8–48,9 % у контролі [13</w:t>
      </w:r>
      <w:r w:rsidR="00171E6A" w:rsidRPr="00CC7883">
        <w:rPr>
          <w:rFonts w:ascii="Times New Roman" w:eastAsia="Times New Roman" w:hAnsi="Times New Roman" w:cs="Times New Roman"/>
          <w:bCs/>
          <w:color w:val="000000" w:themeColor="text1"/>
          <w:sz w:val="28"/>
          <w:szCs w:val="28"/>
        </w:rPr>
        <w:t>2</w:t>
      </w:r>
      <w:r w:rsidRPr="00CC7883">
        <w:rPr>
          <w:rFonts w:ascii="Times New Roman" w:eastAsia="Times New Roman" w:hAnsi="Times New Roman" w:cs="Times New Roman"/>
          <w:bCs/>
          <w:color w:val="000000" w:themeColor="text1"/>
          <w:sz w:val="28"/>
          <w:szCs w:val="28"/>
        </w:rPr>
        <w:t>]. Для</w:t>
      </w:r>
      <w:r w:rsidR="002102AF" w:rsidRPr="00CC7883">
        <w:rPr>
          <w:rFonts w:ascii="Times New Roman" w:eastAsia="Times New Roman" w:hAnsi="Times New Roman" w:cs="Times New Roman"/>
          <w:bCs/>
          <w:color w:val="000000" w:themeColor="text1"/>
          <w:sz w:val="28"/>
          <w:szCs w:val="28"/>
        </w:rPr>
        <w:t xml:space="preserve"> </w:t>
      </w:r>
      <w:r w:rsidRPr="00CC7883">
        <w:rPr>
          <w:rFonts w:ascii="Times New Roman" w:eastAsia="Times New Roman" w:hAnsi="Times New Roman" w:cs="Times New Roman"/>
          <w:i/>
          <w:color w:val="000000" w:themeColor="text1"/>
          <w:sz w:val="28"/>
          <w:szCs w:val="28"/>
        </w:rPr>
        <w:t>Anthurium</w:t>
      </w:r>
      <w:r w:rsidR="002102AF"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i/>
          <w:color w:val="000000" w:themeColor="text1"/>
          <w:sz w:val="28"/>
          <w:szCs w:val="28"/>
        </w:rPr>
        <w:t>andraeanum</w:t>
      </w:r>
      <w:r w:rsidR="002102AF"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color w:val="000000" w:themeColor="text1"/>
          <w:sz w:val="28"/>
          <w:szCs w:val="28"/>
        </w:rPr>
        <w:t>L. сорту «</w:t>
      </w:r>
      <w:r w:rsidRPr="00CC7883">
        <w:rPr>
          <w:rFonts w:ascii="Times New Roman" w:eastAsia="Times New Roman" w:hAnsi="Times New Roman" w:cs="Times New Roman"/>
          <w:iCs/>
          <w:color w:val="000000" w:themeColor="text1"/>
          <w:sz w:val="28"/>
          <w:szCs w:val="28"/>
        </w:rPr>
        <w:t>Avanti</w:t>
      </w:r>
      <w:r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bCs/>
          <w:color w:val="000000" w:themeColor="text1"/>
          <w:sz w:val="28"/>
          <w:szCs w:val="28"/>
        </w:rPr>
        <w:t xml:space="preserve">використання торф’яного моху або </w:t>
      </w:r>
      <w:r w:rsidR="005A0410" w:rsidRPr="00CC7883">
        <w:rPr>
          <w:rFonts w:ascii="Times New Roman" w:hAnsi="Times New Roman" w:cs="Times New Roman"/>
          <w:color w:val="000000" w:themeColor="text1"/>
          <w:sz w:val="28"/>
          <w:szCs w:val="28"/>
        </w:rPr>
        <w:t>верм</w:t>
      </w:r>
      <w:r w:rsidR="005A0410">
        <w:rPr>
          <w:rFonts w:ascii="Times New Roman" w:hAnsi="Times New Roman" w:cs="Times New Roman"/>
          <w:color w:val="000000" w:themeColor="text1"/>
          <w:sz w:val="28"/>
          <w:szCs w:val="28"/>
        </w:rPr>
        <w:t>и</w:t>
      </w:r>
      <w:r w:rsidR="005A0410" w:rsidRPr="00CC7883">
        <w:rPr>
          <w:rFonts w:ascii="Times New Roman" w:hAnsi="Times New Roman" w:cs="Times New Roman"/>
          <w:color w:val="000000" w:themeColor="text1"/>
          <w:sz w:val="28"/>
          <w:szCs w:val="28"/>
        </w:rPr>
        <w:t>куліт</w:t>
      </w:r>
      <w:r w:rsidRPr="00CC7883">
        <w:rPr>
          <w:rFonts w:ascii="Times New Roman" w:eastAsia="Times New Roman" w:hAnsi="Times New Roman" w:cs="Times New Roman"/>
          <w:bCs/>
          <w:color w:val="000000" w:themeColor="text1"/>
          <w:sz w:val="28"/>
          <w:szCs w:val="28"/>
        </w:rPr>
        <w:t>у разом із середовищем ½ MS та попередньою обробкою пагонів 2,5 мг/л ІМК забезпечило 46,7 % ефективності укорінення, причому формувалося 1,0–1,8 коренів завдовжки 6,6–7,8 см [</w:t>
      </w:r>
      <w:r w:rsidR="00171E6A" w:rsidRPr="00CC7883">
        <w:rPr>
          <w:rFonts w:ascii="Times New Roman" w:eastAsia="Times New Roman" w:hAnsi="Times New Roman" w:cs="Times New Roman"/>
          <w:color w:val="000000" w:themeColor="text1"/>
          <w:sz w:val="28"/>
          <w:szCs w:val="28"/>
        </w:rPr>
        <w:t>145</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bCs/>
          <w:color w:val="000000" w:themeColor="text1"/>
          <w:sz w:val="28"/>
          <w:szCs w:val="28"/>
        </w:rPr>
      </w:pPr>
      <w:r w:rsidRPr="00CC7883">
        <w:rPr>
          <w:rFonts w:ascii="Times New Roman" w:eastAsia="Times New Roman" w:hAnsi="Times New Roman" w:cs="Times New Roman"/>
          <w:color w:val="000000" w:themeColor="text1"/>
          <w:sz w:val="28"/>
          <w:szCs w:val="28"/>
        </w:rPr>
        <w:t xml:space="preserve">Використання чистого вермикуліту у культурі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суттєво впливало на ефективність укорінення та розвиток кореневої системи мікроклонів </w:t>
      </w:r>
      <w:r w:rsidRPr="00CC7883">
        <w:rPr>
          <w:rFonts w:ascii="Times New Roman" w:eastAsia="Times New Roman" w:hAnsi="Times New Roman" w:cs="Times New Roman"/>
          <w:bCs/>
          <w:color w:val="000000" w:themeColor="text1"/>
          <w:sz w:val="28"/>
          <w:szCs w:val="28"/>
        </w:rPr>
        <w:t>яблуні низької (</w:t>
      </w:r>
      <w:r w:rsidRPr="00CC7883">
        <w:rPr>
          <w:rFonts w:ascii="Times New Roman" w:eastAsia="Times New Roman" w:hAnsi="Times New Roman" w:cs="Times New Roman"/>
          <w:bCs/>
          <w:i/>
          <w:color w:val="000000" w:themeColor="text1"/>
          <w:sz w:val="28"/>
          <w:szCs w:val="28"/>
        </w:rPr>
        <w:t>Malus pumilla</w:t>
      </w:r>
      <w:r w:rsidRPr="00CC7883">
        <w:rPr>
          <w:rFonts w:ascii="Times New Roman" w:eastAsia="Times New Roman" w:hAnsi="Times New Roman" w:cs="Times New Roman"/>
          <w:bCs/>
          <w:color w:val="000000" w:themeColor="text1"/>
          <w:sz w:val="28"/>
          <w:szCs w:val="28"/>
        </w:rPr>
        <w:t xml:space="preserve"> Mill.). Показано, що 88,4 % живці</w:t>
      </w:r>
      <w:r w:rsidR="00A67A1C">
        <w:rPr>
          <w:rFonts w:ascii="Times New Roman" w:eastAsia="Times New Roman" w:hAnsi="Times New Roman" w:cs="Times New Roman"/>
          <w:bCs/>
          <w:color w:val="000000" w:themeColor="text1"/>
          <w:sz w:val="28"/>
          <w:szCs w:val="28"/>
        </w:rPr>
        <w:t>в</w:t>
      </w:r>
      <w:r w:rsidRPr="00CC7883">
        <w:rPr>
          <w:rFonts w:ascii="Times New Roman" w:eastAsia="Times New Roman" w:hAnsi="Times New Roman" w:cs="Times New Roman"/>
          <w:bCs/>
          <w:color w:val="000000" w:themeColor="text1"/>
          <w:sz w:val="28"/>
          <w:szCs w:val="28"/>
        </w:rPr>
        <w:t xml:space="preserve"> успішно укорінювалися на цьому субстраті, на стандартному середовищі ½ MS з ІМК (контроль) – 79,1 %, що пов’язують із покращеною аерацією та зменшенням сві</w:t>
      </w:r>
      <w:r w:rsidR="00946960" w:rsidRPr="00CC7883">
        <w:rPr>
          <w:rFonts w:ascii="Times New Roman" w:eastAsia="Times New Roman" w:hAnsi="Times New Roman" w:cs="Times New Roman"/>
          <w:bCs/>
          <w:color w:val="000000" w:themeColor="text1"/>
          <w:sz w:val="28"/>
          <w:szCs w:val="28"/>
        </w:rPr>
        <w:t>тлопроникності субстрату [25</w:t>
      </w:r>
      <w:r w:rsidR="009E747E" w:rsidRPr="00CC7883">
        <w:rPr>
          <w:rFonts w:ascii="Times New Roman" w:eastAsia="Times New Roman" w:hAnsi="Times New Roman" w:cs="Times New Roman"/>
          <w:bCs/>
          <w:color w:val="000000" w:themeColor="text1"/>
          <w:sz w:val="28"/>
          <w:szCs w:val="28"/>
        </w:rPr>
        <w:t>5</w:t>
      </w:r>
      <w:r w:rsidRPr="00CC7883">
        <w:rPr>
          <w:rFonts w:ascii="Times New Roman" w:eastAsia="Times New Roman" w:hAnsi="Times New Roman" w:cs="Times New Roman"/>
          <w:bCs/>
          <w:color w:val="000000" w:themeColor="text1"/>
          <w:sz w:val="28"/>
          <w:szCs w:val="28"/>
        </w:rPr>
        <w:t>]. Схожий ефект спостерігали для груші звичайної (</w:t>
      </w:r>
      <w:r w:rsidRPr="00CC7883">
        <w:rPr>
          <w:rFonts w:ascii="Times New Roman" w:eastAsia="Times New Roman" w:hAnsi="Times New Roman" w:cs="Times New Roman"/>
          <w:bCs/>
          <w:i/>
          <w:color w:val="000000" w:themeColor="text1"/>
          <w:sz w:val="28"/>
          <w:szCs w:val="28"/>
        </w:rPr>
        <w:t>Pyrus</w:t>
      </w:r>
      <w:r w:rsidR="009C098F" w:rsidRPr="00CC7883">
        <w:rPr>
          <w:rFonts w:ascii="Times New Roman" w:eastAsia="Times New Roman" w:hAnsi="Times New Roman" w:cs="Times New Roman"/>
          <w:bCs/>
          <w:i/>
          <w:color w:val="000000" w:themeColor="text1"/>
          <w:sz w:val="28"/>
          <w:szCs w:val="28"/>
        </w:rPr>
        <w:t xml:space="preserve"> </w:t>
      </w:r>
      <w:r w:rsidRPr="00CC7883">
        <w:rPr>
          <w:rFonts w:ascii="Times New Roman" w:eastAsia="Times New Roman" w:hAnsi="Times New Roman" w:cs="Times New Roman"/>
          <w:bCs/>
          <w:i/>
          <w:color w:val="000000" w:themeColor="text1"/>
          <w:sz w:val="28"/>
          <w:szCs w:val="28"/>
        </w:rPr>
        <w:t>communis</w:t>
      </w:r>
      <w:r w:rsidR="002102AF" w:rsidRPr="00CC7883">
        <w:rPr>
          <w:rFonts w:ascii="Times New Roman" w:eastAsia="Times New Roman" w:hAnsi="Times New Roman" w:cs="Times New Roman"/>
          <w:bCs/>
          <w:i/>
          <w:color w:val="000000" w:themeColor="text1"/>
          <w:sz w:val="28"/>
          <w:szCs w:val="28"/>
        </w:rPr>
        <w:t xml:space="preserve"> </w:t>
      </w:r>
      <w:r w:rsidRPr="00CC7883">
        <w:rPr>
          <w:rFonts w:ascii="Times New Roman" w:eastAsia="Times New Roman" w:hAnsi="Times New Roman" w:cs="Times New Roman"/>
          <w:bCs/>
          <w:color w:val="000000" w:themeColor="text1"/>
          <w:sz w:val="28"/>
          <w:szCs w:val="28"/>
        </w:rPr>
        <w:t>L.) – культивування на вермикуліті сприяло формуванню бічних коренів у 31,1 % живців сорту «</w:t>
      </w:r>
      <w:r w:rsidRPr="00CC7883">
        <w:rPr>
          <w:rFonts w:ascii="Times New Roman" w:eastAsia="Times New Roman" w:hAnsi="Times New Roman" w:cs="Times New Roman"/>
          <w:bCs/>
          <w:iCs/>
          <w:color w:val="000000" w:themeColor="text1"/>
          <w:sz w:val="28"/>
          <w:szCs w:val="28"/>
        </w:rPr>
        <w:t>Bartlett</w:t>
      </w:r>
      <w:r w:rsidRPr="00CC7883">
        <w:rPr>
          <w:rFonts w:ascii="Times New Roman" w:eastAsia="Times New Roman" w:hAnsi="Times New Roman" w:cs="Times New Roman"/>
          <w:bCs/>
          <w:color w:val="000000" w:themeColor="text1"/>
          <w:sz w:val="28"/>
          <w:szCs w:val="28"/>
        </w:rPr>
        <w:t xml:space="preserve">» та 53,6 % клону </w:t>
      </w:r>
      <w:r w:rsidRPr="00CC7883">
        <w:rPr>
          <w:rFonts w:ascii="Times New Roman" w:eastAsia="Times New Roman" w:hAnsi="Times New Roman" w:cs="Times New Roman"/>
          <w:bCs/>
          <w:color w:val="000000" w:themeColor="text1"/>
          <w:sz w:val="28"/>
          <w:szCs w:val="28"/>
        </w:rPr>
        <w:lastRenderedPageBreak/>
        <w:t>«OH × F97», у контролі бічні корені не утворювалися [16</w:t>
      </w:r>
      <w:r w:rsidR="005612C3" w:rsidRPr="00CC7883">
        <w:rPr>
          <w:rFonts w:ascii="Times New Roman" w:eastAsia="Times New Roman" w:hAnsi="Times New Roman" w:cs="Times New Roman"/>
          <w:bCs/>
          <w:color w:val="000000" w:themeColor="text1"/>
          <w:sz w:val="28"/>
          <w:szCs w:val="28"/>
        </w:rPr>
        <w:t>0</w:t>
      </w:r>
      <w:r w:rsidRPr="00CC7883">
        <w:rPr>
          <w:rFonts w:ascii="Times New Roman" w:eastAsia="Times New Roman" w:hAnsi="Times New Roman" w:cs="Times New Roman"/>
          <w:bCs/>
          <w:color w:val="000000" w:themeColor="text1"/>
          <w:sz w:val="28"/>
          <w:szCs w:val="28"/>
        </w:rPr>
        <w:t>]. Для ясен</w:t>
      </w:r>
      <w:r w:rsidR="001563C7">
        <w:rPr>
          <w:rFonts w:ascii="Times New Roman" w:eastAsia="Times New Roman" w:hAnsi="Times New Roman" w:cs="Times New Roman"/>
          <w:bCs/>
          <w:color w:val="000000" w:themeColor="text1"/>
          <w:sz w:val="28"/>
          <w:szCs w:val="28"/>
        </w:rPr>
        <w:t>я</w:t>
      </w:r>
      <w:r w:rsidRPr="00CC7883">
        <w:rPr>
          <w:rFonts w:ascii="Times New Roman" w:eastAsia="Times New Roman" w:hAnsi="Times New Roman" w:cs="Times New Roman"/>
          <w:bCs/>
          <w:color w:val="000000" w:themeColor="text1"/>
          <w:sz w:val="28"/>
          <w:szCs w:val="28"/>
        </w:rPr>
        <w:t xml:space="preserve"> звичайного (</w:t>
      </w:r>
      <w:r w:rsidRPr="00CC7883">
        <w:rPr>
          <w:rFonts w:ascii="Times New Roman" w:eastAsia="Times New Roman" w:hAnsi="Times New Roman" w:cs="Times New Roman"/>
          <w:bCs/>
          <w:i/>
          <w:color w:val="000000" w:themeColor="text1"/>
          <w:sz w:val="28"/>
          <w:szCs w:val="28"/>
        </w:rPr>
        <w:t>Fraxinus excelsior</w:t>
      </w:r>
      <w:r w:rsidRPr="00CC7883">
        <w:rPr>
          <w:rFonts w:ascii="Times New Roman" w:eastAsia="Times New Roman" w:hAnsi="Times New Roman" w:cs="Times New Roman"/>
          <w:bCs/>
          <w:color w:val="000000" w:themeColor="text1"/>
          <w:sz w:val="28"/>
          <w:szCs w:val="28"/>
        </w:rPr>
        <w:t xml:space="preserve"> L.) застосування торф’яного субстрату або суміші торфу з перлітом у поєднанні з ІМК та </w:t>
      </w:r>
      <w:r w:rsidRPr="00CC7883">
        <w:rPr>
          <w:rFonts w:ascii="Times New Roman" w:eastAsia="NSimSun" w:hAnsi="Times New Roman" w:cs="Times New Roman"/>
          <w:color w:val="000000" w:themeColor="text1"/>
          <w:kern w:val="3"/>
          <w:sz w:val="28"/>
          <w:szCs w:val="28"/>
        </w:rPr>
        <w:t>α-</w:t>
      </w:r>
      <w:r w:rsidRPr="00CC7883">
        <w:rPr>
          <w:rFonts w:ascii="Times New Roman" w:eastAsia="Times New Roman" w:hAnsi="Times New Roman" w:cs="Times New Roman"/>
          <w:bCs/>
          <w:color w:val="000000" w:themeColor="text1"/>
          <w:sz w:val="28"/>
          <w:szCs w:val="28"/>
        </w:rPr>
        <w:t>НОК (1,0 мг/л) значно підвищувало ефективність укорінення (90,0 %) і сприяло формуванню р</w:t>
      </w:r>
      <w:r w:rsidR="00171E6A" w:rsidRPr="00CC7883">
        <w:rPr>
          <w:rFonts w:ascii="Times New Roman" w:eastAsia="Times New Roman" w:hAnsi="Times New Roman" w:cs="Times New Roman"/>
          <w:bCs/>
          <w:color w:val="000000" w:themeColor="text1"/>
          <w:sz w:val="28"/>
          <w:szCs w:val="28"/>
        </w:rPr>
        <w:t>озвиненої кореневої системи [106</w:t>
      </w:r>
      <w:r w:rsidRPr="00CC7883">
        <w:rPr>
          <w:rFonts w:ascii="Times New Roman" w:eastAsia="Times New Roman" w:hAnsi="Times New Roman" w:cs="Times New Roman"/>
          <w:bCs/>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Keathmetha W. &amp;</w:t>
      </w:r>
      <w:r w:rsidR="001563C7">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Suksa-Ard</w:t>
      </w:r>
      <w:r w:rsidR="001563C7">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P. у своїх дослідженнях з </w:t>
      </w:r>
      <w:r w:rsidRPr="00CC7883">
        <w:rPr>
          <w:rFonts w:ascii="Times New Roman" w:eastAsia="Times New Roman" w:hAnsi="Times New Roman" w:cs="Times New Roman"/>
          <w:i/>
          <w:color w:val="000000" w:themeColor="text1"/>
          <w:sz w:val="28"/>
          <w:szCs w:val="28"/>
        </w:rPr>
        <w:t>Anthurium andraeanum</w:t>
      </w:r>
      <w:r w:rsidRPr="00CC7883">
        <w:rPr>
          <w:rFonts w:ascii="Times New Roman" w:eastAsia="Times New Roman" w:hAnsi="Times New Roman" w:cs="Times New Roman"/>
          <w:color w:val="000000" w:themeColor="text1"/>
          <w:sz w:val="28"/>
          <w:szCs w:val="28"/>
        </w:rPr>
        <w:t xml:space="preserve"> L. сорту до суміші торфу з вермикулітом додава</w:t>
      </w:r>
      <w:r w:rsidR="00A67A1C">
        <w:rPr>
          <w:rFonts w:ascii="Times New Roman" w:eastAsia="Times New Roman" w:hAnsi="Times New Roman" w:cs="Times New Roman"/>
          <w:color w:val="000000" w:themeColor="text1"/>
          <w:sz w:val="28"/>
          <w:szCs w:val="28"/>
        </w:rPr>
        <w:t>ли</w:t>
      </w:r>
      <w:r w:rsidRPr="00CC7883">
        <w:rPr>
          <w:rFonts w:ascii="Times New Roman" w:eastAsia="Times New Roman" w:hAnsi="Times New Roman" w:cs="Times New Roman"/>
          <w:color w:val="000000" w:themeColor="text1"/>
          <w:sz w:val="28"/>
          <w:szCs w:val="28"/>
        </w:rPr>
        <w:t xml:space="preserve"> фітогелі. Показа</w:t>
      </w:r>
      <w:r w:rsidR="00A67A1C">
        <w:rPr>
          <w:rFonts w:ascii="Times New Roman" w:eastAsia="Times New Roman" w:hAnsi="Times New Roman" w:cs="Times New Roman"/>
          <w:color w:val="000000" w:themeColor="text1"/>
          <w:sz w:val="28"/>
          <w:szCs w:val="28"/>
        </w:rPr>
        <w:t>ли</w:t>
      </w:r>
      <w:r w:rsidRPr="00CC7883">
        <w:rPr>
          <w:rFonts w:ascii="Times New Roman" w:eastAsia="Times New Roman" w:hAnsi="Times New Roman" w:cs="Times New Roman"/>
          <w:color w:val="000000" w:themeColor="text1"/>
          <w:sz w:val="28"/>
          <w:szCs w:val="28"/>
        </w:rPr>
        <w:t>, що використання такої суміші забезпечило укорінення 46,7 % живців із формуванням 1,0–1,9 коренів завдовжки 6,7–7,9 мм. Сформовані корені мали більше кореневих волосків та добре розвинені судинні пучки</w:t>
      </w:r>
      <w:r w:rsidR="005612C3"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w:t>
      </w:r>
      <w:r w:rsidR="00171E6A" w:rsidRPr="00CC7883">
        <w:rPr>
          <w:rFonts w:ascii="Times New Roman" w:hAnsi="Times New Roman" w:cs="Times New Roman"/>
          <w:color w:val="000000" w:themeColor="text1"/>
          <w:sz w:val="28"/>
          <w:szCs w:val="28"/>
        </w:rPr>
        <w:t>14</w:t>
      </w:r>
      <w:r w:rsidR="005612C3" w:rsidRPr="00CC7883">
        <w:rPr>
          <w:rFonts w:ascii="Times New Roman" w:hAnsi="Times New Roman" w:cs="Times New Roman"/>
          <w:color w:val="000000" w:themeColor="text1"/>
          <w:sz w:val="28"/>
          <w:szCs w:val="28"/>
        </w:rPr>
        <w:t>5</w:t>
      </w:r>
      <w:r w:rsidRPr="00CC7883">
        <w:rPr>
          <w:rFonts w:ascii="Times New Roman" w:eastAsia="Times New Roman" w:hAnsi="Times New Roman" w:cs="Times New Roman"/>
          <w:color w:val="000000" w:themeColor="text1"/>
          <w:sz w:val="28"/>
          <w:szCs w:val="28"/>
        </w:rPr>
        <w:t>].</w:t>
      </w:r>
      <w:r w:rsidR="005612C3"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Проте у</w:t>
      </w:r>
      <w:r w:rsidR="001563C7">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дослідженні Fekry W. A. &amp; Wahdan H. M. було показано, що використання субстратів у культурі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color w:val="000000" w:themeColor="text1"/>
          <w:sz w:val="28"/>
          <w:szCs w:val="28"/>
        </w:rPr>
        <w:t xml:space="preserve"> для укорінення ініціальних експлантів не завжди давало результати, що переважають контрольні значення (агаризоване поживне середовище). Укорінення мікроклонів суниці садової (</w:t>
      </w:r>
      <w:r w:rsidRPr="00CC7883">
        <w:rPr>
          <w:rFonts w:ascii="Times New Roman" w:eastAsia="Times New Roman" w:hAnsi="Times New Roman" w:cs="Times New Roman"/>
          <w:i/>
          <w:color w:val="000000" w:themeColor="text1"/>
          <w:sz w:val="28"/>
          <w:szCs w:val="28"/>
        </w:rPr>
        <w:t>Fragaria × ananassa</w:t>
      </w:r>
      <w:r w:rsidRPr="00CC7883">
        <w:rPr>
          <w:rFonts w:ascii="Times New Roman" w:eastAsia="Times New Roman" w:hAnsi="Times New Roman" w:cs="Times New Roman"/>
          <w:color w:val="000000" w:themeColor="text1"/>
          <w:sz w:val="28"/>
          <w:szCs w:val="28"/>
        </w:rPr>
        <w:t xml:space="preserve"> Duch.) на суміші торфу і вермикуліту за більшістю показників (кількість та довжина коренів) відповідало контролю, на вермикуліті – ці показники</w:t>
      </w:r>
      <w:r w:rsidR="00171E6A" w:rsidRPr="00CC7883">
        <w:rPr>
          <w:rFonts w:ascii="Times New Roman" w:eastAsia="Times New Roman" w:hAnsi="Times New Roman" w:cs="Times New Roman"/>
          <w:color w:val="000000" w:themeColor="text1"/>
          <w:sz w:val="28"/>
          <w:szCs w:val="28"/>
        </w:rPr>
        <w:t xml:space="preserve"> були меншими за контрольні [116</w:t>
      </w:r>
      <w:r w:rsidRPr="00CC7883">
        <w:rPr>
          <w:rFonts w:ascii="Times New Roman" w:eastAsia="Times New Roman" w:hAnsi="Times New Roman" w:cs="Times New Roman"/>
          <w:color w:val="000000" w:themeColor="text1"/>
          <w:sz w:val="28"/>
          <w:szCs w:val="28"/>
        </w:rPr>
        <w:t>]. Подібні результати було отримано Souza J. A. et</w:t>
      </w:r>
      <w:r w:rsidR="00694F30"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al. у процесі дослідження особливостей укорінення мікроклонів яблуні домашньої (</w:t>
      </w:r>
      <w:r w:rsidRPr="00CC7883">
        <w:rPr>
          <w:rFonts w:ascii="Times New Roman" w:eastAsia="Times New Roman" w:hAnsi="Times New Roman" w:cs="Times New Roman"/>
          <w:i/>
          <w:color w:val="000000" w:themeColor="text1"/>
          <w:sz w:val="28"/>
          <w:szCs w:val="28"/>
        </w:rPr>
        <w:t>Malus domestica</w:t>
      </w:r>
      <w:r w:rsidRPr="00CC7883">
        <w:rPr>
          <w:rFonts w:ascii="Times New Roman" w:eastAsia="Times New Roman" w:hAnsi="Times New Roman" w:cs="Times New Roman"/>
          <w:color w:val="000000" w:themeColor="text1"/>
          <w:sz w:val="28"/>
          <w:szCs w:val="28"/>
        </w:rPr>
        <w:t xml:space="preserve"> Borkh.) та евкаліпту (</w:t>
      </w:r>
      <w:r w:rsidRPr="00CC7883">
        <w:rPr>
          <w:rFonts w:ascii="Times New Roman" w:eastAsia="Times New Roman" w:hAnsi="Times New Roman" w:cs="Times New Roman"/>
          <w:i/>
          <w:color w:val="000000" w:themeColor="text1"/>
          <w:sz w:val="28"/>
          <w:szCs w:val="28"/>
        </w:rPr>
        <w:t>Eucalyptus grandis</w:t>
      </w:r>
      <w:r w:rsidRPr="00CC7883">
        <w:rPr>
          <w:rFonts w:ascii="Times New Roman" w:eastAsia="Times New Roman" w:hAnsi="Times New Roman" w:cs="Times New Roman"/>
          <w:color w:val="000000" w:themeColor="text1"/>
          <w:sz w:val="28"/>
          <w:szCs w:val="28"/>
        </w:rPr>
        <w:t xml:space="preserve"> W. Hill ex Maiden × </w:t>
      </w:r>
      <w:r w:rsidRPr="00CC7883">
        <w:rPr>
          <w:rFonts w:ascii="Times New Roman" w:eastAsia="Times New Roman" w:hAnsi="Times New Roman" w:cs="Times New Roman"/>
          <w:i/>
          <w:color w:val="000000" w:themeColor="text1"/>
          <w:sz w:val="28"/>
          <w:szCs w:val="28"/>
        </w:rPr>
        <w:t>Eucalyptus urophylla</w:t>
      </w:r>
      <w:r w:rsidRPr="00CC7883">
        <w:rPr>
          <w:rFonts w:ascii="Times New Roman" w:eastAsia="Times New Roman" w:hAnsi="Times New Roman" w:cs="Times New Roman"/>
          <w:color w:val="000000" w:themeColor="text1"/>
          <w:sz w:val="28"/>
          <w:szCs w:val="28"/>
        </w:rPr>
        <w:t xml:space="preserve"> S.</w:t>
      </w:r>
      <w:r w:rsidR="00D16FBB" w:rsidRPr="00C634FF">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T. Blake). Однак автори зазначили, що хоча у культурі </w:t>
      </w:r>
      <w:r w:rsidR="000553AD" w:rsidRPr="00CC7883">
        <w:rPr>
          <w:rFonts w:ascii="Times New Roman" w:hAnsi="Times New Roman" w:cs="Times New Roman"/>
          <w:i/>
          <w:color w:val="000000" w:themeColor="text1"/>
          <w:sz w:val="28"/>
        </w:rPr>
        <w:t>in vitro</w:t>
      </w:r>
      <w:r w:rsidRPr="00CC7883">
        <w:rPr>
          <w:rFonts w:ascii="Times New Roman" w:eastAsia="Times New Roman" w:hAnsi="Times New Roman" w:cs="Times New Roman"/>
          <w:color w:val="000000" w:themeColor="text1"/>
          <w:sz w:val="28"/>
          <w:szCs w:val="28"/>
        </w:rPr>
        <w:t xml:space="preserve"> показники приживлюваності рослин знижувалися, під час подальшої адаптації </w:t>
      </w:r>
      <w:r w:rsidR="001221F9" w:rsidRPr="00CC7883">
        <w:rPr>
          <w:rFonts w:ascii="Times New Roman" w:hAnsi="Times New Roman" w:cs="Times New Roman"/>
          <w:i/>
          <w:color w:val="000000" w:themeColor="text1"/>
          <w:sz w:val="28"/>
          <w:szCs w:val="28"/>
        </w:rPr>
        <w:t>in vivo</w:t>
      </w:r>
      <w:r w:rsidRPr="00CC7883">
        <w:rPr>
          <w:rFonts w:ascii="Times New Roman" w:eastAsia="Times New Roman" w:hAnsi="Times New Roman" w:cs="Times New Roman"/>
          <w:color w:val="000000" w:themeColor="text1"/>
          <w:sz w:val="28"/>
          <w:szCs w:val="28"/>
        </w:rPr>
        <w:t xml:space="preserve"> спостерігалася протилежна тенденція. Мікроклони, отримані на </w:t>
      </w:r>
      <w:r w:rsidR="005A0410" w:rsidRPr="00CC7883">
        <w:rPr>
          <w:rFonts w:ascii="Times New Roman" w:hAnsi="Times New Roman" w:cs="Times New Roman"/>
          <w:color w:val="000000" w:themeColor="text1"/>
          <w:sz w:val="28"/>
          <w:szCs w:val="28"/>
        </w:rPr>
        <w:t>верм</w:t>
      </w:r>
      <w:r w:rsidR="005A0410">
        <w:rPr>
          <w:rFonts w:ascii="Times New Roman" w:hAnsi="Times New Roman" w:cs="Times New Roman"/>
          <w:color w:val="000000" w:themeColor="text1"/>
          <w:sz w:val="28"/>
          <w:szCs w:val="28"/>
        </w:rPr>
        <w:t>и</w:t>
      </w:r>
      <w:r w:rsidR="005A0410" w:rsidRPr="00CC7883">
        <w:rPr>
          <w:rFonts w:ascii="Times New Roman" w:hAnsi="Times New Roman" w:cs="Times New Roman"/>
          <w:color w:val="000000" w:themeColor="text1"/>
          <w:sz w:val="28"/>
          <w:szCs w:val="28"/>
        </w:rPr>
        <w:t>куліт</w:t>
      </w:r>
      <w:r w:rsidRPr="00CC7883">
        <w:rPr>
          <w:rFonts w:ascii="Times New Roman" w:eastAsia="Times New Roman" w:hAnsi="Times New Roman" w:cs="Times New Roman"/>
          <w:color w:val="000000" w:themeColor="text1"/>
          <w:sz w:val="28"/>
          <w:szCs w:val="28"/>
        </w:rPr>
        <w:t xml:space="preserve">і, характеризувалися кращим приживанням (75,0–80,0 %) порівняно з варіантами, де рослини укорінювали на поживному середовищі MS (60,0–65,0 %). Це свідчить про їх високу адаптаційну здатність </w:t>
      </w:r>
      <w:r w:rsidR="001221F9" w:rsidRPr="00CC7883">
        <w:rPr>
          <w:rFonts w:ascii="Times New Roman" w:hAnsi="Times New Roman" w:cs="Times New Roman"/>
          <w:i/>
          <w:color w:val="000000" w:themeColor="text1"/>
          <w:sz w:val="28"/>
          <w:szCs w:val="28"/>
        </w:rPr>
        <w:t>in vivo</w:t>
      </w:r>
      <w:r w:rsidRPr="00CC7883">
        <w:rPr>
          <w:rFonts w:ascii="Times New Roman" w:eastAsia="Times New Roman" w:hAnsi="Times New Roman" w:cs="Times New Roman"/>
          <w:color w:val="000000" w:themeColor="text1"/>
          <w:sz w:val="28"/>
          <w:szCs w:val="28"/>
        </w:rPr>
        <w:t xml:space="preserve"> [23</w:t>
      </w:r>
      <w:r w:rsidR="009E747E" w:rsidRPr="00CC7883">
        <w:rPr>
          <w:rFonts w:ascii="Times New Roman" w:eastAsia="Times New Roman" w:hAnsi="Times New Roman" w:cs="Times New Roman"/>
          <w:color w:val="000000" w:themeColor="text1"/>
          <w:sz w:val="28"/>
          <w:szCs w:val="28"/>
        </w:rPr>
        <w:t>6</w:t>
      </w:r>
      <w:r w:rsidR="00F44ECE" w:rsidRPr="00C634FF">
        <w:rPr>
          <w:rFonts w:ascii="Times New Roman" w:eastAsia="Times New Roman" w:hAnsi="Times New Roman" w:cs="Times New Roman"/>
          <w:color w:val="000000" w:themeColor="text1"/>
          <w:sz w:val="28"/>
          <w:szCs w:val="28"/>
        </w:rPr>
        <w:t>,</w:t>
      </w:r>
      <w:r w:rsidR="00171E6A" w:rsidRPr="00CC7883">
        <w:rPr>
          <w:rFonts w:ascii="Times New Roman" w:eastAsia="Times New Roman" w:hAnsi="Times New Roman" w:cs="Times New Roman"/>
          <w:color w:val="000000" w:themeColor="text1"/>
          <w:sz w:val="28"/>
          <w:szCs w:val="28"/>
        </w:rPr>
        <w:t xml:space="preserve"> 120</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Крім складу поживного середовища, на інтенсифікацію ризогенезу мікроклонів позитивно впливає і фотоперіод. Зокрема, використання комбінацій червоного/синього, червоного/синього/фіолетового та </w:t>
      </w:r>
      <w:r w:rsidRPr="00CC7883">
        <w:rPr>
          <w:rFonts w:ascii="Times New Roman" w:eastAsia="Times New Roman" w:hAnsi="Times New Roman" w:cs="Times New Roman"/>
          <w:color w:val="000000" w:themeColor="text1"/>
          <w:sz w:val="28"/>
          <w:szCs w:val="28"/>
        </w:rPr>
        <w:lastRenderedPageBreak/>
        <w:t>червоного/синього/фіолетового/зеленого світла під час культивування експлантів кунінгамії ланцетної (</w:t>
      </w:r>
      <w:r w:rsidRPr="00CC7883">
        <w:rPr>
          <w:rFonts w:ascii="Times New Roman" w:eastAsia="Times New Roman" w:hAnsi="Times New Roman" w:cs="Times New Roman"/>
          <w:i/>
          <w:iCs/>
          <w:color w:val="000000" w:themeColor="text1"/>
          <w:sz w:val="28"/>
          <w:szCs w:val="28"/>
        </w:rPr>
        <w:t xml:space="preserve">Cunninghamia lanceolata </w:t>
      </w:r>
      <w:r w:rsidRPr="00CC7883">
        <w:rPr>
          <w:rFonts w:ascii="Times New Roman" w:eastAsia="Times New Roman" w:hAnsi="Times New Roman" w:cs="Times New Roman"/>
          <w:color w:val="000000" w:themeColor="text1"/>
          <w:sz w:val="28"/>
          <w:szCs w:val="28"/>
        </w:rPr>
        <w:t>Lamb</w:t>
      </w:r>
      <w:r w:rsidR="005612C3" w:rsidRPr="00CC7883">
        <w:rPr>
          <w:rFonts w:ascii="Times New Roman" w:eastAsia="Times New Roman" w:hAnsi="Times New Roman" w:cs="Times New Roman"/>
          <w:color w:val="000000" w:themeColor="text1"/>
          <w:sz w:val="28"/>
          <w:szCs w:val="28"/>
        </w:rPr>
        <w:t>.) [2</w:t>
      </w:r>
      <w:r w:rsidR="009E747E" w:rsidRPr="00CC7883">
        <w:rPr>
          <w:rFonts w:ascii="Times New Roman" w:eastAsia="Times New Roman" w:hAnsi="Times New Roman" w:cs="Times New Roman"/>
          <w:color w:val="000000" w:themeColor="text1"/>
          <w:sz w:val="28"/>
          <w:szCs w:val="28"/>
        </w:rPr>
        <w:t>60</w:t>
      </w:r>
      <w:r w:rsidRPr="00CC7883">
        <w:rPr>
          <w:rFonts w:ascii="Times New Roman" w:eastAsia="Times New Roman" w:hAnsi="Times New Roman" w:cs="Times New Roman"/>
          <w:color w:val="000000" w:themeColor="text1"/>
          <w:sz w:val="28"/>
          <w:szCs w:val="28"/>
        </w:rPr>
        <w:t>], перстачу маленького (</w:t>
      </w:r>
      <w:r w:rsidRPr="00CC7883">
        <w:rPr>
          <w:rFonts w:ascii="Times New Roman" w:eastAsia="Times New Roman" w:hAnsi="Times New Roman" w:cs="Times New Roman"/>
          <w:i/>
          <w:iCs/>
          <w:color w:val="000000" w:themeColor="text1"/>
          <w:sz w:val="28"/>
          <w:szCs w:val="28"/>
        </w:rPr>
        <w:t xml:space="preserve">Potentilla pusilla </w:t>
      </w:r>
      <w:r w:rsidRPr="00CC7883">
        <w:rPr>
          <w:rFonts w:ascii="Times New Roman" w:eastAsia="Times New Roman" w:hAnsi="Times New Roman" w:cs="Times New Roman"/>
          <w:color w:val="000000" w:themeColor="text1"/>
          <w:sz w:val="28"/>
          <w:szCs w:val="28"/>
        </w:rPr>
        <w:t>Host) [25</w:t>
      </w:r>
      <w:r w:rsidR="009E747E" w:rsidRPr="00CC7883">
        <w:rPr>
          <w:rFonts w:ascii="Times New Roman" w:eastAsia="Times New Roman" w:hAnsi="Times New Roman" w:cs="Times New Roman"/>
          <w:color w:val="000000" w:themeColor="text1"/>
          <w:sz w:val="28"/>
          <w:szCs w:val="28"/>
        </w:rPr>
        <w:t>4</w:t>
      </w:r>
      <w:r w:rsidRPr="00CC7883">
        <w:rPr>
          <w:rFonts w:ascii="Times New Roman" w:eastAsia="Times New Roman" w:hAnsi="Times New Roman" w:cs="Times New Roman"/>
          <w:color w:val="000000" w:themeColor="text1"/>
          <w:sz w:val="28"/>
          <w:szCs w:val="28"/>
        </w:rPr>
        <w:t>], нарцису великоцвітного (</w:t>
      </w:r>
      <w:r w:rsidRPr="00CC7883">
        <w:rPr>
          <w:rFonts w:ascii="Times New Roman" w:eastAsia="Times New Roman" w:hAnsi="Times New Roman" w:cs="Times New Roman"/>
          <w:i/>
          <w:iCs/>
          <w:color w:val="000000" w:themeColor="text1"/>
          <w:sz w:val="28"/>
          <w:szCs w:val="28"/>
        </w:rPr>
        <w:t xml:space="preserve">Narcissus tazzeta </w:t>
      </w:r>
      <w:r w:rsidRPr="00CC7883">
        <w:rPr>
          <w:rFonts w:ascii="Times New Roman" w:eastAsia="Times New Roman" w:hAnsi="Times New Roman" w:cs="Times New Roman"/>
          <w:color w:val="000000" w:themeColor="text1"/>
          <w:sz w:val="28"/>
          <w:szCs w:val="28"/>
        </w:rPr>
        <w:t>L.) [21</w:t>
      </w:r>
      <w:r w:rsidR="009E747E" w:rsidRPr="00CC7883">
        <w:rPr>
          <w:rFonts w:ascii="Times New Roman" w:eastAsia="Times New Roman" w:hAnsi="Times New Roman" w:cs="Times New Roman"/>
          <w:color w:val="000000" w:themeColor="text1"/>
          <w:sz w:val="28"/>
          <w:szCs w:val="28"/>
        </w:rPr>
        <w:t>4</w:t>
      </w:r>
      <w:r w:rsidRPr="00CC7883">
        <w:rPr>
          <w:rFonts w:ascii="Times New Roman" w:eastAsia="Times New Roman" w:hAnsi="Times New Roman" w:cs="Times New Roman"/>
          <w:color w:val="000000" w:themeColor="text1"/>
          <w:sz w:val="28"/>
          <w:szCs w:val="28"/>
        </w:rPr>
        <w:t xml:space="preserve">] та ін. забезпечувало високий відсоток укорінення (75,6–95,5 %) і формування </w:t>
      </w:r>
      <w:r w:rsidR="005612C3" w:rsidRPr="00CC7883">
        <w:rPr>
          <w:rFonts w:ascii="Times New Roman" w:eastAsia="Times New Roman" w:hAnsi="Times New Roman" w:cs="Times New Roman"/>
          <w:color w:val="000000" w:themeColor="text1"/>
          <w:sz w:val="28"/>
          <w:szCs w:val="28"/>
        </w:rPr>
        <w:t>коренів завдовжки 1,5–5,9 см [2</w:t>
      </w:r>
      <w:r w:rsidR="009E747E" w:rsidRPr="00CC7883">
        <w:rPr>
          <w:rFonts w:ascii="Times New Roman" w:eastAsia="Times New Roman" w:hAnsi="Times New Roman" w:cs="Times New Roman"/>
          <w:color w:val="000000" w:themeColor="text1"/>
          <w:sz w:val="28"/>
          <w:szCs w:val="28"/>
        </w:rPr>
        <w:t>60</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25</w:t>
      </w:r>
      <w:r w:rsidR="009E747E" w:rsidRPr="00CC7883">
        <w:rPr>
          <w:rFonts w:ascii="Times New Roman" w:eastAsia="Times New Roman" w:hAnsi="Times New Roman" w:cs="Times New Roman"/>
          <w:color w:val="000000" w:themeColor="text1"/>
          <w:sz w:val="28"/>
          <w:szCs w:val="28"/>
        </w:rPr>
        <w:t>4</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21</w:t>
      </w:r>
      <w:r w:rsidR="009E747E" w:rsidRPr="00CC7883">
        <w:rPr>
          <w:rFonts w:ascii="Times New Roman" w:eastAsia="Times New Roman" w:hAnsi="Times New Roman" w:cs="Times New Roman"/>
          <w:color w:val="000000" w:themeColor="text1"/>
          <w:sz w:val="28"/>
          <w:szCs w:val="28"/>
        </w:rPr>
        <w:t>4</w:t>
      </w:r>
      <w:r w:rsidR="00F44ECE"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w:t>
      </w:r>
      <w:r w:rsidR="005612C3" w:rsidRPr="00CC7883">
        <w:rPr>
          <w:rFonts w:ascii="Times New Roman" w:eastAsia="NSimSun" w:hAnsi="Times New Roman" w:cs="Times New Roman"/>
          <w:color w:val="000000" w:themeColor="text1"/>
          <w:kern w:val="3"/>
          <w:sz w:val="28"/>
          <w:szCs w:val="28"/>
        </w:rPr>
        <w:t>25</w:t>
      </w:r>
      <w:r w:rsidR="009E747E" w:rsidRPr="00CC7883">
        <w:rPr>
          <w:rFonts w:ascii="Times New Roman" w:eastAsia="NSimSun" w:hAnsi="Times New Roman" w:cs="Times New Roman"/>
          <w:color w:val="000000" w:themeColor="text1"/>
          <w:kern w:val="3"/>
          <w:sz w:val="28"/>
          <w:szCs w:val="28"/>
        </w:rPr>
        <w:t>9</w:t>
      </w:r>
      <w:r w:rsidR="00F44ECE" w:rsidRPr="00C634FF">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w:t>
      </w:r>
      <w:r w:rsidRPr="00CC7883">
        <w:rPr>
          <w:rFonts w:ascii="Times New Roman" w:hAnsi="Times New Roman" w:cs="Times New Roman"/>
          <w:color w:val="000000" w:themeColor="text1"/>
          <w:sz w:val="28"/>
          <w:szCs w:val="28"/>
        </w:rPr>
        <w:t>16</w:t>
      </w:r>
      <w:r w:rsidR="005612C3" w:rsidRPr="00CC7883">
        <w:rPr>
          <w:rFonts w:ascii="Times New Roman" w:hAnsi="Times New Roman" w:cs="Times New Roman"/>
          <w:color w:val="000000" w:themeColor="text1"/>
          <w:sz w:val="28"/>
          <w:szCs w:val="28"/>
        </w:rPr>
        <w:t>4</w:t>
      </w:r>
      <w:r w:rsidR="00F44ECE" w:rsidRPr="00C634FF">
        <w:rPr>
          <w:rFonts w:ascii="Times New Roman" w:eastAsia="NSimSun" w:hAnsi="Times New Roman" w:cs="Times New Roman"/>
          <w:color w:val="000000" w:themeColor="text1"/>
          <w:kern w:val="3"/>
          <w:sz w:val="28"/>
          <w:szCs w:val="28"/>
        </w:rPr>
        <w:t>,</w:t>
      </w:r>
      <w:r w:rsidR="00794D46" w:rsidRPr="00CC7883">
        <w:rPr>
          <w:rFonts w:ascii="Times New Roman" w:eastAsia="NSimSun" w:hAnsi="Times New Roman" w:cs="Times New Roman"/>
          <w:color w:val="000000" w:themeColor="text1"/>
          <w:kern w:val="3"/>
          <w:sz w:val="28"/>
          <w:szCs w:val="28"/>
        </w:rPr>
        <w:t xml:space="preserve"> 2</w:t>
      </w:r>
      <w:r w:rsidR="005612C3" w:rsidRPr="00CC7883">
        <w:rPr>
          <w:rFonts w:ascii="Times New Roman" w:eastAsia="NSimSun" w:hAnsi="Times New Roman" w:cs="Times New Roman"/>
          <w:color w:val="000000" w:themeColor="text1"/>
          <w:kern w:val="3"/>
          <w:sz w:val="28"/>
          <w:szCs w:val="28"/>
        </w:rPr>
        <w:t>2</w:t>
      </w:r>
      <w:r w:rsidR="009E747E" w:rsidRPr="00CC7883">
        <w:rPr>
          <w:rFonts w:ascii="Times New Roman" w:eastAsia="NSimSun" w:hAnsi="Times New Roman" w:cs="Times New Roman"/>
          <w:color w:val="000000" w:themeColor="text1"/>
          <w:kern w:val="3"/>
          <w:sz w:val="28"/>
          <w:szCs w:val="28"/>
        </w:rPr>
        <w:t>7</w:t>
      </w:r>
      <w:r w:rsidR="00F44ECE" w:rsidRPr="00C634FF">
        <w:rPr>
          <w:rFonts w:ascii="Times New Roman" w:eastAsia="NSimSun" w:hAnsi="Times New Roman" w:cs="Times New Roman"/>
          <w:color w:val="000000" w:themeColor="text1"/>
          <w:kern w:val="3"/>
          <w:sz w:val="28"/>
          <w:szCs w:val="28"/>
        </w:rPr>
        <w:t>,</w:t>
      </w:r>
      <w:r w:rsidR="00794D46" w:rsidRPr="00CC7883">
        <w:rPr>
          <w:rFonts w:ascii="Times New Roman" w:eastAsia="NSimSun" w:hAnsi="Times New Roman" w:cs="Times New Roman"/>
          <w:color w:val="000000" w:themeColor="text1"/>
          <w:kern w:val="3"/>
          <w:sz w:val="28"/>
          <w:szCs w:val="28"/>
        </w:rPr>
        <w:t xml:space="preserve"> 27</w:t>
      </w:r>
      <w:r w:rsidR="009E747E" w:rsidRPr="00CC7883">
        <w:rPr>
          <w:rFonts w:ascii="Times New Roman" w:eastAsia="NSimSun" w:hAnsi="Times New Roman" w:cs="Times New Roman"/>
          <w:color w:val="000000" w:themeColor="text1"/>
          <w:kern w:val="3"/>
          <w:sz w:val="28"/>
          <w:szCs w:val="28"/>
        </w:rPr>
        <w:t>1</w:t>
      </w:r>
      <w:r w:rsidR="00F44ECE" w:rsidRPr="00C634FF">
        <w:rPr>
          <w:rFonts w:ascii="Times New Roman" w:eastAsia="NSimSun" w:hAnsi="Times New Roman" w:cs="Times New Roman"/>
          <w:color w:val="000000" w:themeColor="text1"/>
          <w:kern w:val="3"/>
          <w:sz w:val="28"/>
          <w:szCs w:val="28"/>
        </w:rPr>
        <w:t>,</w:t>
      </w:r>
      <w:r w:rsidR="00794D46" w:rsidRPr="00CC7883">
        <w:rPr>
          <w:rFonts w:ascii="Times New Roman" w:eastAsia="NSimSun" w:hAnsi="Times New Roman" w:cs="Times New Roman"/>
          <w:color w:val="000000" w:themeColor="text1"/>
          <w:kern w:val="3"/>
          <w:sz w:val="28"/>
          <w:szCs w:val="28"/>
        </w:rPr>
        <w:t xml:space="preserve"> 143</w:t>
      </w:r>
      <w:r w:rsidRPr="00CC7883">
        <w:rPr>
          <w:rFonts w:ascii="Times New Roman" w:eastAsia="NSimSun" w:hAnsi="Times New Roman" w:cs="Times New Roman"/>
          <w:color w:val="000000" w:themeColor="text1"/>
          <w:kern w:val="3"/>
          <w:sz w:val="28"/>
          <w:szCs w:val="28"/>
        </w:rPr>
        <w:t>]</w:t>
      </w:r>
      <w:r w:rsidR="006B4C64">
        <w:rPr>
          <w:rFonts w:ascii="Times New Roman" w:eastAsia="NSimSun" w:hAnsi="Times New Roman" w:cs="Times New Roman"/>
          <w:color w:val="000000" w:themeColor="text1"/>
          <w:kern w:val="3"/>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i/>
          <w:iCs/>
          <w:color w:val="000000" w:themeColor="text1"/>
          <w:sz w:val="28"/>
          <w:szCs w:val="28"/>
        </w:rPr>
        <w:t>Виноград</w:t>
      </w:r>
      <w:r w:rsidRPr="00CC7883">
        <w:rPr>
          <w:rFonts w:ascii="Times New Roman" w:eastAsia="Times New Roman" w:hAnsi="Times New Roman" w:cs="Times New Roman"/>
          <w:color w:val="000000" w:themeColor="text1"/>
          <w:sz w:val="28"/>
          <w:szCs w:val="28"/>
        </w:rPr>
        <w:t>. Отримання мікроклональних рослин винограду з добре розвиненою кореневою системою є ключовою умовою їх успішної адаптації до природних (нестерильних) умов. На процес укорінення таких рослин впливають численні фактори, серед яких – склад поживного середовища, тип субстрату, застосування екзогенних регуляторів росту та умови освітлення. Так, для сортів «Мускат Олександрійський», «Ред Глоуб», «Агіоргітіко» та «Суперіор» використання у складі поживного середовища ІМК (1,0 мг/л), іноді у поєднанні з α-НОК, забезпечувало 73,0–100,0 % укорінення одновічкових чубуків із формуванням 2,8–4,5 шт. коренів довжиною 3,2–4,5 см [</w:t>
      </w:r>
      <w:r w:rsidR="00794D46" w:rsidRPr="00CC7883">
        <w:rPr>
          <w:rFonts w:ascii="Times New Roman" w:eastAsia="Times New Roman" w:hAnsi="Times New Roman" w:cs="Times New Roman"/>
          <w:color w:val="000000" w:themeColor="text1"/>
          <w:sz w:val="28"/>
          <w:szCs w:val="28"/>
        </w:rPr>
        <w:t>75</w:t>
      </w:r>
      <w:r w:rsidR="00F44ECE" w:rsidRPr="00C634FF">
        <w:rPr>
          <w:rFonts w:ascii="Times New Roman" w:eastAsia="Times New Roman" w:hAnsi="Times New Roman" w:cs="Times New Roman"/>
          <w:color w:val="000000" w:themeColor="text1"/>
          <w:sz w:val="28"/>
          <w:szCs w:val="28"/>
          <w:lang w:val="ru-RU"/>
        </w:rPr>
        <w:t>,</w:t>
      </w:r>
      <w:r w:rsidR="00632BAB" w:rsidRPr="00CC7883">
        <w:rPr>
          <w:rFonts w:ascii="Times New Roman" w:eastAsia="Times New Roman" w:hAnsi="Times New Roman" w:cs="Times New Roman"/>
          <w:color w:val="000000" w:themeColor="text1"/>
          <w:sz w:val="28"/>
          <w:szCs w:val="28"/>
        </w:rPr>
        <w:t xml:space="preserve"> </w:t>
      </w:r>
      <w:r w:rsidR="00794D46" w:rsidRPr="00CC7883">
        <w:rPr>
          <w:rFonts w:ascii="Times New Roman" w:eastAsia="Times New Roman" w:hAnsi="Times New Roman" w:cs="Times New Roman"/>
          <w:color w:val="000000" w:themeColor="text1"/>
          <w:sz w:val="28"/>
          <w:szCs w:val="28"/>
        </w:rPr>
        <w:t>87</w:t>
      </w:r>
      <w:r w:rsidR="00F44ECE" w:rsidRPr="00C634FF">
        <w:rPr>
          <w:rFonts w:ascii="Times New Roman" w:eastAsia="Times New Roman" w:hAnsi="Times New Roman" w:cs="Times New Roman"/>
          <w:color w:val="000000" w:themeColor="text1"/>
          <w:sz w:val="28"/>
          <w:szCs w:val="28"/>
          <w:lang w:val="ru-RU"/>
        </w:rPr>
        <w:t>,</w:t>
      </w:r>
      <w:r w:rsidR="00632BAB" w:rsidRPr="00CC7883">
        <w:rPr>
          <w:rFonts w:ascii="Times New Roman" w:eastAsia="Times New Roman" w:hAnsi="Times New Roman" w:cs="Times New Roman"/>
          <w:color w:val="000000" w:themeColor="text1"/>
          <w:sz w:val="28"/>
          <w:szCs w:val="28"/>
        </w:rPr>
        <w:t xml:space="preserve"> </w:t>
      </w:r>
      <w:r w:rsidR="00794D46" w:rsidRPr="00CC7883">
        <w:rPr>
          <w:rFonts w:ascii="Times New Roman" w:eastAsia="Times New Roman" w:hAnsi="Times New Roman" w:cs="Times New Roman"/>
          <w:color w:val="000000" w:themeColor="text1"/>
          <w:sz w:val="28"/>
          <w:szCs w:val="28"/>
        </w:rPr>
        <w:t>109</w:t>
      </w:r>
      <w:r w:rsidR="00F44ECE" w:rsidRPr="00C634FF">
        <w:rPr>
          <w:rFonts w:ascii="Times New Roman" w:eastAsia="Times New Roman" w:hAnsi="Times New Roman" w:cs="Times New Roman"/>
          <w:color w:val="000000" w:themeColor="text1"/>
          <w:sz w:val="28"/>
          <w:szCs w:val="28"/>
          <w:lang w:val="ru-RU"/>
        </w:rPr>
        <w:t>,</w:t>
      </w:r>
      <w:r w:rsidR="00632BAB" w:rsidRPr="00CC7883">
        <w:rPr>
          <w:rFonts w:ascii="Times New Roman" w:eastAsia="Times New Roman" w:hAnsi="Times New Roman" w:cs="Times New Roman"/>
          <w:color w:val="000000" w:themeColor="text1"/>
          <w:sz w:val="28"/>
          <w:szCs w:val="28"/>
        </w:rPr>
        <w:t xml:space="preserve"> </w:t>
      </w:r>
      <w:r w:rsidR="00794D46" w:rsidRPr="00CC7883">
        <w:rPr>
          <w:rFonts w:ascii="Times New Roman" w:eastAsia="Times New Roman" w:hAnsi="Times New Roman" w:cs="Times New Roman"/>
          <w:color w:val="000000" w:themeColor="text1"/>
          <w:sz w:val="28"/>
          <w:szCs w:val="28"/>
        </w:rPr>
        <w:t>91</w:t>
      </w:r>
      <w:r w:rsidR="00F44ECE" w:rsidRPr="00C634FF">
        <w:rPr>
          <w:rFonts w:ascii="Times New Roman" w:eastAsia="Times New Roman" w:hAnsi="Times New Roman" w:cs="Times New Roman"/>
          <w:color w:val="000000" w:themeColor="text1"/>
          <w:sz w:val="28"/>
          <w:szCs w:val="28"/>
          <w:lang w:val="ru-RU"/>
        </w:rPr>
        <w:t>,</w:t>
      </w:r>
      <w:r w:rsidR="00632BAB" w:rsidRPr="00CC7883">
        <w:rPr>
          <w:rFonts w:ascii="Times New Roman" w:eastAsia="Times New Roman" w:hAnsi="Times New Roman" w:cs="Times New Roman"/>
          <w:color w:val="000000" w:themeColor="text1"/>
          <w:sz w:val="28"/>
          <w:szCs w:val="28"/>
        </w:rPr>
        <w:t xml:space="preserve"> </w:t>
      </w:r>
      <w:r w:rsidR="00794D46" w:rsidRPr="00CC7883">
        <w:rPr>
          <w:rFonts w:ascii="Times New Roman" w:eastAsia="Times New Roman" w:hAnsi="Times New Roman" w:cs="Times New Roman"/>
          <w:color w:val="000000" w:themeColor="text1"/>
          <w:sz w:val="28"/>
          <w:szCs w:val="28"/>
        </w:rPr>
        <w:t>88</w:t>
      </w:r>
      <w:r w:rsidRPr="00CC7883">
        <w:rPr>
          <w:rFonts w:ascii="Times New Roman" w:eastAsia="Times New Roman" w:hAnsi="Times New Roman" w:cs="Times New Roman"/>
          <w:color w:val="000000" w:themeColor="text1"/>
          <w:sz w:val="28"/>
          <w:szCs w:val="28"/>
        </w:rPr>
        <w:t>]. Проте, за даними Kim</w:t>
      </w:r>
      <w:r w:rsidR="001563C7">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S. H., вміст α-НОК у поживному середовищі не завжди стимулював розвиток коренів у винограду [</w:t>
      </w:r>
      <w:r w:rsidR="00794D46" w:rsidRPr="00CC7883">
        <w:rPr>
          <w:rFonts w:ascii="Times New Roman" w:eastAsia="Times New Roman" w:hAnsi="Times New Roman" w:cs="Times New Roman"/>
          <w:color w:val="000000" w:themeColor="text1"/>
          <w:sz w:val="28"/>
          <w:szCs w:val="28"/>
        </w:rPr>
        <w:t>147</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iCs/>
          <w:color w:val="000000" w:themeColor="text1"/>
          <w:kern w:val="3"/>
          <w:sz w:val="28"/>
          <w:szCs w:val="28"/>
        </w:rPr>
      </w:pPr>
      <w:r w:rsidRPr="00CC7883">
        <w:rPr>
          <w:rFonts w:ascii="Times New Roman" w:eastAsia="NSimSun" w:hAnsi="Times New Roman" w:cs="Times New Roman"/>
          <w:iCs/>
          <w:color w:val="000000" w:themeColor="text1"/>
          <w:kern w:val="3"/>
          <w:sz w:val="28"/>
          <w:szCs w:val="28"/>
        </w:rPr>
        <w:t xml:space="preserve">У дослідженнях </w:t>
      </w:r>
      <w:r w:rsidRPr="00CC7883">
        <w:rPr>
          <w:rFonts w:ascii="Times New Roman" w:eastAsia="NSimSun" w:hAnsi="Times New Roman" w:cs="Times New Roman"/>
          <w:bCs/>
          <w:iCs/>
          <w:color w:val="000000" w:themeColor="text1"/>
          <w:kern w:val="3"/>
          <w:sz w:val="28"/>
          <w:szCs w:val="28"/>
        </w:rPr>
        <w:t>Yıldırım H. &amp; Ozdemir G.</w:t>
      </w:r>
      <w:r w:rsidRPr="00CC7883">
        <w:rPr>
          <w:rFonts w:ascii="Times New Roman" w:eastAsia="NSimSun" w:hAnsi="Times New Roman" w:cs="Times New Roman"/>
          <w:iCs/>
          <w:color w:val="000000" w:themeColor="text1"/>
          <w:kern w:val="3"/>
          <w:sz w:val="28"/>
          <w:szCs w:val="28"/>
        </w:rPr>
        <w:t xml:space="preserve"> та </w:t>
      </w:r>
      <w:r w:rsidRPr="00CC7883">
        <w:rPr>
          <w:rFonts w:ascii="Times New Roman" w:eastAsia="NSimSun" w:hAnsi="Times New Roman" w:cs="Times New Roman"/>
          <w:bCs/>
          <w:iCs/>
          <w:color w:val="000000" w:themeColor="text1"/>
          <w:kern w:val="3"/>
          <w:sz w:val="28"/>
          <w:szCs w:val="28"/>
        </w:rPr>
        <w:t>Ubaydullaeva K. A. et al.</w:t>
      </w:r>
      <w:r w:rsidRPr="00CC7883">
        <w:rPr>
          <w:rFonts w:ascii="Times New Roman" w:eastAsia="NSimSun" w:hAnsi="Times New Roman" w:cs="Times New Roman"/>
          <w:iCs/>
          <w:color w:val="000000" w:themeColor="text1"/>
          <w:kern w:val="3"/>
          <w:sz w:val="28"/>
          <w:szCs w:val="28"/>
        </w:rPr>
        <w:t xml:space="preserve"> при культивуванні мікроклонів винограду сортів </w:t>
      </w:r>
      <w:r w:rsidRPr="00CC7883">
        <w:rPr>
          <w:rFonts w:ascii="Times New Roman" w:eastAsia="NSimSun" w:hAnsi="Times New Roman" w:cs="Times New Roman"/>
          <w:bCs/>
          <w:iCs/>
          <w:color w:val="000000" w:themeColor="text1"/>
          <w:kern w:val="3"/>
          <w:sz w:val="28"/>
          <w:szCs w:val="28"/>
        </w:rPr>
        <w:t>«Öküzgözü»</w:t>
      </w:r>
      <w:r w:rsidRPr="00CC7883">
        <w:rPr>
          <w:rFonts w:ascii="Times New Roman" w:eastAsia="NSimSun" w:hAnsi="Times New Roman" w:cs="Times New Roman"/>
          <w:iCs/>
          <w:color w:val="000000" w:themeColor="text1"/>
          <w:kern w:val="3"/>
          <w:sz w:val="28"/>
          <w:szCs w:val="28"/>
        </w:rPr>
        <w:t xml:space="preserve">, </w:t>
      </w:r>
      <w:r w:rsidRPr="00CC7883">
        <w:rPr>
          <w:rFonts w:ascii="Times New Roman" w:eastAsia="NSimSun" w:hAnsi="Times New Roman" w:cs="Times New Roman"/>
          <w:bCs/>
          <w:iCs/>
          <w:color w:val="000000" w:themeColor="text1"/>
          <w:kern w:val="3"/>
          <w:sz w:val="28"/>
          <w:szCs w:val="28"/>
        </w:rPr>
        <w:t>«Boğazkere»</w:t>
      </w:r>
      <w:r w:rsidRPr="00CC7883">
        <w:rPr>
          <w:rFonts w:ascii="Times New Roman" w:eastAsia="NSimSun" w:hAnsi="Times New Roman" w:cs="Times New Roman"/>
          <w:iCs/>
          <w:color w:val="000000" w:themeColor="text1"/>
          <w:kern w:val="3"/>
          <w:sz w:val="28"/>
          <w:szCs w:val="28"/>
        </w:rPr>
        <w:t xml:space="preserve">, </w:t>
      </w:r>
      <w:r w:rsidRPr="00CC7883">
        <w:rPr>
          <w:rFonts w:ascii="Times New Roman" w:eastAsia="NSimSun" w:hAnsi="Times New Roman" w:cs="Times New Roman"/>
          <w:bCs/>
          <w:iCs/>
          <w:color w:val="000000" w:themeColor="text1"/>
          <w:kern w:val="3"/>
          <w:sz w:val="28"/>
          <w:szCs w:val="28"/>
        </w:rPr>
        <w:t>«Oqdum»</w:t>
      </w:r>
      <w:r w:rsidRPr="00CC7883">
        <w:rPr>
          <w:rFonts w:ascii="Times New Roman" w:eastAsia="NSimSun" w:hAnsi="Times New Roman" w:cs="Times New Roman"/>
          <w:iCs/>
          <w:color w:val="000000" w:themeColor="text1"/>
          <w:kern w:val="3"/>
          <w:sz w:val="28"/>
          <w:szCs w:val="28"/>
        </w:rPr>
        <w:t xml:space="preserve">, </w:t>
      </w:r>
      <w:r w:rsidRPr="00CC7883">
        <w:rPr>
          <w:rFonts w:ascii="Times New Roman" w:eastAsia="NSimSun" w:hAnsi="Times New Roman" w:cs="Times New Roman"/>
          <w:bCs/>
          <w:iCs/>
          <w:color w:val="000000" w:themeColor="text1"/>
          <w:kern w:val="3"/>
          <w:sz w:val="28"/>
          <w:szCs w:val="28"/>
        </w:rPr>
        <w:t>«Rizamat»</w:t>
      </w:r>
      <w:r w:rsidRPr="00CC7883">
        <w:rPr>
          <w:rFonts w:ascii="Times New Roman" w:eastAsia="NSimSun" w:hAnsi="Times New Roman" w:cs="Times New Roman"/>
          <w:iCs/>
          <w:color w:val="000000" w:themeColor="text1"/>
          <w:kern w:val="3"/>
          <w:sz w:val="28"/>
          <w:szCs w:val="28"/>
        </w:rPr>
        <w:t xml:space="preserve">, </w:t>
      </w:r>
      <w:r w:rsidRPr="00CC7883">
        <w:rPr>
          <w:rFonts w:ascii="Times New Roman" w:eastAsia="NSimSun" w:hAnsi="Times New Roman" w:cs="Times New Roman"/>
          <w:bCs/>
          <w:iCs/>
          <w:color w:val="000000" w:themeColor="text1"/>
          <w:kern w:val="3"/>
          <w:sz w:val="28"/>
          <w:szCs w:val="28"/>
        </w:rPr>
        <w:t>«Toyfi»</w:t>
      </w:r>
      <w:r w:rsidRPr="00CC7883">
        <w:rPr>
          <w:rFonts w:ascii="Times New Roman" w:eastAsia="NSimSun" w:hAnsi="Times New Roman" w:cs="Times New Roman"/>
          <w:iCs/>
          <w:color w:val="000000" w:themeColor="text1"/>
          <w:kern w:val="3"/>
          <w:sz w:val="28"/>
          <w:szCs w:val="28"/>
        </w:rPr>
        <w:t xml:space="preserve"> та </w:t>
      </w:r>
      <w:r w:rsidRPr="00CC7883">
        <w:rPr>
          <w:rFonts w:ascii="Times New Roman" w:eastAsia="NSimSun" w:hAnsi="Times New Roman" w:cs="Times New Roman"/>
          <w:bCs/>
          <w:iCs/>
          <w:color w:val="000000" w:themeColor="text1"/>
          <w:kern w:val="3"/>
          <w:sz w:val="28"/>
          <w:szCs w:val="28"/>
        </w:rPr>
        <w:t>«Rkatsiteli»</w:t>
      </w:r>
      <w:r w:rsidRPr="00CC7883">
        <w:rPr>
          <w:rFonts w:ascii="Times New Roman" w:eastAsia="NSimSun" w:hAnsi="Times New Roman" w:cs="Times New Roman"/>
          <w:iCs/>
          <w:color w:val="000000" w:themeColor="text1"/>
          <w:kern w:val="3"/>
          <w:sz w:val="28"/>
          <w:szCs w:val="28"/>
        </w:rPr>
        <w:t xml:space="preserve"> встановлено, що найбільш інтенсивний ріст кореневої системи забезпечували поживні середовища MS та WPM. Вони забезпечували утворення від 2,9 до 6,3 шт. коренів, при середній довжині 3,3–4,9 см [11</w:t>
      </w:r>
      <w:r w:rsidR="00794D46" w:rsidRPr="00CC7883">
        <w:rPr>
          <w:rFonts w:ascii="Times New Roman" w:eastAsia="NSimSun" w:hAnsi="Times New Roman" w:cs="Times New Roman"/>
          <w:iCs/>
          <w:color w:val="000000" w:themeColor="text1"/>
          <w:kern w:val="3"/>
          <w:sz w:val="28"/>
          <w:szCs w:val="28"/>
        </w:rPr>
        <w:t>5</w:t>
      </w:r>
      <w:r w:rsidR="00F44ECE" w:rsidRPr="00C634FF">
        <w:rPr>
          <w:rFonts w:ascii="Times New Roman" w:eastAsia="NSimSun" w:hAnsi="Times New Roman" w:cs="Times New Roman"/>
          <w:iCs/>
          <w:color w:val="000000" w:themeColor="text1"/>
          <w:kern w:val="3"/>
          <w:sz w:val="28"/>
          <w:szCs w:val="28"/>
          <w:lang w:val="ru-RU"/>
        </w:rPr>
        <w:t>,</w:t>
      </w:r>
      <w:r w:rsidRPr="00CC7883">
        <w:rPr>
          <w:rFonts w:ascii="Times New Roman" w:eastAsia="NSimSun" w:hAnsi="Times New Roman" w:cs="Times New Roman"/>
          <w:iCs/>
          <w:color w:val="000000" w:themeColor="text1"/>
          <w:kern w:val="3"/>
          <w:sz w:val="28"/>
          <w:szCs w:val="28"/>
        </w:rPr>
        <w:t xml:space="preserve"> 26</w:t>
      </w:r>
      <w:r w:rsidR="009E747E" w:rsidRPr="00CC7883">
        <w:rPr>
          <w:rFonts w:ascii="Times New Roman" w:eastAsia="NSimSun" w:hAnsi="Times New Roman" w:cs="Times New Roman"/>
          <w:iCs/>
          <w:color w:val="000000" w:themeColor="text1"/>
          <w:kern w:val="3"/>
          <w:sz w:val="28"/>
          <w:szCs w:val="28"/>
        </w:rPr>
        <w:t>4</w:t>
      </w:r>
      <w:r w:rsidR="00F44ECE" w:rsidRPr="00C634FF">
        <w:rPr>
          <w:rFonts w:ascii="Times New Roman" w:eastAsia="NSimSun" w:hAnsi="Times New Roman" w:cs="Times New Roman"/>
          <w:iCs/>
          <w:color w:val="000000" w:themeColor="text1"/>
          <w:kern w:val="3"/>
          <w:sz w:val="28"/>
          <w:szCs w:val="28"/>
          <w:lang w:val="ru-RU"/>
        </w:rPr>
        <w:t>,</w:t>
      </w:r>
      <w:r w:rsidR="00632BAB" w:rsidRPr="00CC7883">
        <w:rPr>
          <w:rFonts w:ascii="Times New Roman" w:eastAsia="NSimSun" w:hAnsi="Times New Roman" w:cs="Times New Roman"/>
          <w:iCs/>
          <w:color w:val="000000" w:themeColor="text1"/>
          <w:kern w:val="3"/>
          <w:sz w:val="28"/>
          <w:szCs w:val="28"/>
        </w:rPr>
        <w:t xml:space="preserve"> 2</w:t>
      </w:r>
      <w:r w:rsidR="009E747E" w:rsidRPr="00CC7883">
        <w:rPr>
          <w:rFonts w:ascii="Times New Roman" w:eastAsia="NSimSun" w:hAnsi="Times New Roman" w:cs="Times New Roman"/>
          <w:iCs/>
          <w:color w:val="000000" w:themeColor="text1"/>
          <w:kern w:val="3"/>
          <w:sz w:val="28"/>
          <w:szCs w:val="28"/>
        </w:rPr>
        <w:t>50</w:t>
      </w:r>
      <w:r w:rsidRPr="00CC7883">
        <w:rPr>
          <w:rFonts w:ascii="Times New Roman" w:eastAsia="NSimSun" w:hAnsi="Times New Roman" w:cs="Times New Roman"/>
          <w:iCs/>
          <w:color w:val="000000" w:themeColor="text1"/>
          <w:kern w:val="3"/>
          <w:sz w:val="28"/>
          <w:szCs w:val="28"/>
        </w:rPr>
        <w:t xml:space="preserve">]. </w:t>
      </w:r>
      <w:r w:rsidRPr="00CC7883">
        <w:rPr>
          <w:rFonts w:ascii="Times New Roman" w:eastAsia="NSimSun" w:hAnsi="Times New Roman" w:cs="Times New Roman"/>
          <w:bCs/>
          <w:iCs/>
          <w:color w:val="000000" w:themeColor="text1"/>
          <w:kern w:val="3"/>
          <w:sz w:val="28"/>
          <w:szCs w:val="28"/>
        </w:rPr>
        <w:t>ІМК</w:t>
      </w:r>
      <w:r w:rsidRPr="00CC7883">
        <w:rPr>
          <w:rFonts w:ascii="Times New Roman" w:eastAsia="NSimSun" w:hAnsi="Times New Roman" w:cs="Times New Roman"/>
          <w:iCs/>
          <w:color w:val="000000" w:themeColor="text1"/>
          <w:kern w:val="3"/>
          <w:sz w:val="28"/>
          <w:szCs w:val="28"/>
        </w:rPr>
        <w:t xml:space="preserve"> у концентрації 1,0 мг/л та ІОК у концентрації 0,4 мг/л сприяли утворенню 3,4–4,0 шт. коренів довжиною 1,3–2,0 см у сортів </w:t>
      </w:r>
      <w:r w:rsidRPr="00CC7883">
        <w:rPr>
          <w:rFonts w:ascii="Times New Roman" w:eastAsia="NSimSun" w:hAnsi="Times New Roman" w:cs="Times New Roman"/>
          <w:bCs/>
          <w:iCs/>
          <w:color w:val="000000" w:themeColor="text1"/>
          <w:kern w:val="3"/>
          <w:sz w:val="28"/>
          <w:szCs w:val="28"/>
        </w:rPr>
        <w:t>«Shine Muscat»</w:t>
      </w:r>
      <w:r w:rsidRPr="00CC7883">
        <w:rPr>
          <w:rFonts w:ascii="Times New Roman" w:eastAsia="NSimSun" w:hAnsi="Times New Roman" w:cs="Times New Roman"/>
          <w:iCs/>
          <w:color w:val="000000" w:themeColor="text1"/>
          <w:kern w:val="3"/>
          <w:sz w:val="28"/>
          <w:szCs w:val="28"/>
        </w:rPr>
        <w:t xml:space="preserve">, </w:t>
      </w:r>
      <w:r w:rsidRPr="00CC7883">
        <w:rPr>
          <w:rFonts w:ascii="Times New Roman" w:eastAsia="NSimSun" w:hAnsi="Times New Roman" w:cs="Times New Roman"/>
          <w:bCs/>
          <w:iCs/>
          <w:color w:val="000000" w:themeColor="text1"/>
          <w:kern w:val="3"/>
          <w:sz w:val="28"/>
          <w:szCs w:val="28"/>
        </w:rPr>
        <w:t>«Parvana»</w:t>
      </w:r>
      <w:r w:rsidRPr="00CC7883">
        <w:rPr>
          <w:rFonts w:ascii="Times New Roman" w:eastAsia="NSimSun" w:hAnsi="Times New Roman" w:cs="Times New Roman"/>
          <w:iCs/>
          <w:color w:val="000000" w:themeColor="text1"/>
          <w:kern w:val="3"/>
          <w:sz w:val="28"/>
          <w:szCs w:val="28"/>
        </w:rPr>
        <w:t xml:space="preserve"> та </w:t>
      </w:r>
      <w:r w:rsidRPr="00CC7883">
        <w:rPr>
          <w:rFonts w:ascii="Times New Roman" w:eastAsia="NSimSun" w:hAnsi="Times New Roman" w:cs="Times New Roman"/>
          <w:bCs/>
          <w:iCs/>
          <w:color w:val="000000" w:themeColor="text1"/>
          <w:kern w:val="3"/>
          <w:sz w:val="28"/>
          <w:szCs w:val="28"/>
        </w:rPr>
        <w:t>«Perlette»</w:t>
      </w:r>
      <w:r w:rsidRPr="00CC7883">
        <w:rPr>
          <w:rFonts w:ascii="Times New Roman" w:eastAsia="NSimSun" w:hAnsi="Times New Roman" w:cs="Times New Roman"/>
          <w:iCs/>
          <w:color w:val="000000" w:themeColor="text1"/>
          <w:kern w:val="3"/>
          <w:sz w:val="28"/>
          <w:szCs w:val="28"/>
        </w:rPr>
        <w:t xml:space="preserve">, тоді як для сорту </w:t>
      </w:r>
      <w:r w:rsidRPr="00CC7883">
        <w:rPr>
          <w:rFonts w:ascii="Times New Roman" w:eastAsia="NSimSun" w:hAnsi="Times New Roman" w:cs="Times New Roman"/>
          <w:bCs/>
          <w:iCs/>
          <w:color w:val="000000" w:themeColor="text1"/>
          <w:kern w:val="3"/>
          <w:sz w:val="28"/>
          <w:szCs w:val="28"/>
        </w:rPr>
        <w:t>«Perlette»</w:t>
      </w:r>
      <w:r w:rsidRPr="00CC7883">
        <w:rPr>
          <w:rFonts w:ascii="Times New Roman" w:eastAsia="NSimSun" w:hAnsi="Times New Roman" w:cs="Times New Roman"/>
          <w:iCs/>
          <w:color w:val="000000" w:themeColor="text1"/>
          <w:kern w:val="3"/>
          <w:sz w:val="28"/>
          <w:szCs w:val="28"/>
        </w:rPr>
        <w:t xml:space="preserve"> концентрація 10,0 мг/л забезпечувала формування 7,0 шт. коренів довжиною 2,9 см [</w:t>
      </w:r>
      <w:r w:rsidR="00794D46" w:rsidRPr="00CC7883">
        <w:rPr>
          <w:rFonts w:ascii="Times New Roman" w:eastAsia="NSimSun" w:hAnsi="Times New Roman" w:cs="Times New Roman"/>
          <w:iCs/>
          <w:color w:val="000000" w:themeColor="text1"/>
          <w:kern w:val="3"/>
          <w:sz w:val="28"/>
          <w:szCs w:val="28"/>
        </w:rPr>
        <w:t>147</w:t>
      </w:r>
      <w:r w:rsidR="00F44ECE" w:rsidRPr="00C634FF">
        <w:rPr>
          <w:rFonts w:ascii="Times New Roman" w:eastAsia="NSimSun" w:hAnsi="Times New Roman" w:cs="Times New Roman"/>
          <w:iCs/>
          <w:color w:val="000000" w:themeColor="text1"/>
          <w:kern w:val="3"/>
          <w:sz w:val="28"/>
          <w:szCs w:val="28"/>
          <w:lang w:val="ru-RU"/>
        </w:rPr>
        <w:t>,</w:t>
      </w:r>
      <w:r w:rsidRPr="00CC7883">
        <w:rPr>
          <w:rFonts w:ascii="Times New Roman" w:eastAsia="NSimSun" w:hAnsi="Times New Roman" w:cs="Times New Roman"/>
          <w:iCs/>
          <w:color w:val="000000" w:themeColor="text1"/>
          <w:kern w:val="3"/>
          <w:sz w:val="28"/>
          <w:szCs w:val="28"/>
        </w:rPr>
        <w:t xml:space="preserve"> </w:t>
      </w:r>
      <w:r w:rsidR="00794D46" w:rsidRPr="00CC7883">
        <w:rPr>
          <w:rFonts w:ascii="Times New Roman" w:eastAsia="NSimSun" w:hAnsi="Times New Roman" w:cs="Times New Roman"/>
          <w:iCs/>
          <w:color w:val="000000" w:themeColor="text1"/>
          <w:kern w:val="3"/>
          <w:sz w:val="28"/>
          <w:szCs w:val="28"/>
        </w:rPr>
        <w:t>142</w:t>
      </w:r>
      <w:r w:rsidR="00F44ECE" w:rsidRPr="00C634FF">
        <w:rPr>
          <w:rFonts w:ascii="Times New Roman" w:eastAsia="NSimSun" w:hAnsi="Times New Roman" w:cs="Times New Roman"/>
          <w:iCs/>
          <w:color w:val="000000" w:themeColor="text1"/>
          <w:kern w:val="3"/>
          <w:sz w:val="28"/>
          <w:szCs w:val="28"/>
          <w:lang w:val="ru-RU"/>
        </w:rPr>
        <w:t>,</w:t>
      </w:r>
      <w:r w:rsidRPr="00CC7883">
        <w:rPr>
          <w:rFonts w:ascii="Times New Roman" w:eastAsia="NSimSun" w:hAnsi="Times New Roman" w:cs="Times New Roman"/>
          <w:iCs/>
          <w:color w:val="000000" w:themeColor="text1"/>
          <w:kern w:val="3"/>
          <w:sz w:val="28"/>
          <w:szCs w:val="28"/>
        </w:rPr>
        <w:t xml:space="preserve"> </w:t>
      </w:r>
      <w:r w:rsidR="00794D46" w:rsidRPr="00CC7883">
        <w:rPr>
          <w:rFonts w:ascii="Times New Roman" w:eastAsia="NSimSun" w:hAnsi="Times New Roman" w:cs="Times New Roman"/>
          <w:iCs/>
          <w:color w:val="000000" w:themeColor="text1"/>
          <w:kern w:val="3"/>
          <w:sz w:val="28"/>
          <w:szCs w:val="28"/>
        </w:rPr>
        <w:t>1</w:t>
      </w:r>
      <w:r w:rsidR="00632BAB" w:rsidRPr="00CC7883">
        <w:rPr>
          <w:rFonts w:ascii="Times New Roman" w:eastAsia="NSimSun" w:hAnsi="Times New Roman" w:cs="Times New Roman"/>
          <w:iCs/>
          <w:color w:val="000000" w:themeColor="text1"/>
          <w:kern w:val="3"/>
          <w:sz w:val="28"/>
          <w:szCs w:val="28"/>
        </w:rPr>
        <w:t>78</w:t>
      </w:r>
      <w:r w:rsidRPr="00CC7883">
        <w:rPr>
          <w:rFonts w:ascii="Times New Roman" w:eastAsia="NSimSun" w:hAnsi="Times New Roman" w:cs="Times New Roman"/>
          <w:iCs/>
          <w:color w:val="000000" w:themeColor="text1"/>
          <w:kern w:val="3"/>
          <w:sz w:val="28"/>
          <w:szCs w:val="28"/>
        </w:rPr>
        <w:t xml:space="preserve">]. Приживлюваність мікроклонів цих сортів </w:t>
      </w:r>
      <w:r w:rsidR="0097164D">
        <w:rPr>
          <w:rFonts w:ascii="Times New Roman" w:eastAsia="NSimSun" w:hAnsi="Times New Roman" w:cs="Times New Roman"/>
          <w:iCs/>
          <w:color w:val="000000" w:themeColor="text1"/>
          <w:kern w:val="3"/>
          <w:sz w:val="28"/>
          <w:szCs w:val="28"/>
        </w:rPr>
        <w:t>в</w:t>
      </w:r>
      <w:r w:rsidRPr="00CC7883">
        <w:rPr>
          <w:rFonts w:ascii="Times New Roman" w:eastAsia="NSimSun" w:hAnsi="Times New Roman" w:cs="Times New Roman"/>
          <w:iCs/>
          <w:color w:val="000000" w:themeColor="text1"/>
          <w:kern w:val="3"/>
          <w:sz w:val="28"/>
          <w:szCs w:val="28"/>
        </w:rPr>
        <w:t xml:space="preserve"> адаптаційних кім</w:t>
      </w:r>
      <w:r w:rsidR="0097164D">
        <w:rPr>
          <w:rFonts w:ascii="Times New Roman" w:eastAsia="NSimSun" w:hAnsi="Times New Roman" w:cs="Times New Roman"/>
          <w:iCs/>
          <w:color w:val="000000" w:themeColor="text1"/>
          <w:kern w:val="3"/>
          <w:sz w:val="28"/>
          <w:szCs w:val="28"/>
        </w:rPr>
        <w:t>натах дорівнювала у середньому</w:t>
      </w:r>
      <w:r w:rsidRPr="00CC7883">
        <w:rPr>
          <w:rFonts w:ascii="Times New Roman" w:eastAsia="NSimSun" w:hAnsi="Times New Roman" w:cs="Times New Roman"/>
          <w:iCs/>
          <w:color w:val="000000" w:themeColor="text1"/>
          <w:kern w:val="3"/>
          <w:sz w:val="28"/>
          <w:szCs w:val="28"/>
        </w:rPr>
        <w:t xml:space="preserve"> 90,0 %.</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iCs/>
          <w:color w:val="000000" w:themeColor="text1"/>
          <w:kern w:val="3"/>
          <w:sz w:val="28"/>
          <w:szCs w:val="28"/>
        </w:rPr>
      </w:pPr>
      <w:r w:rsidRPr="00CC7883">
        <w:rPr>
          <w:rFonts w:ascii="Times New Roman" w:eastAsia="NSimSun" w:hAnsi="Times New Roman" w:cs="Times New Roman"/>
          <w:iCs/>
          <w:color w:val="000000" w:themeColor="text1"/>
          <w:kern w:val="3"/>
          <w:sz w:val="28"/>
          <w:szCs w:val="28"/>
        </w:rPr>
        <w:t>Mostafa F. M. A. et</w:t>
      </w:r>
      <w:r w:rsidR="00694F30" w:rsidRPr="00CC7883">
        <w:rPr>
          <w:rFonts w:ascii="Times New Roman" w:eastAsia="NSimSun" w:hAnsi="Times New Roman" w:cs="Times New Roman"/>
          <w:iCs/>
          <w:color w:val="000000" w:themeColor="text1"/>
          <w:kern w:val="3"/>
          <w:sz w:val="28"/>
          <w:szCs w:val="28"/>
        </w:rPr>
        <w:t xml:space="preserve"> </w:t>
      </w:r>
      <w:r w:rsidRPr="00CC7883">
        <w:rPr>
          <w:rFonts w:ascii="Times New Roman" w:eastAsia="NSimSun" w:hAnsi="Times New Roman" w:cs="Times New Roman"/>
          <w:iCs/>
          <w:color w:val="000000" w:themeColor="text1"/>
          <w:kern w:val="3"/>
          <w:sz w:val="28"/>
          <w:szCs w:val="28"/>
        </w:rPr>
        <w:t xml:space="preserve">al. для стимуляції коренеутворення використовували </w:t>
      </w:r>
      <w:r w:rsidRPr="00CC7883">
        <w:rPr>
          <w:rFonts w:ascii="Times New Roman" w:eastAsia="NSimSun" w:hAnsi="Times New Roman" w:cs="Times New Roman"/>
          <w:iCs/>
          <w:color w:val="000000" w:themeColor="text1"/>
          <w:kern w:val="3"/>
          <w:sz w:val="28"/>
          <w:szCs w:val="28"/>
        </w:rPr>
        <w:lastRenderedPageBreak/>
        <w:t>поживне середовище з 1/2 концентрацією MS та ІМК у концентрації 1,0 мг/л. При цьому відсоток укорінення для сортів винограду дорівнював</w:t>
      </w:r>
      <w:r w:rsidR="006C32F6">
        <w:rPr>
          <w:rFonts w:ascii="Times New Roman" w:eastAsia="NSimSun" w:hAnsi="Times New Roman" w:cs="Times New Roman"/>
          <w:iCs/>
          <w:color w:val="000000" w:themeColor="text1"/>
          <w:kern w:val="3"/>
          <w:sz w:val="28"/>
          <w:szCs w:val="28"/>
        </w:rPr>
        <w:t>:</w:t>
      </w:r>
      <w:r w:rsidRPr="00CC7883">
        <w:rPr>
          <w:rFonts w:ascii="Times New Roman" w:eastAsia="NSimSun" w:hAnsi="Times New Roman" w:cs="Times New Roman"/>
          <w:iCs/>
          <w:color w:val="000000" w:themeColor="text1"/>
          <w:kern w:val="3"/>
          <w:sz w:val="28"/>
          <w:szCs w:val="28"/>
        </w:rPr>
        <w:t xml:space="preserve"> «Concord» – 90,0 %, «Thompson» – 100,0 %, «Beauty» – 80,0 %, «King Ruby» – 70,0 %. Середня кількість коренів на одну рослину варіювала від 3,8 до 6,1 шт. залежно від сорту [18</w:t>
      </w:r>
      <w:r w:rsidR="00794D46" w:rsidRPr="00CC7883">
        <w:rPr>
          <w:rFonts w:ascii="Times New Roman" w:eastAsia="NSimSun" w:hAnsi="Times New Roman" w:cs="Times New Roman"/>
          <w:iCs/>
          <w:color w:val="000000" w:themeColor="text1"/>
          <w:kern w:val="3"/>
          <w:sz w:val="28"/>
          <w:szCs w:val="28"/>
        </w:rPr>
        <w:t>7</w:t>
      </w:r>
      <w:r w:rsidRPr="00CC7883">
        <w:rPr>
          <w:rFonts w:ascii="Times New Roman" w:eastAsia="NSimSun" w:hAnsi="Times New Roman" w:cs="Times New Roman"/>
          <w:iCs/>
          <w:color w:val="000000" w:themeColor="text1"/>
          <w:kern w:val="3"/>
          <w:sz w:val="28"/>
          <w:szCs w:val="28"/>
        </w:rPr>
        <w:t>]. Yancheva S. et</w:t>
      </w:r>
      <w:r w:rsidR="002102AF" w:rsidRPr="00CC7883">
        <w:rPr>
          <w:rFonts w:ascii="Times New Roman" w:eastAsia="NSimSun" w:hAnsi="Times New Roman" w:cs="Times New Roman"/>
          <w:iCs/>
          <w:color w:val="000000" w:themeColor="text1"/>
          <w:kern w:val="3"/>
          <w:sz w:val="28"/>
          <w:szCs w:val="28"/>
        </w:rPr>
        <w:t xml:space="preserve"> </w:t>
      </w:r>
      <w:r w:rsidRPr="00CC7883">
        <w:rPr>
          <w:rFonts w:ascii="Times New Roman" w:eastAsia="NSimSun" w:hAnsi="Times New Roman" w:cs="Times New Roman"/>
          <w:iCs/>
          <w:color w:val="000000" w:themeColor="text1"/>
          <w:kern w:val="3"/>
          <w:sz w:val="28"/>
          <w:szCs w:val="28"/>
        </w:rPr>
        <w:t>al. в поживне середовище MS додавали сахарозу (20 г/л), агар (5,5 г/л), біотин (0,2 мг/л), кальцій пантотенат (0,5 мг/л), активоване вугілля (0,3 %), ІОК (0,2 мг/л) та ІМК (0,2 мг/л), що сприяло активному формуванню коренів – у досліджуваних сортів утворювалос</w:t>
      </w:r>
      <w:r w:rsidR="00027E89">
        <w:rPr>
          <w:rFonts w:ascii="Times New Roman" w:eastAsia="NSimSun" w:hAnsi="Times New Roman" w:cs="Times New Roman"/>
          <w:iCs/>
          <w:color w:val="000000" w:themeColor="text1"/>
          <w:kern w:val="3"/>
          <w:sz w:val="28"/>
          <w:szCs w:val="28"/>
        </w:rPr>
        <w:t>я</w:t>
      </w:r>
      <w:r w:rsidR="0097164D">
        <w:rPr>
          <w:rFonts w:ascii="Times New Roman" w:eastAsia="NSimSun" w:hAnsi="Times New Roman" w:cs="Times New Roman"/>
          <w:iCs/>
          <w:color w:val="000000" w:themeColor="text1"/>
          <w:kern w:val="3"/>
          <w:sz w:val="28"/>
          <w:szCs w:val="28"/>
        </w:rPr>
        <w:t xml:space="preserve"> у середньому</w:t>
      </w:r>
      <w:r w:rsidRPr="00CC7883">
        <w:rPr>
          <w:rFonts w:ascii="Times New Roman" w:eastAsia="NSimSun" w:hAnsi="Times New Roman" w:cs="Times New Roman"/>
          <w:iCs/>
          <w:color w:val="000000" w:themeColor="text1"/>
          <w:kern w:val="3"/>
          <w:sz w:val="28"/>
          <w:szCs w:val="28"/>
        </w:rPr>
        <w:t xml:space="preserve"> 4,8–5,7 шт. коренів довжиною 1,9–2,2 см (для сортів «Tamianka», «Muskat Sandanski», «Dornfelder» cl. WE700 та ін.) [26</w:t>
      </w:r>
      <w:r w:rsidR="002D22A1" w:rsidRPr="00CC7883">
        <w:rPr>
          <w:rFonts w:ascii="Times New Roman" w:eastAsia="NSimSun" w:hAnsi="Times New Roman" w:cs="Times New Roman"/>
          <w:iCs/>
          <w:color w:val="000000" w:themeColor="text1"/>
          <w:kern w:val="3"/>
          <w:sz w:val="28"/>
          <w:szCs w:val="28"/>
        </w:rPr>
        <w:t>3</w:t>
      </w:r>
      <w:r w:rsidR="00F44ECE" w:rsidRPr="00C634FF">
        <w:rPr>
          <w:rFonts w:ascii="Times New Roman" w:eastAsia="NSimSun" w:hAnsi="Times New Roman" w:cs="Times New Roman"/>
          <w:iCs/>
          <w:color w:val="000000" w:themeColor="text1"/>
          <w:kern w:val="3"/>
          <w:sz w:val="28"/>
          <w:szCs w:val="28"/>
        </w:rPr>
        <w:t>,</w:t>
      </w:r>
      <w:r w:rsidR="00794D46" w:rsidRPr="00CC7883">
        <w:rPr>
          <w:rFonts w:ascii="Times New Roman" w:eastAsia="NSimSun" w:hAnsi="Times New Roman" w:cs="Times New Roman"/>
          <w:iCs/>
          <w:color w:val="000000" w:themeColor="text1"/>
          <w:kern w:val="3"/>
          <w:sz w:val="28"/>
          <w:szCs w:val="28"/>
        </w:rPr>
        <w:t xml:space="preserve"> 72</w:t>
      </w:r>
      <w:r w:rsidRPr="00CC7883">
        <w:rPr>
          <w:rFonts w:ascii="Times New Roman" w:eastAsia="NSimSun" w:hAnsi="Times New Roman" w:cs="Times New Roman"/>
          <w:iCs/>
          <w:color w:val="000000" w:themeColor="text1"/>
          <w:kern w:val="3"/>
          <w:sz w:val="28"/>
          <w:szCs w:val="28"/>
        </w:rPr>
        <w:t>]. Після адаптації рослин до умов теплиці, приживлюваність дорівнювала 80,0–86,0 %.</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Середовище ½ MS без гормонів, де утворення та ріст коренів відбувались за рахунок ендогенного синтезу ауксинів, забезпечувало укорінення 85,0 % одновічкових чубукі</w:t>
      </w:r>
      <w:r w:rsidR="00794D46" w:rsidRPr="00CC7883">
        <w:rPr>
          <w:rFonts w:ascii="Times New Roman" w:eastAsia="Times New Roman" w:hAnsi="Times New Roman" w:cs="Times New Roman"/>
          <w:color w:val="000000" w:themeColor="text1"/>
          <w:sz w:val="28"/>
          <w:szCs w:val="28"/>
        </w:rPr>
        <w:t>в сорту «Бонапарт Наполеон» [138</w:t>
      </w:r>
      <w:r w:rsidRPr="00CC7883">
        <w:rPr>
          <w:rFonts w:ascii="Times New Roman" w:eastAsia="Times New Roman" w:hAnsi="Times New Roman" w:cs="Times New Roman"/>
          <w:color w:val="000000" w:themeColor="text1"/>
          <w:sz w:val="28"/>
          <w:szCs w:val="28"/>
        </w:rPr>
        <w:t>], а додавання 1,0 мг/л ІМК до ½ MS дозволяло досягти 96,0 % укорінення одновічкових чубуків сорту «Charentsi», «IAC 571-6» і «Poloskei Muskotaly» із формування</w:t>
      </w:r>
      <w:r w:rsidR="009E6697">
        <w:rPr>
          <w:rFonts w:ascii="Times New Roman" w:eastAsia="Times New Roman" w:hAnsi="Times New Roman" w:cs="Times New Roman"/>
          <w:color w:val="000000" w:themeColor="text1"/>
          <w:sz w:val="28"/>
          <w:szCs w:val="28"/>
        </w:rPr>
        <w:t>м</w:t>
      </w:r>
      <w:r w:rsidRPr="00CC7883">
        <w:rPr>
          <w:rFonts w:ascii="Times New Roman" w:eastAsia="Times New Roman" w:hAnsi="Times New Roman" w:cs="Times New Roman"/>
          <w:color w:val="000000" w:themeColor="text1"/>
          <w:sz w:val="28"/>
          <w:szCs w:val="28"/>
        </w:rPr>
        <w:t xml:space="preserve"> 3,0–4,0</w:t>
      </w:r>
      <w:r w:rsidR="00FA3470" w:rsidRPr="00CC7883">
        <w:rPr>
          <w:rFonts w:ascii="Times New Roman" w:eastAsia="Times New Roman" w:hAnsi="Times New Roman" w:cs="Times New Roman"/>
          <w:color w:val="000000" w:themeColor="text1"/>
          <w:sz w:val="28"/>
          <w:szCs w:val="28"/>
        </w:rPr>
        <w:t xml:space="preserve"> </w:t>
      </w:r>
      <w:r w:rsidR="00794D46" w:rsidRPr="00CC7883">
        <w:rPr>
          <w:rFonts w:ascii="Times New Roman" w:eastAsia="Times New Roman" w:hAnsi="Times New Roman" w:cs="Times New Roman"/>
          <w:color w:val="000000" w:themeColor="text1"/>
          <w:sz w:val="28"/>
          <w:szCs w:val="28"/>
        </w:rPr>
        <w:t>шт. коренів довжиною 6,3 см [17</w:t>
      </w:r>
      <w:r w:rsidR="00632BAB" w:rsidRPr="00CC7883">
        <w:rPr>
          <w:rFonts w:ascii="Times New Roman" w:eastAsia="Times New Roman" w:hAnsi="Times New Roman" w:cs="Times New Roman"/>
          <w:color w:val="000000" w:themeColor="text1"/>
          <w:sz w:val="28"/>
          <w:szCs w:val="28"/>
        </w:rPr>
        <w:t>7</w:t>
      </w:r>
      <w:r w:rsidR="00CB43B9" w:rsidRPr="00C634FF">
        <w:rPr>
          <w:rFonts w:ascii="Times New Roman" w:eastAsia="Times New Roman" w:hAnsi="Times New Roman" w:cs="Times New Roman"/>
          <w:color w:val="000000" w:themeColor="text1"/>
          <w:sz w:val="28"/>
          <w:szCs w:val="28"/>
        </w:rPr>
        <w:t>,</w:t>
      </w:r>
      <w:r w:rsidR="00794D46" w:rsidRPr="00CC7883">
        <w:rPr>
          <w:rFonts w:ascii="Times New Roman" w:eastAsia="Times New Roman" w:hAnsi="Times New Roman" w:cs="Times New Roman"/>
          <w:color w:val="000000" w:themeColor="text1"/>
          <w:sz w:val="28"/>
          <w:szCs w:val="28"/>
        </w:rPr>
        <w:t xml:space="preserve"> 2</w:t>
      </w:r>
      <w:r w:rsidR="00632BAB" w:rsidRPr="00CC7883">
        <w:rPr>
          <w:rFonts w:ascii="Times New Roman" w:eastAsia="Times New Roman" w:hAnsi="Times New Roman" w:cs="Times New Roman"/>
          <w:color w:val="000000" w:themeColor="text1"/>
          <w:sz w:val="28"/>
          <w:szCs w:val="28"/>
        </w:rPr>
        <w:t>1</w:t>
      </w:r>
      <w:r w:rsidR="002D22A1" w:rsidRPr="00CC7883">
        <w:rPr>
          <w:rFonts w:ascii="Times New Roman" w:eastAsia="Times New Roman" w:hAnsi="Times New Roman" w:cs="Times New Roman"/>
          <w:color w:val="000000" w:themeColor="text1"/>
          <w:sz w:val="28"/>
          <w:szCs w:val="28"/>
        </w:rPr>
        <w:t>8</w:t>
      </w:r>
      <w:r w:rsidR="00CB43B9" w:rsidRPr="00C634FF">
        <w:rPr>
          <w:rFonts w:ascii="Times New Roman" w:eastAsia="Times New Roman" w:hAnsi="Times New Roman" w:cs="Times New Roman"/>
          <w:color w:val="000000" w:themeColor="text1"/>
          <w:sz w:val="28"/>
          <w:szCs w:val="28"/>
        </w:rPr>
        <w:t>,</w:t>
      </w:r>
      <w:r w:rsidR="00794D46" w:rsidRPr="00CC7883">
        <w:rPr>
          <w:rFonts w:ascii="Times New Roman" w:eastAsia="Times New Roman" w:hAnsi="Times New Roman" w:cs="Times New Roman"/>
          <w:color w:val="000000" w:themeColor="text1"/>
          <w:sz w:val="28"/>
          <w:szCs w:val="28"/>
        </w:rPr>
        <w:t xml:space="preserve"> 92</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У дослідженні винограду сорту «Karmrahyut» (</w:t>
      </w:r>
      <w:r w:rsidRPr="00CC7883">
        <w:rPr>
          <w:rFonts w:ascii="Times New Roman" w:eastAsia="Times New Roman" w:hAnsi="Times New Roman" w:cs="Times New Roman"/>
          <w:i/>
          <w:iCs/>
          <w:color w:val="000000" w:themeColor="text1"/>
          <w:sz w:val="28"/>
          <w:szCs w:val="28"/>
        </w:rPr>
        <w:t>Vitis vinifera</w:t>
      </w:r>
      <w:r w:rsidRPr="00CC7883">
        <w:rPr>
          <w:rFonts w:ascii="Times New Roman" w:eastAsia="Times New Roman" w:hAnsi="Times New Roman" w:cs="Times New Roman"/>
          <w:color w:val="000000" w:themeColor="text1"/>
          <w:sz w:val="28"/>
          <w:szCs w:val="28"/>
        </w:rPr>
        <w:t xml:space="preserve"> L.) було показано ефективність застосування культуральної рідини антарктичних дріжджів </w:t>
      </w:r>
      <w:r w:rsidRPr="00CC7883">
        <w:rPr>
          <w:rFonts w:ascii="Times New Roman" w:eastAsia="Times New Roman" w:hAnsi="Times New Roman" w:cs="Times New Roman"/>
          <w:i/>
          <w:iCs/>
          <w:color w:val="000000" w:themeColor="text1"/>
          <w:sz w:val="28"/>
          <w:szCs w:val="28"/>
        </w:rPr>
        <w:t xml:space="preserve">Nadsoniella nigra </w:t>
      </w:r>
      <w:r w:rsidRPr="00CC7883">
        <w:rPr>
          <w:rFonts w:ascii="Times New Roman" w:eastAsia="Times New Roman" w:hAnsi="Times New Roman" w:cs="Times New Roman"/>
          <w:color w:val="000000" w:themeColor="text1"/>
          <w:sz w:val="28"/>
          <w:szCs w:val="28"/>
        </w:rPr>
        <w:t xml:space="preserve">Lindegren як природної альтернативи ІМК для стимуляції укорінення мікрочубуків. Укорінення проводили на поживному середовищі ½ WPM із додаванням 0,5–2,0 мл/л </w:t>
      </w:r>
      <w:r w:rsidRPr="00CC7883">
        <w:rPr>
          <w:rFonts w:ascii="Times New Roman" w:eastAsia="Times New Roman" w:hAnsi="Times New Roman" w:cs="Times New Roman"/>
          <w:i/>
          <w:iCs/>
          <w:color w:val="000000" w:themeColor="text1"/>
          <w:sz w:val="28"/>
          <w:szCs w:val="28"/>
        </w:rPr>
        <w:t xml:space="preserve">N. </w:t>
      </w:r>
      <w:r w:rsidR="00306567" w:rsidRPr="00CC7883">
        <w:rPr>
          <w:rFonts w:ascii="Times New Roman" w:eastAsia="Times New Roman" w:hAnsi="Times New Roman" w:cs="Times New Roman"/>
          <w:i/>
          <w:iCs/>
          <w:color w:val="000000" w:themeColor="text1"/>
          <w:sz w:val="28"/>
          <w:szCs w:val="28"/>
        </w:rPr>
        <w:t>n</w:t>
      </w:r>
      <w:r w:rsidRPr="00CC7883">
        <w:rPr>
          <w:rFonts w:ascii="Times New Roman" w:eastAsia="Times New Roman" w:hAnsi="Times New Roman" w:cs="Times New Roman"/>
          <w:i/>
          <w:iCs/>
          <w:color w:val="000000" w:themeColor="text1"/>
          <w:sz w:val="28"/>
          <w:szCs w:val="28"/>
        </w:rPr>
        <w:t>igra</w:t>
      </w:r>
      <w:r w:rsidR="00306567"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iCs/>
          <w:color w:val="000000" w:themeColor="text1"/>
          <w:sz w:val="28"/>
          <w:szCs w:val="28"/>
        </w:rPr>
        <w:t>Lindegren</w:t>
      </w:r>
      <w:r w:rsidRPr="00CC7883">
        <w:rPr>
          <w:rFonts w:ascii="Times New Roman" w:eastAsia="Times New Roman" w:hAnsi="Times New Roman" w:cs="Times New Roman"/>
          <w:color w:val="000000" w:themeColor="text1"/>
          <w:sz w:val="28"/>
          <w:szCs w:val="28"/>
        </w:rPr>
        <w:t xml:space="preserve"> або еквівалентної концентрації ІМК. Найкращі результати було отримано при концентрації 2,0 мл/л – відсоток укорінення досягав 97,0 %, середня кількість коренів – 7,2 шт., їх довжина – 13,8 см. Для порівняння, у контролі укорінення було на рівні 41,0 %, а кількість і довжина коренів були значно меншими – 2,6 шт. і 4,2 см відповідно [</w:t>
      </w:r>
      <w:r w:rsidR="00794D46" w:rsidRPr="00CC7883">
        <w:rPr>
          <w:rFonts w:ascii="Times New Roman" w:eastAsia="Times New Roman" w:hAnsi="Times New Roman" w:cs="Times New Roman"/>
          <w:color w:val="000000" w:themeColor="text1"/>
          <w:sz w:val="28"/>
          <w:szCs w:val="28"/>
        </w:rPr>
        <w:t>89</w:t>
      </w:r>
      <w:r w:rsidRPr="00CC7883">
        <w:rPr>
          <w:rFonts w:ascii="Times New Roman" w:eastAsia="Times New Roman" w:hAnsi="Times New Roman" w:cs="Times New Roman"/>
          <w:color w:val="000000" w:themeColor="text1"/>
          <w:sz w:val="28"/>
          <w:szCs w:val="28"/>
        </w:rPr>
        <w:t xml:space="preserve">]. </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Роботи з удосконалення методів укорінення одновічкових чубуків винограду проводили і в ННЦ «ІВіВ ім. В.</w:t>
      </w:r>
      <w:r w:rsidR="00396E12">
        <w:rPr>
          <w:rFonts w:ascii="Times New Roman" w:eastAsia="Times New Roman" w:hAnsi="Times New Roman" w:cs="Times New Roman"/>
          <w:color w:val="000000" w:themeColor="text1"/>
          <w:sz w:val="28"/>
          <w:szCs w:val="28"/>
        </w:rPr>
        <w:t> </w:t>
      </w:r>
      <w:r w:rsidRPr="00CC7883">
        <w:rPr>
          <w:rFonts w:ascii="Times New Roman" w:eastAsia="Times New Roman" w:hAnsi="Times New Roman" w:cs="Times New Roman"/>
          <w:color w:val="000000" w:themeColor="text1"/>
          <w:sz w:val="28"/>
          <w:szCs w:val="28"/>
        </w:rPr>
        <w:t>Є.</w:t>
      </w:r>
      <w:r w:rsidR="00396E12">
        <w:rPr>
          <w:rFonts w:ascii="Times New Roman" w:eastAsia="Times New Roman" w:hAnsi="Times New Roman" w:cs="Times New Roman"/>
          <w:color w:val="000000" w:themeColor="text1"/>
          <w:sz w:val="28"/>
          <w:szCs w:val="28"/>
        </w:rPr>
        <w:t> </w:t>
      </w:r>
      <w:r w:rsidRPr="00CC7883">
        <w:rPr>
          <w:rFonts w:ascii="Times New Roman" w:eastAsia="Times New Roman" w:hAnsi="Times New Roman" w:cs="Times New Roman"/>
          <w:color w:val="000000" w:themeColor="text1"/>
          <w:sz w:val="28"/>
          <w:szCs w:val="28"/>
        </w:rPr>
        <w:t xml:space="preserve">Таїрова». На основі цих </w:t>
      </w:r>
      <w:r w:rsidRPr="00CC7883">
        <w:rPr>
          <w:rFonts w:ascii="Times New Roman" w:eastAsia="Times New Roman" w:hAnsi="Times New Roman" w:cs="Times New Roman"/>
          <w:color w:val="000000" w:themeColor="text1"/>
          <w:sz w:val="28"/>
          <w:szCs w:val="28"/>
        </w:rPr>
        <w:lastRenderedPageBreak/>
        <w:t>досліджень показано, що на етапі укорінення мікроклонів оптимальним є використання поживного середовища MS із зменшеною на половину кількістю макросолей та хелату заліза. Крім того, застосування прийому обпудрювання базальних частин мікрочубуків ауксиномісною пудрою з подальшим культивуванням на безгормональному середовищі MS значно ефективніше стимулювало процес ризогенезу, порівняно з традиційним культивуванням мі</w:t>
      </w:r>
      <w:r w:rsidR="00794D46" w:rsidRPr="00CC7883">
        <w:rPr>
          <w:rFonts w:ascii="Times New Roman" w:eastAsia="Times New Roman" w:hAnsi="Times New Roman" w:cs="Times New Roman"/>
          <w:color w:val="000000" w:themeColor="text1"/>
          <w:sz w:val="28"/>
          <w:szCs w:val="28"/>
        </w:rPr>
        <w:t>кроклонів на стандартному MS [17</w:t>
      </w:r>
      <w:r w:rsidRPr="00CC7883">
        <w:rPr>
          <w:rFonts w:ascii="Times New Roman" w:eastAsia="Times New Roman" w:hAnsi="Times New Roman" w:cs="Times New Roman"/>
          <w:color w:val="000000" w:themeColor="text1"/>
          <w:sz w:val="28"/>
          <w:szCs w:val="28"/>
        </w:rPr>
        <w:t>]. Додатково, Н. М. Зеленянська та ін. встановили, що використання поживних середовищ MS, NN та B5 із додаванням картопляного та пшеничного крохмалю (на заміну агару) забезпечувало високий рівень укорінення та приживлюваності мікроклонів – 75,0–80,0 % для сорту «Кардишах таїровський» та 70,0–75,0 % для сорту «Добриня» [</w:t>
      </w:r>
      <w:r w:rsidR="00794D46" w:rsidRPr="00CC7883">
        <w:rPr>
          <w:rFonts w:ascii="Times New Roman" w:eastAsia="Times New Roman" w:hAnsi="Times New Roman" w:cs="Times New Roman"/>
          <w:color w:val="000000" w:themeColor="text1"/>
          <w:sz w:val="28"/>
          <w:szCs w:val="28"/>
        </w:rPr>
        <w:t>18</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p>
    <w:p w:rsidR="00B01A54" w:rsidRPr="00CC7883" w:rsidRDefault="00B01A54" w:rsidP="00047411">
      <w:pPr>
        <w:pStyle w:val="a7"/>
        <w:widowControl w:val="0"/>
        <w:numPr>
          <w:ilvl w:val="1"/>
          <w:numId w:val="12"/>
        </w:numPr>
        <w:spacing w:after="0" w:line="360" w:lineRule="auto"/>
        <w:ind w:left="0" w:firstLine="720"/>
        <w:jc w:val="both"/>
        <w:outlineLvl w:val="1"/>
        <w:rPr>
          <w:rFonts w:ascii="Times New Roman" w:hAnsi="Times New Roman" w:cs="Times New Roman"/>
          <w:b/>
          <w:i/>
          <w:color w:val="000000" w:themeColor="text1"/>
          <w:sz w:val="28"/>
          <w:szCs w:val="28"/>
        </w:rPr>
      </w:pPr>
      <w:bookmarkStart w:id="12" w:name="_Toc220058919"/>
      <w:r w:rsidRPr="00CC7883">
        <w:rPr>
          <w:rFonts w:ascii="Times New Roman" w:hAnsi="Times New Roman" w:cs="Times New Roman"/>
          <w:b/>
          <w:color w:val="000000" w:themeColor="text1"/>
          <w:sz w:val="28"/>
          <w:szCs w:val="28"/>
        </w:rPr>
        <w:t xml:space="preserve">Постасептична адаптація рослин </w:t>
      </w:r>
      <w:r w:rsidRPr="00CC7883">
        <w:rPr>
          <w:rFonts w:ascii="Times New Roman" w:hAnsi="Times New Roman" w:cs="Times New Roman"/>
          <w:b/>
          <w:i/>
          <w:color w:val="000000" w:themeColor="text1"/>
          <w:sz w:val="28"/>
          <w:szCs w:val="28"/>
        </w:rPr>
        <w:t>in</w:t>
      </w:r>
      <w:r w:rsidR="008B5203" w:rsidRPr="00CC7883">
        <w:rPr>
          <w:rFonts w:ascii="Times New Roman" w:hAnsi="Times New Roman" w:cs="Times New Roman"/>
          <w:b/>
          <w:i/>
          <w:color w:val="000000" w:themeColor="text1"/>
          <w:sz w:val="28"/>
          <w:szCs w:val="28"/>
        </w:rPr>
        <w:t> </w:t>
      </w:r>
      <w:r w:rsidRPr="00CC7883">
        <w:rPr>
          <w:rFonts w:ascii="Times New Roman" w:hAnsi="Times New Roman" w:cs="Times New Roman"/>
          <w:b/>
          <w:i/>
          <w:color w:val="000000" w:themeColor="text1"/>
          <w:sz w:val="28"/>
          <w:szCs w:val="28"/>
        </w:rPr>
        <w:t>vitro</w:t>
      </w:r>
      <w:bookmarkEnd w:id="12"/>
    </w:p>
    <w:p w:rsidR="00B01A54" w:rsidRPr="00CC7883" w:rsidRDefault="00B01A54" w:rsidP="00047411">
      <w:pPr>
        <w:pStyle w:val="a7"/>
        <w:widowControl w:val="0"/>
        <w:spacing w:after="0" w:line="360" w:lineRule="auto"/>
        <w:ind w:left="1500"/>
        <w:rPr>
          <w:rFonts w:ascii="Times New Roman" w:hAnsi="Times New Roman" w:cs="Times New Roman"/>
          <w:b/>
          <w:color w:val="000000" w:themeColor="text1"/>
          <w:sz w:val="28"/>
          <w:szCs w:val="28"/>
        </w:rPr>
      </w:pPr>
    </w:p>
    <w:p w:rsidR="00B01A54" w:rsidRPr="00CC7883" w:rsidRDefault="00B01A54" w:rsidP="00047411">
      <w:pPr>
        <w:widowControl w:val="0"/>
        <w:spacing w:after="0" w:line="360" w:lineRule="auto"/>
        <w:ind w:firstLine="708"/>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Адаптація є фінальним і найважливішим етапом у цілісній схемі мікроклонального розмноження, яка передбачає переведення рослин-регенерантів із умов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008B5203"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в умови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vivo</w:t>
      </w:r>
      <w:r w:rsidR="00794D46" w:rsidRPr="00CC7883">
        <w:rPr>
          <w:rFonts w:ascii="Times New Roman" w:eastAsia="Times New Roman" w:hAnsi="Times New Roman" w:cs="Times New Roman"/>
          <w:color w:val="000000" w:themeColor="text1"/>
          <w:sz w:val="28"/>
          <w:szCs w:val="28"/>
        </w:rPr>
        <w:t xml:space="preserve"> [41</w:t>
      </w:r>
      <w:r w:rsidR="00CB43B9" w:rsidRPr="00C634FF">
        <w:rPr>
          <w:rFonts w:ascii="Times New Roman" w:eastAsia="Times New Roman" w:hAnsi="Times New Roman" w:cs="Times New Roman"/>
          <w:color w:val="000000" w:themeColor="text1"/>
          <w:sz w:val="28"/>
          <w:szCs w:val="28"/>
        </w:rPr>
        <w:t>,</w:t>
      </w:r>
      <w:r w:rsidR="00794D46" w:rsidRPr="00CC7883">
        <w:rPr>
          <w:rFonts w:ascii="Times New Roman" w:eastAsia="Times New Roman" w:hAnsi="Times New Roman" w:cs="Times New Roman"/>
          <w:color w:val="000000" w:themeColor="text1"/>
          <w:sz w:val="28"/>
          <w:szCs w:val="28"/>
        </w:rPr>
        <w:t xml:space="preserve"> 17</w:t>
      </w:r>
      <w:r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bCs/>
          <w:color w:val="000000" w:themeColor="text1"/>
          <w:sz w:val="28"/>
          <w:szCs w:val="28"/>
        </w:rPr>
        <w:t>Саме на цьому етапі спостерігаються найбільші втрати рослин унаслідок їх загибелі</w:t>
      </w:r>
      <w:r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Це пов’язано з тим, що в культурі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008B5203"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рослини перебувають в умовах, які відрізняються від природних за багатьма фізико-хімічними параметрами – світловим, водним, температурним, газовим складом повітря у середині культуральних єм</w:t>
      </w:r>
      <w:r w:rsidR="00404252" w:rsidRPr="00CC7883">
        <w:rPr>
          <w:rFonts w:ascii="Times New Roman" w:eastAsia="Times New Roman" w:hAnsi="Times New Roman" w:cs="Times New Roman"/>
          <w:color w:val="000000" w:themeColor="text1"/>
          <w:sz w:val="28"/>
          <w:szCs w:val="28"/>
        </w:rPr>
        <w:t>н</w:t>
      </w:r>
      <w:r w:rsidRPr="00CC7883">
        <w:rPr>
          <w:rFonts w:ascii="Times New Roman" w:eastAsia="Times New Roman" w:hAnsi="Times New Roman" w:cs="Times New Roman"/>
          <w:color w:val="000000" w:themeColor="text1"/>
          <w:sz w:val="28"/>
          <w:szCs w:val="28"/>
        </w:rPr>
        <w:t>остей, консистенцією поживного середовища [</w:t>
      </w:r>
      <w:r w:rsidR="00794D46" w:rsidRPr="00CC7883">
        <w:rPr>
          <w:rFonts w:ascii="Times New Roman" w:eastAsia="Times New Roman" w:hAnsi="Times New Roman" w:cs="Times New Roman"/>
          <w:color w:val="000000" w:themeColor="text1"/>
          <w:sz w:val="28"/>
          <w:szCs w:val="28"/>
        </w:rPr>
        <w:t>17</w:t>
      </w:r>
      <w:r w:rsidRPr="00CC7883">
        <w:rPr>
          <w:rFonts w:ascii="Times New Roman" w:eastAsia="Times New Roman" w:hAnsi="Times New Roman" w:cs="Times New Roman"/>
          <w:color w:val="000000" w:themeColor="text1"/>
          <w:sz w:val="28"/>
          <w:szCs w:val="28"/>
        </w:rPr>
        <w:t xml:space="preserve">]. </w:t>
      </w:r>
      <w:r w:rsidR="001B7D0D">
        <w:rPr>
          <w:rFonts w:ascii="Times New Roman" w:eastAsia="Times New Roman" w:hAnsi="Times New Roman" w:cs="Times New Roman"/>
          <w:color w:val="000000" w:themeColor="text1"/>
          <w:sz w:val="28"/>
          <w:szCs w:val="28"/>
        </w:rPr>
        <w:t>У результаті</w:t>
      </w:r>
      <w:r w:rsidRPr="00CC7883">
        <w:rPr>
          <w:rFonts w:ascii="Times New Roman" w:eastAsia="Times New Roman" w:hAnsi="Times New Roman" w:cs="Times New Roman"/>
          <w:color w:val="000000" w:themeColor="text1"/>
          <w:sz w:val="28"/>
          <w:szCs w:val="28"/>
        </w:rPr>
        <w:t xml:space="preserve">, в умовах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формуються рослини з недосконалими анатомічними і фізіологічними характеристиками – недорозвинена або неактивна воскова кутикула листка, пошкоджений продиховий апарат, слабка фотосинтетична активність, вітрифікація, слабкий судинний зв'язок між коренем і пагоном, недорозвинені (а часто і відсутні) кореневі волоски, тому вони дуже легко піддаються зневодненню і </w:t>
      </w:r>
      <w:r w:rsidR="00794D46" w:rsidRPr="00CC7883">
        <w:rPr>
          <w:rFonts w:ascii="Times New Roman" w:eastAsia="Times New Roman" w:hAnsi="Times New Roman" w:cs="Times New Roman"/>
          <w:color w:val="000000" w:themeColor="text1"/>
          <w:sz w:val="28"/>
          <w:szCs w:val="28"/>
        </w:rPr>
        <w:t>впливу патогенної інфекції [41</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hAnsi="Times New Roman" w:cs="Times New Roman"/>
          <w:color w:val="000000" w:themeColor="text1"/>
        </w:rPr>
      </w:pPr>
      <w:r w:rsidRPr="00CC7883">
        <w:rPr>
          <w:rFonts w:ascii="Times New Roman" w:eastAsia="Times New Roman" w:hAnsi="Times New Roman" w:cs="Times New Roman"/>
          <w:color w:val="000000" w:themeColor="text1"/>
          <w:sz w:val="28"/>
          <w:szCs w:val="28"/>
        </w:rPr>
        <w:t xml:space="preserve">Для поліпшення адаптації до </w:t>
      </w:r>
      <w:r w:rsidR="001221F9" w:rsidRPr="00CC7883">
        <w:rPr>
          <w:rFonts w:ascii="Times New Roman" w:hAnsi="Times New Roman" w:cs="Times New Roman"/>
          <w:i/>
          <w:color w:val="000000" w:themeColor="text1"/>
          <w:sz w:val="28"/>
          <w:szCs w:val="28"/>
        </w:rPr>
        <w:t>in vivo</w:t>
      </w:r>
      <w:r w:rsidRPr="00CC7883">
        <w:rPr>
          <w:rFonts w:ascii="Times New Roman" w:eastAsia="Times New Roman" w:hAnsi="Times New Roman" w:cs="Times New Roman"/>
          <w:color w:val="000000" w:themeColor="text1"/>
          <w:sz w:val="28"/>
          <w:szCs w:val="28"/>
        </w:rPr>
        <w:t xml:space="preserve"> розмножених в культурі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008B5203"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lastRenderedPageBreak/>
        <w:t xml:space="preserve">мікроклонів застосовують такі прийоми: </w:t>
      </w:r>
    </w:p>
    <w:p w:rsidR="00B01A54" w:rsidRPr="00CC7883" w:rsidRDefault="00B01A54" w:rsidP="00047411">
      <w:pPr>
        <w:pStyle w:val="a7"/>
        <w:widowControl w:val="0"/>
        <w:numPr>
          <w:ilvl w:val="0"/>
          <w:numId w:val="13"/>
        </w:numPr>
        <w:autoSpaceDN w:val="0"/>
        <w:spacing w:after="0" w:line="360" w:lineRule="auto"/>
        <w:ind w:left="0" w:firstLine="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зниження рівня відносної вологості в єм</w:t>
      </w:r>
      <w:r w:rsidR="001563C7">
        <w:rPr>
          <w:rFonts w:ascii="Times New Roman" w:eastAsia="Times New Roman" w:hAnsi="Times New Roman" w:cs="Times New Roman"/>
          <w:color w:val="000000" w:themeColor="text1"/>
          <w:sz w:val="28"/>
          <w:szCs w:val="28"/>
        </w:rPr>
        <w:t>н</w:t>
      </w:r>
      <w:r w:rsidRPr="00CC7883">
        <w:rPr>
          <w:rFonts w:ascii="Times New Roman" w:eastAsia="Times New Roman" w:hAnsi="Times New Roman" w:cs="Times New Roman"/>
          <w:color w:val="000000" w:themeColor="text1"/>
          <w:sz w:val="28"/>
          <w:szCs w:val="28"/>
        </w:rPr>
        <w:t xml:space="preserve">остях для культивування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pStyle w:val="a7"/>
        <w:widowControl w:val="0"/>
        <w:numPr>
          <w:ilvl w:val="0"/>
          <w:numId w:val="13"/>
        </w:numPr>
        <w:autoSpaceDN w:val="0"/>
        <w:spacing w:after="0" w:line="360" w:lineRule="auto"/>
        <w:ind w:left="0" w:firstLine="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стимуляцію ризогенезу у культурі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pStyle w:val="a7"/>
        <w:widowControl w:val="0"/>
        <w:numPr>
          <w:ilvl w:val="0"/>
          <w:numId w:val="13"/>
        </w:numPr>
        <w:autoSpaceDN w:val="0"/>
        <w:spacing w:after="0" w:line="360" w:lineRule="auto"/>
        <w:ind w:left="0" w:firstLine="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загартування мікроклонів шляхом зниження інтенсивності транспірації мікроклонів після переведення їх в умови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vivo</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pStyle w:val="a7"/>
        <w:widowControl w:val="0"/>
        <w:numPr>
          <w:ilvl w:val="0"/>
          <w:numId w:val="13"/>
        </w:numPr>
        <w:autoSpaceDN w:val="0"/>
        <w:spacing w:after="0" w:line="360" w:lineRule="auto"/>
        <w:ind w:left="0" w:firstLine="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використання мікоризи для збільшення коефіцієнта приживлюваності мікроклонів;</w:t>
      </w:r>
    </w:p>
    <w:p w:rsidR="00B01A54" w:rsidRPr="00CC7883" w:rsidRDefault="00B01A54" w:rsidP="00047411">
      <w:pPr>
        <w:pStyle w:val="a7"/>
        <w:widowControl w:val="0"/>
        <w:numPr>
          <w:ilvl w:val="0"/>
          <w:numId w:val="13"/>
        </w:numPr>
        <w:autoSpaceDN w:val="0"/>
        <w:spacing w:after="0" w:line="360" w:lineRule="auto"/>
        <w:ind w:left="0" w:firstLine="0"/>
        <w:contextualSpacing w:val="0"/>
        <w:jc w:val="both"/>
        <w:textAlignment w:val="baseline"/>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використання фотоавтотрофної системи мікроклонального розмноження </w:t>
      </w:r>
      <w:r w:rsidR="00794D46" w:rsidRPr="00CC7883">
        <w:rPr>
          <w:rFonts w:ascii="Times New Roman" w:eastAsia="Times New Roman" w:hAnsi="Times New Roman" w:cs="Times New Roman"/>
          <w:color w:val="000000" w:themeColor="text1"/>
          <w:sz w:val="28"/>
          <w:szCs w:val="28"/>
        </w:rPr>
        <w:t>[41</w:t>
      </w:r>
      <w:r w:rsidRPr="00CC7883">
        <w:rPr>
          <w:rFonts w:ascii="Times New Roman" w:eastAsia="Times New Roman" w:hAnsi="Times New Roman" w:cs="Times New Roman"/>
          <w:color w:val="000000" w:themeColor="text1"/>
          <w:sz w:val="28"/>
          <w:szCs w:val="28"/>
        </w:rPr>
        <w:t xml:space="preserve">]. </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Зниження вологості в культуральних єм</w:t>
      </w:r>
      <w:r w:rsidR="00404252" w:rsidRPr="00CC7883">
        <w:rPr>
          <w:rFonts w:ascii="Times New Roman" w:hAnsi="Times New Roman" w:cs="Times New Roman"/>
          <w:color w:val="000000" w:themeColor="text1"/>
          <w:sz w:val="28"/>
          <w:szCs w:val="28"/>
        </w:rPr>
        <w:t>н</w:t>
      </w:r>
      <w:r w:rsidRPr="00CC7883">
        <w:rPr>
          <w:rFonts w:ascii="Times New Roman" w:hAnsi="Times New Roman" w:cs="Times New Roman"/>
          <w:color w:val="000000" w:themeColor="text1"/>
          <w:sz w:val="28"/>
          <w:szCs w:val="28"/>
        </w:rPr>
        <w:t xml:space="preserve">остях на етапі передадаптації мікроклональних рослин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xml:space="preserve"> здійснюється різними способами. </w:t>
      </w:r>
      <w:r w:rsidRPr="00CC7883">
        <w:rPr>
          <w:rFonts w:ascii="Times New Roman" w:eastAsia="Times New Roman" w:hAnsi="Times New Roman" w:cs="Times New Roman"/>
          <w:bCs/>
          <w:color w:val="000000" w:themeColor="text1"/>
          <w:sz w:val="28"/>
          <w:szCs w:val="28"/>
        </w:rPr>
        <w:t>Leite M. S. et al.</w:t>
      </w:r>
      <w:r w:rsidRPr="00CC7883">
        <w:rPr>
          <w:rFonts w:ascii="Times New Roman" w:hAnsi="Times New Roman" w:cs="Times New Roman"/>
          <w:color w:val="000000" w:themeColor="text1"/>
          <w:sz w:val="28"/>
          <w:szCs w:val="28"/>
        </w:rPr>
        <w:t xml:space="preserve"> частково привідкривали кришки культуральних єм</w:t>
      </w:r>
      <w:r w:rsidR="00404252" w:rsidRPr="00CC7883">
        <w:rPr>
          <w:rFonts w:ascii="Times New Roman" w:hAnsi="Times New Roman" w:cs="Times New Roman"/>
          <w:color w:val="000000" w:themeColor="text1"/>
          <w:sz w:val="28"/>
          <w:szCs w:val="28"/>
        </w:rPr>
        <w:t>н</w:t>
      </w:r>
      <w:r w:rsidRPr="00CC7883">
        <w:rPr>
          <w:rFonts w:ascii="Times New Roman" w:hAnsi="Times New Roman" w:cs="Times New Roman"/>
          <w:color w:val="000000" w:themeColor="text1"/>
          <w:sz w:val="28"/>
          <w:szCs w:val="28"/>
        </w:rPr>
        <w:t xml:space="preserve">остей при культивуванні </w:t>
      </w:r>
      <w:r w:rsidRPr="00CC7883">
        <w:rPr>
          <w:rFonts w:ascii="Times New Roman" w:eastAsia="Times New Roman" w:hAnsi="Times New Roman" w:cs="Times New Roman"/>
          <w:bCs/>
          <w:color w:val="000000" w:themeColor="text1"/>
          <w:sz w:val="28"/>
          <w:szCs w:val="28"/>
        </w:rPr>
        <w:t>паутерії ґарднеріанської (</w:t>
      </w:r>
      <w:r w:rsidRPr="00CC7883">
        <w:rPr>
          <w:rFonts w:ascii="Times New Roman" w:eastAsia="Times New Roman" w:hAnsi="Times New Roman" w:cs="Times New Roman"/>
          <w:bCs/>
          <w:i/>
          <w:color w:val="000000" w:themeColor="text1"/>
          <w:sz w:val="28"/>
          <w:szCs w:val="28"/>
        </w:rPr>
        <w:t>Pouteria gardeneriana</w:t>
      </w:r>
      <w:r w:rsidRPr="00CC7883">
        <w:rPr>
          <w:rFonts w:ascii="Times New Roman" w:eastAsia="Times New Roman" w:hAnsi="Times New Roman" w:cs="Times New Roman"/>
          <w:bCs/>
          <w:color w:val="000000" w:themeColor="text1"/>
          <w:sz w:val="28"/>
          <w:szCs w:val="28"/>
        </w:rPr>
        <w:t xml:space="preserve"> (A.DC.) Radlk.)</w:t>
      </w:r>
      <w:r w:rsidRPr="00CC7883">
        <w:rPr>
          <w:rFonts w:ascii="Times New Roman" w:hAnsi="Times New Roman" w:cs="Times New Roman"/>
          <w:color w:val="000000" w:themeColor="text1"/>
          <w:sz w:val="28"/>
          <w:szCs w:val="28"/>
        </w:rPr>
        <w:t xml:space="preserve">, спочатку роблячи три невеликі отвори у ПВХ-плівці, а через три доби їх розширювали для поступового збільшення газообміну. Аналогічно, </w:t>
      </w:r>
      <w:r w:rsidRPr="00CC7883">
        <w:rPr>
          <w:rFonts w:ascii="Times New Roman" w:eastAsia="Times New Roman" w:hAnsi="Times New Roman" w:cs="Times New Roman"/>
          <w:bCs/>
          <w:color w:val="000000" w:themeColor="text1"/>
          <w:sz w:val="28"/>
          <w:szCs w:val="28"/>
        </w:rPr>
        <w:t>Silva</w:t>
      </w:r>
      <w:r w:rsidR="00D16FBB">
        <w:rPr>
          <w:rFonts w:ascii="Times New Roman" w:eastAsia="Times New Roman" w:hAnsi="Times New Roman" w:cs="Times New Roman"/>
          <w:bCs/>
          <w:color w:val="000000" w:themeColor="text1"/>
          <w:sz w:val="28"/>
          <w:szCs w:val="28"/>
          <w:lang w:val="en-US"/>
        </w:rPr>
        <w:t> </w:t>
      </w:r>
      <w:r w:rsidRPr="00CC7883">
        <w:rPr>
          <w:rFonts w:ascii="Times New Roman" w:eastAsia="Times New Roman" w:hAnsi="Times New Roman" w:cs="Times New Roman"/>
          <w:bCs/>
          <w:color w:val="000000" w:themeColor="text1"/>
          <w:sz w:val="28"/>
          <w:szCs w:val="28"/>
        </w:rPr>
        <w:t>A.</w:t>
      </w:r>
      <w:r w:rsidR="00D16FBB">
        <w:rPr>
          <w:rFonts w:ascii="Times New Roman" w:eastAsia="Times New Roman" w:hAnsi="Times New Roman" w:cs="Times New Roman"/>
          <w:bCs/>
          <w:color w:val="000000" w:themeColor="text1"/>
          <w:sz w:val="28"/>
          <w:szCs w:val="28"/>
          <w:lang w:val="en-US"/>
        </w:rPr>
        <w:t> </w:t>
      </w:r>
      <w:r w:rsidRPr="00CC7883">
        <w:rPr>
          <w:rFonts w:ascii="Times New Roman" w:eastAsia="Times New Roman" w:hAnsi="Times New Roman" w:cs="Times New Roman"/>
          <w:bCs/>
          <w:color w:val="000000" w:themeColor="text1"/>
          <w:sz w:val="28"/>
          <w:szCs w:val="28"/>
        </w:rPr>
        <w:t>L. L. et al.</w:t>
      </w:r>
      <w:r w:rsidRPr="00CC7883">
        <w:rPr>
          <w:rFonts w:ascii="Times New Roman" w:hAnsi="Times New Roman" w:cs="Times New Roman"/>
          <w:color w:val="000000" w:themeColor="text1"/>
          <w:sz w:val="28"/>
          <w:szCs w:val="28"/>
        </w:rPr>
        <w:t xml:space="preserve"> на етапі передадаптації рослин </w:t>
      </w:r>
      <w:r w:rsidRPr="00CC7883">
        <w:rPr>
          <w:rFonts w:ascii="Times New Roman" w:eastAsia="Times New Roman" w:hAnsi="Times New Roman" w:cs="Times New Roman"/>
          <w:bCs/>
          <w:color w:val="000000" w:themeColor="text1"/>
          <w:sz w:val="28"/>
          <w:szCs w:val="28"/>
        </w:rPr>
        <w:t>евкаліпту сольового (</w:t>
      </w:r>
      <w:r w:rsidRPr="00CC7883">
        <w:rPr>
          <w:rFonts w:ascii="Times New Roman" w:eastAsia="Times New Roman" w:hAnsi="Times New Roman" w:cs="Times New Roman"/>
          <w:bCs/>
          <w:i/>
          <w:color w:val="000000" w:themeColor="text1"/>
          <w:sz w:val="28"/>
          <w:szCs w:val="28"/>
        </w:rPr>
        <w:t>Eucalyptus saligna</w:t>
      </w:r>
      <w:r w:rsidRPr="00CC7883">
        <w:rPr>
          <w:rFonts w:ascii="Times New Roman" w:eastAsia="Times New Roman" w:hAnsi="Times New Roman" w:cs="Times New Roman"/>
          <w:bCs/>
          <w:color w:val="000000" w:themeColor="text1"/>
          <w:sz w:val="28"/>
          <w:szCs w:val="28"/>
        </w:rPr>
        <w:t xml:space="preserve"> Sm.)</w:t>
      </w:r>
      <w:r w:rsidRPr="00CC7883">
        <w:rPr>
          <w:rFonts w:ascii="Times New Roman" w:hAnsi="Times New Roman" w:cs="Times New Roman"/>
          <w:color w:val="000000" w:themeColor="text1"/>
          <w:sz w:val="28"/>
          <w:szCs w:val="28"/>
        </w:rPr>
        <w:t xml:space="preserve"> використовували перфоровану ПВХ-плівку з десятьма отворами (4 мм² кожен). Обидва підходи сприяли зниженню вологості повітря в ємкостях і зменшенню інтенсивності транспірації. </w:t>
      </w:r>
      <w:r w:rsidRPr="00CC7883">
        <w:rPr>
          <w:rFonts w:ascii="Times New Roman" w:eastAsia="Times New Roman" w:hAnsi="Times New Roman" w:cs="Times New Roman"/>
          <w:color w:val="000000" w:themeColor="text1"/>
          <w:sz w:val="28"/>
          <w:szCs w:val="28"/>
        </w:rPr>
        <w:t xml:space="preserve">Після проведення передадаптації рослини </w:t>
      </w:r>
      <w:r w:rsidRPr="00CC7883">
        <w:rPr>
          <w:rFonts w:ascii="Times New Roman" w:eastAsia="Times New Roman" w:hAnsi="Times New Roman" w:cs="Times New Roman"/>
          <w:bCs/>
          <w:color w:val="000000" w:themeColor="text1"/>
          <w:sz w:val="28"/>
          <w:szCs w:val="28"/>
        </w:rPr>
        <w:t>паутерії ґарднеріанської</w:t>
      </w:r>
      <w:r w:rsidRPr="00CC7883">
        <w:rPr>
          <w:rFonts w:ascii="Times New Roman" w:eastAsia="Times New Roman" w:hAnsi="Times New Roman" w:cs="Times New Roman"/>
          <w:color w:val="000000" w:themeColor="text1"/>
          <w:sz w:val="28"/>
          <w:szCs w:val="28"/>
        </w:rPr>
        <w:t xml:space="preserve"> пересаджували у субстрат </w:t>
      </w:r>
      <w:r w:rsidRPr="00CC7883">
        <w:rPr>
          <w:rFonts w:ascii="Times New Roman" w:eastAsia="Times New Roman" w:hAnsi="Times New Roman" w:cs="Times New Roman"/>
          <w:bCs/>
          <w:color w:val="000000" w:themeColor="text1"/>
          <w:sz w:val="28"/>
          <w:szCs w:val="28"/>
        </w:rPr>
        <w:t>Bioplant®</w:t>
      </w:r>
      <w:r w:rsidRPr="00CC7883">
        <w:rPr>
          <w:rFonts w:ascii="Times New Roman" w:eastAsia="Times New Roman" w:hAnsi="Times New Roman" w:cs="Times New Roman"/>
          <w:color w:val="000000" w:themeColor="text1"/>
          <w:sz w:val="28"/>
          <w:szCs w:val="28"/>
        </w:rPr>
        <w:t xml:space="preserve"> у тепличних умовах із поступовим зниженням вологості, що забезпечувало 62,2 % приживлюваності. Рослини </w:t>
      </w:r>
      <w:r w:rsidRPr="00CC7883">
        <w:rPr>
          <w:rFonts w:ascii="Times New Roman" w:eastAsia="Times New Roman" w:hAnsi="Times New Roman" w:cs="Times New Roman"/>
          <w:bCs/>
          <w:color w:val="000000" w:themeColor="text1"/>
          <w:sz w:val="28"/>
          <w:szCs w:val="28"/>
        </w:rPr>
        <w:t>евкаліпту сольового</w:t>
      </w:r>
      <w:r w:rsidRPr="00CC7883">
        <w:rPr>
          <w:rFonts w:ascii="Times New Roman" w:eastAsia="Times New Roman" w:hAnsi="Times New Roman" w:cs="Times New Roman"/>
          <w:color w:val="000000" w:themeColor="text1"/>
          <w:sz w:val="28"/>
          <w:szCs w:val="28"/>
        </w:rPr>
        <w:t xml:space="preserve"> спочатку культивували у гідропонній системі з модифікованим поживним середовищем MS (½ солей) протягом 14 діб, а потім пересаджували у субстрат </w:t>
      </w:r>
      <w:r w:rsidRPr="00CC7883">
        <w:rPr>
          <w:rFonts w:ascii="Times New Roman" w:eastAsia="Times New Roman" w:hAnsi="Times New Roman" w:cs="Times New Roman"/>
          <w:bCs/>
          <w:color w:val="000000" w:themeColor="text1"/>
          <w:sz w:val="28"/>
          <w:szCs w:val="28"/>
        </w:rPr>
        <w:t>Plantmax® HT</w:t>
      </w:r>
      <w:r w:rsidRPr="00CC7883">
        <w:rPr>
          <w:rFonts w:ascii="Times New Roman" w:eastAsia="Times New Roman" w:hAnsi="Times New Roman" w:cs="Times New Roman"/>
          <w:color w:val="000000" w:themeColor="text1"/>
          <w:sz w:val="28"/>
          <w:szCs w:val="28"/>
        </w:rPr>
        <w:t>, що забезпечувало 90,0 % приживлюваності після передадаптації у відкритому ку</w:t>
      </w:r>
      <w:r w:rsidR="00FA3470" w:rsidRPr="00CC7883">
        <w:rPr>
          <w:rFonts w:ascii="Times New Roman" w:eastAsia="Times New Roman" w:hAnsi="Times New Roman" w:cs="Times New Roman"/>
          <w:color w:val="000000" w:themeColor="text1"/>
          <w:sz w:val="28"/>
          <w:szCs w:val="28"/>
        </w:rPr>
        <w:t>льтуральному посуді [1</w:t>
      </w:r>
      <w:r w:rsidR="00632BAB" w:rsidRPr="00CC7883">
        <w:rPr>
          <w:rFonts w:ascii="Times New Roman" w:eastAsia="Times New Roman" w:hAnsi="Times New Roman" w:cs="Times New Roman"/>
          <w:color w:val="000000" w:themeColor="text1"/>
          <w:sz w:val="28"/>
          <w:szCs w:val="28"/>
        </w:rPr>
        <w:t>60</w:t>
      </w:r>
      <w:r w:rsidR="00CB43B9" w:rsidRPr="00C634FF">
        <w:rPr>
          <w:rFonts w:ascii="Times New Roman" w:eastAsia="Times New Roman" w:hAnsi="Times New Roman" w:cs="Times New Roman"/>
          <w:color w:val="000000" w:themeColor="text1"/>
          <w:sz w:val="28"/>
          <w:szCs w:val="28"/>
        </w:rPr>
        <w:t>,</w:t>
      </w:r>
      <w:r w:rsidR="00632BAB" w:rsidRPr="00CC7883">
        <w:rPr>
          <w:rFonts w:ascii="Times New Roman" w:eastAsia="Times New Roman" w:hAnsi="Times New Roman" w:cs="Times New Roman"/>
          <w:color w:val="000000" w:themeColor="text1"/>
          <w:sz w:val="28"/>
          <w:szCs w:val="28"/>
        </w:rPr>
        <w:t xml:space="preserve"> 22</w:t>
      </w:r>
      <w:r w:rsidR="002D22A1" w:rsidRPr="00CC7883">
        <w:rPr>
          <w:rFonts w:ascii="Times New Roman" w:eastAsia="Times New Roman" w:hAnsi="Times New Roman" w:cs="Times New Roman"/>
          <w:color w:val="000000" w:themeColor="text1"/>
          <w:sz w:val="28"/>
          <w:szCs w:val="28"/>
        </w:rPr>
        <w:t>9</w:t>
      </w:r>
      <w:r w:rsidRPr="00CC7883">
        <w:rPr>
          <w:rFonts w:ascii="Times New Roman" w:eastAsia="Times New Roman" w:hAnsi="Times New Roman" w:cs="Times New Roman"/>
          <w:color w:val="000000" w:themeColor="text1"/>
          <w:sz w:val="28"/>
          <w:szCs w:val="28"/>
        </w:rPr>
        <w:t xml:space="preserve">]. У роботі Х. М. Колісник передадаптацію рослин роду </w:t>
      </w:r>
      <w:r w:rsidRPr="00CC7883">
        <w:rPr>
          <w:rFonts w:ascii="Times New Roman" w:eastAsia="Times New Roman" w:hAnsi="Times New Roman" w:cs="Times New Roman"/>
          <w:bCs/>
          <w:i/>
          <w:color w:val="000000" w:themeColor="text1"/>
          <w:sz w:val="28"/>
          <w:szCs w:val="28"/>
        </w:rPr>
        <w:t>Car</w:t>
      </w:r>
      <w:r w:rsidR="008E2C8A">
        <w:rPr>
          <w:rFonts w:ascii="Times New Roman" w:eastAsia="Times New Roman" w:hAnsi="Times New Roman" w:cs="Times New Roman"/>
          <w:bCs/>
          <w:i/>
          <w:color w:val="000000" w:themeColor="text1"/>
          <w:sz w:val="28"/>
          <w:szCs w:val="28"/>
          <w:lang w:val="en-US"/>
        </w:rPr>
        <w:t>l</w:t>
      </w:r>
      <w:r w:rsidRPr="00CC7883">
        <w:rPr>
          <w:rFonts w:ascii="Times New Roman" w:eastAsia="Times New Roman" w:hAnsi="Times New Roman" w:cs="Times New Roman"/>
          <w:bCs/>
          <w:i/>
          <w:color w:val="000000" w:themeColor="text1"/>
          <w:sz w:val="28"/>
          <w:szCs w:val="28"/>
        </w:rPr>
        <w:t>i</w:t>
      </w:r>
      <w:r w:rsidR="008E2C8A">
        <w:rPr>
          <w:rFonts w:ascii="Times New Roman" w:eastAsia="Times New Roman" w:hAnsi="Times New Roman" w:cs="Times New Roman"/>
          <w:bCs/>
          <w:i/>
          <w:color w:val="000000" w:themeColor="text1"/>
          <w:sz w:val="28"/>
          <w:szCs w:val="28"/>
          <w:lang w:val="en-US"/>
        </w:rPr>
        <w:t>n</w:t>
      </w:r>
      <w:r w:rsidRPr="00CC7883">
        <w:rPr>
          <w:rFonts w:ascii="Times New Roman" w:eastAsia="Times New Roman" w:hAnsi="Times New Roman" w:cs="Times New Roman"/>
          <w:bCs/>
          <w:i/>
          <w:color w:val="000000" w:themeColor="text1"/>
          <w:sz w:val="28"/>
          <w:szCs w:val="28"/>
        </w:rPr>
        <w:t>a</w:t>
      </w:r>
      <w:r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bCs/>
          <w:i/>
          <w:color w:val="000000" w:themeColor="text1"/>
          <w:sz w:val="28"/>
          <w:szCs w:val="28"/>
        </w:rPr>
        <w:t>C. onopordifolia</w:t>
      </w:r>
      <w:r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bCs/>
          <w:i/>
          <w:color w:val="000000" w:themeColor="text1"/>
          <w:sz w:val="28"/>
          <w:szCs w:val="28"/>
        </w:rPr>
        <w:t>C. cirsioides</w:t>
      </w:r>
      <w:r w:rsidRPr="00CC7883">
        <w:rPr>
          <w:rFonts w:ascii="Times New Roman" w:eastAsia="Times New Roman" w:hAnsi="Times New Roman" w:cs="Times New Roman"/>
          <w:i/>
          <w:color w:val="000000" w:themeColor="text1"/>
          <w:sz w:val="28"/>
          <w:szCs w:val="28"/>
        </w:rPr>
        <w:t xml:space="preserve">, </w:t>
      </w:r>
      <w:r w:rsidRPr="00CC7883">
        <w:rPr>
          <w:rFonts w:ascii="Times New Roman" w:eastAsia="Times New Roman" w:hAnsi="Times New Roman" w:cs="Times New Roman"/>
          <w:bCs/>
          <w:i/>
          <w:color w:val="000000" w:themeColor="text1"/>
          <w:sz w:val="28"/>
          <w:szCs w:val="28"/>
        </w:rPr>
        <w:t>C. acaulis</w:t>
      </w:r>
      <w:r w:rsidRPr="00CC7883">
        <w:rPr>
          <w:rFonts w:ascii="Times New Roman" w:eastAsia="Times New Roman" w:hAnsi="Times New Roman" w:cs="Times New Roman"/>
          <w:color w:val="000000" w:themeColor="text1"/>
          <w:sz w:val="28"/>
          <w:szCs w:val="28"/>
        </w:rPr>
        <w:t xml:space="preserve">) здійснювали за багатоступеневою технологією. Живці висаджували у поживне середовище з мінімальною кількістю сахарози </w:t>
      </w:r>
      <w:r w:rsidRPr="00CC7883">
        <w:rPr>
          <w:rFonts w:ascii="Times New Roman" w:eastAsia="Times New Roman" w:hAnsi="Times New Roman" w:cs="Times New Roman"/>
          <w:color w:val="000000" w:themeColor="text1"/>
          <w:sz w:val="28"/>
          <w:szCs w:val="28"/>
        </w:rPr>
        <w:lastRenderedPageBreak/>
        <w:t>(5</w:t>
      </w:r>
      <w:r w:rsidR="004B244E">
        <w:rPr>
          <w:rFonts w:ascii="Times New Roman" w:eastAsia="Times New Roman" w:hAnsi="Times New Roman" w:cs="Times New Roman"/>
          <w:color w:val="000000" w:themeColor="text1"/>
          <w:sz w:val="28"/>
          <w:szCs w:val="28"/>
          <w:lang w:val="en-US"/>
        </w:rPr>
        <w:t> </w:t>
      </w:r>
      <w:r w:rsidRPr="00CC7883">
        <w:rPr>
          <w:rFonts w:ascii="Times New Roman" w:eastAsia="Times New Roman" w:hAnsi="Times New Roman" w:cs="Times New Roman"/>
          <w:color w:val="000000" w:themeColor="text1"/>
          <w:sz w:val="28"/>
          <w:szCs w:val="28"/>
        </w:rPr>
        <w:t>г/л), без додавання фітогормонів. Після 30 діб культивування рослини відбирали за критеріями добре розвиненої кореневої системи та наявності 3–5 листкових пластинок і додатково витримували ще 5–7 діб у культуральному посуді із поступовим зниженн</w:t>
      </w:r>
      <w:r w:rsidR="00794D46" w:rsidRPr="00CC7883">
        <w:rPr>
          <w:rFonts w:ascii="Times New Roman" w:eastAsia="Times New Roman" w:hAnsi="Times New Roman" w:cs="Times New Roman"/>
          <w:color w:val="000000" w:themeColor="text1"/>
          <w:sz w:val="28"/>
          <w:szCs w:val="28"/>
        </w:rPr>
        <w:t>ям вологості до 60,0–65,0 % [35</w:t>
      </w:r>
      <w:r w:rsidRPr="00CC7883">
        <w:rPr>
          <w:rFonts w:ascii="Times New Roman" w:eastAsia="Times New Roman" w:hAnsi="Times New Roman" w:cs="Times New Roman"/>
          <w:color w:val="000000" w:themeColor="text1"/>
          <w:sz w:val="28"/>
          <w:szCs w:val="28"/>
        </w:rPr>
        <w:t xml:space="preserve">]. </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Підвищенню адаптивного потенціалу мікроклональних рослин в умовах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присвячено низку досліджень, зокрема щодо використання різних ґрунтових сумішей та субстратів. Так, для адаптації мікроклонів </w:t>
      </w:r>
      <w:r w:rsidRPr="00CC7883">
        <w:rPr>
          <w:rFonts w:ascii="Times New Roman" w:eastAsia="Times New Roman" w:hAnsi="Times New Roman" w:cs="Times New Roman"/>
          <w:bCs/>
          <w:color w:val="000000" w:themeColor="text1"/>
          <w:sz w:val="28"/>
          <w:szCs w:val="28"/>
        </w:rPr>
        <w:t>перцевої м’яти (</w:t>
      </w:r>
      <w:r w:rsidRPr="00CC7883">
        <w:rPr>
          <w:rFonts w:ascii="Times New Roman" w:eastAsia="Times New Roman" w:hAnsi="Times New Roman" w:cs="Times New Roman"/>
          <w:bCs/>
          <w:i/>
          <w:color w:val="000000" w:themeColor="text1"/>
          <w:sz w:val="28"/>
          <w:szCs w:val="28"/>
        </w:rPr>
        <w:t>Mentha</w:t>
      </w:r>
      <w:r w:rsidR="009C098F" w:rsidRPr="00CC7883">
        <w:rPr>
          <w:rFonts w:ascii="Times New Roman" w:eastAsia="Times New Roman" w:hAnsi="Times New Roman" w:cs="Times New Roman"/>
          <w:bCs/>
          <w:i/>
          <w:color w:val="000000" w:themeColor="text1"/>
          <w:sz w:val="28"/>
          <w:szCs w:val="28"/>
        </w:rPr>
        <w:t xml:space="preserve"> </w:t>
      </w:r>
      <w:r w:rsidRPr="00CC7883">
        <w:rPr>
          <w:rFonts w:ascii="Times New Roman" w:eastAsia="Times New Roman" w:hAnsi="Times New Roman" w:cs="Times New Roman"/>
          <w:bCs/>
          <w:i/>
          <w:color w:val="000000" w:themeColor="text1"/>
          <w:sz w:val="28"/>
          <w:szCs w:val="28"/>
        </w:rPr>
        <w:t>piperita</w:t>
      </w:r>
      <w:r w:rsidR="009C098F" w:rsidRPr="00CC7883">
        <w:rPr>
          <w:rFonts w:ascii="Times New Roman" w:eastAsia="Times New Roman" w:hAnsi="Times New Roman" w:cs="Times New Roman"/>
          <w:bCs/>
          <w:i/>
          <w:color w:val="000000" w:themeColor="text1"/>
          <w:sz w:val="28"/>
          <w:szCs w:val="28"/>
        </w:rPr>
        <w:t xml:space="preserve"> </w:t>
      </w:r>
      <w:r w:rsidRPr="00CC7883">
        <w:rPr>
          <w:rFonts w:ascii="Times New Roman" w:eastAsia="Times New Roman" w:hAnsi="Times New Roman" w:cs="Times New Roman"/>
          <w:bCs/>
          <w:color w:val="000000" w:themeColor="text1"/>
          <w:sz w:val="28"/>
          <w:szCs w:val="28"/>
        </w:rPr>
        <w:t>L.)</w:t>
      </w:r>
      <w:r w:rsidRPr="00CC7883">
        <w:rPr>
          <w:rFonts w:ascii="Times New Roman" w:hAnsi="Times New Roman" w:cs="Times New Roman"/>
          <w:color w:val="000000" w:themeColor="text1"/>
          <w:sz w:val="28"/>
          <w:szCs w:val="28"/>
        </w:rPr>
        <w:t xml:space="preserve"> застосовували ґрунтосуміш, що складалася з торфу, універсального ґрунту, перліту та піску у співвідношенні 2:1:1:1. Використання цього субстрату забезпечило високий рівень приживлюваності рослин після перенесення з умов </w:t>
      </w:r>
      <w:r w:rsidRPr="00CC7883">
        <w:rPr>
          <w:rFonts w:ascii="Times New Roman" w:eastAsia="Times New Roman" w:hAnsi="Times New Roman" w:cs="Times New Roman"/>
          <w:bCs/>
          <w:i/>
          <w:color w:val="000000" w:themeColor="text1"/>
          <w:sz w:val="28"/>
          <w:szCs w:val="28"/>
        </w:rPr>
        <w:t>in</w:t>
      </w:r>
      <w:r w:rsidR="008B5203" w:rsidRPr="00CC7883">
        <w:rPr>
          <w:rFonts w:ascii="Times New Roman" w:eastAsia="Times New Roman" w:hAnsi="Times New Roman" w:cs="Times New Roman"/>
          <w:bCs/>
          <w:i/>
          <w:color w:val="000000" w:themeColor="text1"/>
          <w:sz w:val="28"/>
          <w:szCs w:val="28"/>
        </w:rPr>
        <w:t> </w:t>
      </w:r>
      <w:r w:rsidRPr="00CC7883">
        <w:rPr>
          <w:rFonts w:ascii="Times New Roman" w:eastAsia="Times New Roman" w:hAnsi="Times New Roman" w:cs="Times New Roman"/>
          <w:bCs/>
          <w:i/>
          <w:color w:val="000000" w:themeColor="text1"/>
          <w:sz w:val="28"/>
          <w:szCs w:val="28"/>
        </w:rPr>
        <w:t>vitro</w:t>
      </w:r>
      <w:r w:rsidRPr="00CC7883">
        <w:rPr>
          <w:rFonts w:ascii="Times New Roman" w:hAnsi="Times New Roman" w:cs="Times New Roman"/>
          <w:color w:val="000000" w:themeColor="text1"/>
          <w:sz w:val="28"/>
          <w:szCs w:val="28"/>
        </w:rPr>
        <w:t xml:space="preserve"> до </w:t>
      </w:r>
      <w:r w:rsidRPr="00CC7883">
        <w:rPr>
          <w:rFonts w:ascii="Times New Roman" w:eastAsia="Times New Roman" w:hAnsi="Times New Roman" w:cs="Times New Roman"/>
          <w:bCs/>
          <w:i/>
          <w:color w:val="000000" w:themeColor="text1"/>
          <w:sz w:val="28"/>
          <w:szCs w:val="28"/>
        </w:rPr>
        <w:t>in</w:t>
      </w:r>
      <w:r w:rsidR="008B5203" w:rsidRPr="00CC7883">
        <w:rPr>
          <w:rFonts w:ascii="Times New Roman" w:eastAsia="Times New Roman" w:hAnsi="Times New Roman" w:cs="Times New Roman"/>
          <w:bCs/>
          <w:i/>
          <w:color w:val="000000" w:themeColor="text1"/>
          <w:sz w:val="28"/>
          <w:szCs w:val="28"/>
        </w:rPr>
        <w:t> </w:t>
      </w:r>
      <w:r w:rsidRPr="00CC7883">
        <w:rPr>
          <w:rFonts w:ascii="Times New Roman" w:eastAsia="Times New Roman" w:hAnsi="Times New Roman" w:cs="Times New Roman"/>
          <w:bCs/>
          <w:i/>
          <w:color w:val="000000" w:themeColor="text1"/>
          <w:sz w:val="28"/>
          <w:szCs w:val="28"/>
        </w:rPr>
        <w:t>vivo</w:t>
      </w:r>
      <w:r w:rsidRPr="00CC7883">
        <w:rPr>
          <w:rFonts w:ascii="Times New Roman" w:hAnsi="Times New Roman" w:cs="Times New Roman"/>
          <w:color w:val="000000" w:themeColor="text1"/>
          <w:sz w:val="28"/>
          <w:szCs w:val="28"/>
        </w:rPr>
        <w:t xml:space="preserve"> (96,0–98,9 %), а через 4 тижні рослини в</w:t>
      </w:r>
      <w:r w:rsidR="00794D46" w:rsidRPr="00CC7883">
        <w:rPr>
          <w:rFonts w:ascii="Times New Roman" w:hAnsi="Times New Roman" w:cs="Times New Roman"/>
          <w:color w:val="000000" w:themeColor="text1"/>
          <w:sz w:val="28"/>
          <w:szCs w:val="28"/>
        </w:rPr>
        <w:t>исаджували у відкритий ґрунт [58</w:t>
      </w:r>
      <w:r w:rsidRPr="00CC7883">
        <w:rPr>
          <w:rFonts w:ascii="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В інших дослідженнях для адаптації в умовах </w:t>
      </w:r>
      <w:r w:rsidRPr="00CC7883">
        <w:rPr>
          <w:rFonts w:ascii="Times New Roman" w:eastAsia="Times New Roman" w:hAnsi="Times New Roman" w:cs="Times New Roman"/>
          <w:bCs/>
          <w:i/>
          <w:color w:val="000000" w:themeColor="text1"/>
          <w:sz w:val="28"/>
          <w:szCs w:val="28"/>
        </w:rPr>
        <w:t>in</w:t>
      </w:r>
      <w:r w:rsidR="008B5203" w:rsidRPr="00CC7883">
        <w:rPr>
          <w:rFonts w:ascii="Times New Roman" w:eastAsia="Times New Roman" w:hAnsi="Times New Roman" w:cs="Times New Roman"/>
          <w:bCs/>
          <w:i/>
          <w:color w:val="000000" w:themeColor="text1"/>
          <w:sz w:val="28"/>
          <w:szCs w:val="28"/>
        </w:rPr>
        <w:t> </w:t>
      </w:r>
      <w:r w:rsidRPr="00CC7883">
        <w:rPr>
          <w:rFonts w:ascii="Times New Roman" w:eastAsia="Times New Roman" w:hAnsi="Times New Roman" w:cs="Times New Roman"/>
          <w:bCs/>
          <w:i/>
          <w:color w:val="000000" w:themeColor="text1"/>
          <w:sz w:val="28"/>
          <w:szCs w:val="28"/>
        </w:rPr>
        <w:t>vivo</w:t>
      </w:r>
      <w:r w:rsidRPr="00CC7883">
        <w:rPr>
          <w:rFonts w:ascii="Times New Roman" w:eastAsia="Times New Roman" w:hAnsi="Times New Roman" w:cs="Times New Roman"/>
          <w:color w:val="000000" w:themeColor="text1"/>
          <w:sz w:val="28"/>
          <w:szCs w:val="28"/>
        </w:rPr>
        <w:t xml:space="preserve"> відбирали рослини з добре розвиненою кореневою системою, промивали від залишків поживного середовища та обробляли біопрепаратами і фунгіцидом. Рослини висаджув</w:t>
      </w:r>
      <w:r w:rsidR="00FA3470" w:rsidRPr="00CC7883">
        <w:rPr>
          <w:rFonts w:ascii="Times New Roman" w:eastAsia="Times New Roman" w:hAnsi="Times New Roman" w:cs="Times New Roman"/>
          <w:color w:val="000000" w:themeColor="text1"/>
          <w:sz w:val="28"/>
          <w:szCs w:val="28"/>
        </w:rPr>
        <w:t>али в касети з субстратом (торф:перліт = 3:</w:t>
      </w:r>
      <w:r w:rsidRPr="00CC7883">
        <w:rPr>
          <w:rFonts w:ascii="Times New Roman" w:eastAsia="Times New Roman" w:hAnsi="Times New Roman" w:cs="Times New Roman"/>
          <w:color w:val="000000" w:themeColor="text1"/>
          <w:sz w:val="28"/>
          <w:szCs w:val="28"/>
        </w:rPr>
        <w:t>1) і адаптували поетапно. Спочатку касети розміщували у кліматичних камерах на 20 діб, протягом яких у рослин формувались 2–3 пари листків. На етапі вторинної адаптації рослини переносили на спеціалізовані столи з системою штучного туману та клімат-контролю, де їх культивували ще 20 діб, після чого дорощували у плівковій теплиці. Поступова адаптація протягом 40 діб забезпечувала приживлюваність мікроклональних рослин на рівні 85,0–95,0 % [17</w:t>
      </w:r>
      <w:r w:rsidR="00B62491" w:rsidRPr="00CC7883">
        <w:rPr>
          <w:rFonts w:ascii="Times New Roman" w:eastAsia="Times New Roman" w:hAnsi="Times New Roman" w:cs="Times New Roman"/>
          <w:color w:val="000000" w:themeColor="text1"/>
          <w:sz w:val="28"/>
          <w:szCs w:val="28"/>
        </w:rPr>
        <w:t>2</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Низка дослідників проводила адаптацію мікроклональних рослин у теплицях. Їх застосування </w:t>
      </w:r>
      <w:r w:rsidR="002D226D">
        <w:rPr>
          <w:rFonts w:ascii="Times New Roman" w:eastAsia="Times New Roman" w:hAnsi="Times New Roman" w:cs="Times New Roman"/>
          <w:color w:val="000000" w:themeColor="text1"/>
          <w:sz w:val="28"/>
          <w:szCs w:val="28"/>
        </w:rPr>
        <w:t>дає змогу</w:t>
      </w:r>
      <w:r w:rsidRPr="00CC7883">
        <w:rPr>
          <w:rFonts w:ascii="Times New Roman" w:eastAsia="Times New Roman" w:hAnsi="Times New Roman" w:cs="Times New Roman"/>
          <w:color w:val="000000" w:themeColor="text1"/>
          <w:sz w:val="28"/>
          <w:szCs w:val="28"/>
        </w:rPr>
        <w:t xml:space="preserve"> створювати оптимальні умови, температури, вологості, освітлення, вентиляції. Jofre-Garfias A. et</w:t>
      </w:r>
      <w:r w:rsidR="00694F30"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al., Teixeira da Silva J. et</w:t>
      </w:r>
      <w:r w:rsidR="00694F30"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al., А. А. Подгаєцький та ін. успішно адаптували в теплицях рослини полуниці садової (</w:t>
      </w:r>
      <w:r w:rsidRPr="00CC7883">
        <w:rPr>
          <w:rFonts w:ascii="Times New Roman" w:eastAsia="Times New Roman" w:hAnsi="Times New Roman" w:cs="Times New Roman"/>
          <w:i/>
          <w:iCs/>
          <w:color w:val="000000" w:themeColor="text1"/>
          <w:sz w:val="28"/>
          <w:szCs w:val="28"/>
        </w:rPr>
        <w:t>Fragaria ananassa</w:t>
      </w:r>
      <w:r w:rsidR="008323EC" w:rsidRPr="00CC7883">
        <w:rPr>
          <w:rFonts w:ascii="Times New Roman" w:eastAsia="Times New Roman" w:hAnsi="Times New Roman" w:cs="Times New Roman"/>
          <w:i/>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(Weston) Duchesne ex Rozier), рослини роду </w:t>
      </w:r>
      <w:r w:rsidRPr="00CC7883">
        <w:rPr>
          <w:rFonts w:ascii="Times New Roman" w:eastAsia="Times New Roman" w:hAnsi="Times New Roman" w:cs="Times New Roman"/>
          <w:i/>
          <w:iCs/>
          <w:color w:val="000000" w:themeColor="text1"/>
          <w:sz w:val="28"/>
          <w:szCs w:val="28"/>
        </w:rPr>
        <w:t>Dendrobium</w:t>
      </w:r>
      <w:r w:rsidRPr="00CC7883">
        <w:rPr>
          <w:rFonts w:ascii="Times New Roman" w:eastAsia="Times New Roman" w:hAnsi="Times New Roman" w:cs="Times New Roman"/>
          <w:color w:val="000000" w:themeColor="text1"/>
          <w:sz w:val="28"/>
          <w:szCs w:val="28"/>
        </w:rPr>
        <w:t>, туї західної (</w:t>
      </w:r>
      <w:r w:rsidRPr="00CC7883">
        <w:rPr>
          <w:rFonts w:ascii="Times New Roman" w:eastAsia="Times New Roman" w:hAnsi="Times New Roman" w:cs="Times New Roman"/>
          <w:i/>
          <w:iCs/>
          <w:color w:val="000000" w:themeColor="text1"/>
          <w:sz w:val="28"/>
          <w:szCs w:val="28"/>
        </w:rPr>
        <w:t xml:space="preserve">Thuja occidentalis </w:t>
      </w:r>
      <w:r w:rsidRPr="00CC7883">
        <w:rPr>
          <w:rFonts w:ascii="Times New Roman" w:eastAsia="Times New Roman" w:hAnsi="Times New Roman" w:cs="Times New Roman"/>
          <w:color w:val="000000" w:themeColor="text1"/>
          <w:sz w:val="28"/>
          <w:szCs w:val="28"/>
        </w:rPr>
        <w:t>L.), малини звичайної (</w:t>
      </w:r>
      <w:r w:rsidRPr="00CC7883">
        <w:rPr>
          <w:rFonts w:ascii="Times New Roman" w:eastAsia="Times New Roman" w:hAnsi="Times New Roman" w:cs="Times New Roman"/>
          <w:i/>
          <w:iCs/>
          <w:color w:val="000000" w:themeColor="text1"/>
          <w:sz w:val="28"/>
          <w:szCs w:val="28"/>
        </w:rPr>
        <w:t xml:space="preserve">Rúbus idáeus </w:t>
      </w:r>
      <w:r w:rsidRPr="00CC7883">
        <w:rPr>
          <w:rFonts w:ascii="Times New Roman" w:eastAsia="Times New Roman" w:hAnsi="Times New Roman" w:cs="Times New Roman"/>
          <w:color w:val="000000" w:themeColor="text1"/>
          <w:sz w:val="28"/>
          <w:szCs w:val="28"/>
        </w:rPr>
        <w:t>L.). У середньому приживлюваність цих рослин знахо</w:t>
      </w:r>
      <w:r w:rsidR="00794D46" w:rsidRPr="00CC7883">
        <w:rPr>
          <w:rFonts w:ascii="Times New Roman" w:eastAsia="Times New Roman" w:hAnsi="Times New Roman" w:cs="Times New Roman"/>
          <w:color w:val="000000" w:themeColor="text1"/>
          <w:sz w:val="28"/>
          <w:szCs w:val="28"/>
        </w:rPr>
        <w:t>дилась на рівні 80,0–97,0 % [144</w:t>
      </w:r>
      <w:r w:rsidR="00CB43B9"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24</w:t>
      </w:r>
      <w:r w:rsidR="002D22A1" w:rsidRPr="00CC7883">
        <w:rPr>
          <w:rFonts w:ascii="Times New Roman" w:eastAsia="Times New Roman" w:hAnsi="Times New Roman" w:cs="Times New Roman"/>
          <w:color w:val="000000" w:themeColor="text1"/>
          <w:sz w:val="28"/>
          <w:szCs w:val="28"/>
        </w:rPr>
        <w:t>3</w:t>
      </w:r>
      <w:r w:rsidR="00CB43B9"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w:t>
      </w:r>
      <w:r w:rsidR="00794D46" w:rsidRPr="00CC7883">
        <w:rPr>
          <w:rFonts w:ascii="Times New Roman" w:eastAsia="Times New Roman" w:hAnsi="Times New Roman" w:cs="Times New Roman"/>
          <w:color w:val="000000" w:themeColor="text1"/>
          <w:sz w:val="28"/>
          <w:szCs w:val="28"/>
        </w:rPr>
        <w:t>48</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lastRenderedPageBreak/>
        <w:t xml:space="preserve">У низці досліджень було доведено, що оптимізація світлового режиму під час мікророзмноження </w:t>
      </w:r>
      <w:r w:rsidRPr="00CC7883">
        <w:rPr>
          <w:rFonts w:ascii="Times New Roman" w:eastAsia="Times New Roman" w:hAnsi="Times New Roman" w:cs="Times New Roman"/>
          <w:i/>
          <w:color w:val="000000" w:themeColor="text1"/>
          <w:sz w:val="28"/>
          <w:szCs w:val="28"/>
        </w:rPr>
        <w:t>in</w:t>
      </w:r>
      <w:r w:rsidR="008B5203" w:rsidRPr="00CC7883">
        <w:rPr>
          <w:rFonts w:ascii="Times New Roman" w:eastAsia="Times New Roman" w:hAnsi="Times New Roman" w:cs="Times New Roman"/>
          <w:i/>
          <w:color w:val="000000" w:themeColor="text1"/>
          <w:sz w:val="28"/>
          <w:szCs w:val="28"/>
        </w:rPr>
        <w:t> </w:t>
      </w:r>
      <w:r w:rsidRPr="00CC7883">
        <w:rPr>
          <w:rFonts w:ascii="Times New Roman" w:eastAsia="Times New Roman" w:hAnsi="Times New Roman" w:cs="Times New Roman"/>
          <w:i/>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є важливим чинником для підвищення ефективності адаптації рослин до неконтрольованих умов </w:t>
      </w:r>
      <w:r w:rsidR="001221F9" w:rsidRPr="00CC7883">
        <w:rPr>
          <w:rFonts w:ascii="Times New Roman" w:hAnsi="Times New Roman" w:cs="Times New Roman"/>
          <w:i/>
          <w:color w:val="000000" w:themeColor="text1"/>
          <w:sz w:val="28"/>
          <w:szCs w:val="28"/>
        </w:rPr>
        <w:t>in vivo</w:t>
      </w:r>
      <w:r w:rsidRPr="00CC7883">
        <w:rPr>
          <w:rFonts w:ascii="Times New Roman" w:eastAsia="Times New Roman" w:hAnsi="Times New Roman" w:cs="Times New Roman"/>
          <w:color w:val="000000" w:themeColor="text1"/>
          <w:sz w:val="28"/>
          <w:szCs w:val="28"/>
        </w:rPr>
        <w:t>. Зокрема, використання природного сонячного світла та флуоресцентного світла у дослідженні Rehana</w:t>
      </w:r>
      <w:r w:rsidR="008323EC"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S. </w:t>
      </w:r>
      <w:r w:rsidR="00694F30" w:rsidRPr="00CC7883">
        <w:rPr>
          <w:rFonts w:ascii="Times New Roman" w:eastAsia="Times New Roman" w:hAnsi="Times New Roman" w:cs="Times New Roman"/>
          <w:color w:val="000000" w:themeColor="text1"/>
          <w:sz w:val="28"/>
          <w:szCs w:val="28"/>
        </w:rPr>
        <w:t>e</w:t>
      </w:r>
      <w:r w:rsidRPr="00CC7883">
        <w:rPr>
          <w:rFonts w:ascii="Times New Roman" w:eastAsia="Times New Roman" w:hAnsi="Times New Roman" w:cs="Times New Roman"/>
          <w:color w:val="000000" w:themeColor="text1"/>
          <w:sz w:val="28"/>
          <w:szCs w:val="28"/>
        </w:rPr>
        <w:t>t</w:t>
      </w:r>
      <w:r w:rsidR="00694F30"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al. сприяло досягненню 78,0–96,0 % приживлюваності рослин картоплі їстівної (</w:t>
      </w:r>
      <w:r w:rsidRPr="00CC7883">
        <w:rPr>
          <w:rFonts w:ascii="Times New Roman" w:eastAsia="Times New Roman" w:hAnsi="Times New Roman" w:cs="Times New Roman"/>
          <w:i/>
          <w:iCs/>
          <w:color w:val="000000" w:themeColor="text1"/>
          <w:sz w:val="28"/>
          <w:szCs w:val="28"/>
        </w:rPr>
        <w:t xml:space="preserve">Solanum tuberosum </w:t>
      </w:r>
      <w:r w:rsidRPr="00CC7883">
        <w:rPr>
          <w:rFonts w:ascii="Times New Roman" w:eastAsia="Times New Roman" w:hAnsi="Times New Roman" w:cs="Times New Roman"/>
          <w:color w:val="000000" w:themeColor="text1"/>
          <w:sz w:val="28"/>
          <w:szCs w:val="28"/>
        </w:rPr>
        <w:t>L.) у сітчастій теплиці. Подібні результати отримали Jo</w:t>
      </w:r>
      <w:r w:rsidR="00694F30"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E. </w:t>
      </w:r>
      <w:r w:rsidR="00694F30" w:rsidRPr="00CC7883">
        <w:rPr>
          <w:rFonts w:ascii="Times New Roman" w:eastAsia="Times New Roman" w:hAnsi="Times New Roman" w:cs="Times New Roman"/>
          <w:color w:val="000000" w:themeColor="text1"/>
          <w:sz w:val="28"/>
          <w:szCs w:val="28"/>
        </w:rPr>
        <w:t>et al.</w:t>
      </w:r>
      <w:r w:rsidRPr="00CC7883">
        <w:rPr>
          <w:rFonts w:ascii="Times New Roman" w:eastAsia="Times New Roman" w:hAnsi="Times New Roman" w:cs="Times New Roman"/>
          <w:color w:val="000000" w:themeColor="text1"/>
          <w:sz w:val="28"/>
          <w:szCs w:val="28"/>
        </w:rPr>
        <w:t>, які шляхом зміни тривалості фотоперіоду (8/16–24/0 год) та інтенсивності флуоресцентного освітлення забезпечили 90,0–95,0 % успішної адаптації алоказії амазонської (</w:t>
      </w:r>
      <w:r w:rsidRPr="00CC7883">
        <w:rPr>
          <w:rFonts w:ascii="Times New Roman" w:eastAsia="Times New Roman" w:hAnsi="Times New Roman" w:cs="Times New Roman"/>
          <w:i/>
          <w:color w:val="000000" w:themeColor="text1"/>
          <w:sz w:val="28"/>
          <w:szCs w:val="28"/>
        </w:rPr>
        <w:t>Alocasia amazonica</w:t>
      </w:r>
      <w:r w:rsidRPr="00CC7883">
        <w:rPr>
          <w:rFonts w:ascii="Times New Roman" w:eastAsia="Times New Roman" w:hAnsi="Times New Roman" w:cs="Times New Roman"/>
          <w:color w:val="000000" w:themeColor="text1"/>
          <w:sz w:val="28"/>
          <w:szCs w:val="28"/>
        </w:rPr>
        <w:t xml:space="preserve"> André) у тепличних умовах. У свою чергу, дослідження Miler</w:t>
      </w:r>
      <w:r w:rsidR="00694F30"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N. </w:t>
      </w:r>
      <w:r w:rsidR="00694F30" w:rsidRPr="00CC7883">
        <w:rPr>
          <w:rFonts w:ascii="Times New Roman" w:eastAsia="Times New Roman" w:hAnsi="Times New Roman" w:cs="Times New Roman"/>
          <w:color w:val="000000" w:themeColor="text1"/>
          <w:sz w:val="28"/>
          <w:szCs w:val="28"/>
        </w:rPr>
        <w:t>et al.</w:t>
      </w:r>
      <w:r w:rsidRPr="00CC7883">
        <w:rPr>
          <w:rFonts w:ascii="Times New Roman" w:eastAsia="Times New Roman" w:hAnsi="Times New Roman" w:cs="Times New Roman"/>
          <w:color w:val="000000" w:themeColor="text1"/>
          <w:sz w:val="28"/>
          <w:szCs w:val="28"/>
        </w:rPr>
        <w:t xml:space="preserve"> щодо впливу спектрального складу світла (червоне, синє, жовте, зелене, біле) на адаптацію хризантеми шовковицелистої (</w:t>
      </w:r>
      <w:r w:rsidRPr="00CC7883">
        <w:rPr>
          <w:rFonts w:ascii="Times New Roman" w:eastAsia="Times New Roman" w:hAnsi="Times New Roman" w:cs="Times New Roman"/>
          <w:i/>
          <w:iCs/>
          <w:color w:val="000000" w:themeColor="text1"/>
          <w:sz w:val="28"/>
          <w:szCs w:val="28"/>
        </w:rPr>
        <w:t xml:space="preserve">Chrysanthemum grandiflorum </w:t>
      </w:r>
      <w:r w:rsidRPr="00CC7883">
        <w:rPr>
          <w:rFonts w:ascii="Times New Roman" w:eastAsia="Times New Roman" w:hAnsi="Times New Roman" w:cs="Times New Roman"/>
          <w:color w:val="000000" w:themeColor="text1"/>
          <w:sz w:val="28"/>
          <w:szCs w:val="28"/>
        </w:rPr>
        <w:t>L.) показало, що зелене світло забезпечувало найвищу адаптивну здатність рослин (85,0–92,0 %) після перенесення їх у теплицю [21</w:t>
      </w:r>
      <w:r w:rsidR="002D22A1" w:rsidRPr="00CC7883">
        <w:rPr>
          <w:rFonts w:ascii="Times New Roman" w:eastAsia="Times New Roman" w:hAnsi="Times New Roman" w:cs="Times New Roman"/>
          <w:color w:val="000000" w:themeColor="text1"/>
          <w:sz w:val="28"/>
          <w:szCs w:val="28"/>
        </w:rPr>
        <w:t>8</w:t>
      </w:r>
      <w:r w:rsidR="00CB43B9"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14</w:t>
      </w:r>
      <w:r w:rsidR="00794D46" w:rsidRPr="00CC7883">
        <w:rPr>
          <w:rFonts w:ascii="Times New Roman" w:eastAsia="Times New Roman" w:hAnsi="Times New Roman" w:cs="Times New Roman"/>
          <w:color w:val="000000" w:themeColor="text1"/>
          <w:sz w:val="28"/>
          <w:szCs w:val="28"/>
        </w:rPr>
        <w:t>3</w:t>
      </w:r>
      <w:r w:rsidR="00CB43B9" w:rsidRPr="00C634FF">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18</w:t>
      </w:r>
      <w:r w:rsidR="00794D46" w:rsidRPr="00CC7883">
        <w:rPr>
          <w:rFonts w:ascii="Times New Roman" w:eastAsia="Times New Roman" w:hAnsi="Times New Roman" w:cs="Times New Roman"/>
          <w:color w:val="000000" w:themeColor="text1"/>
          <w:sz w:val="28"/>
          <w:szCs w:val="28"/>
        </w:rPr>
        <w:t>1</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У дослідженні Н. В. Титаренко адаптацію мікроклонів ожини звичайної (</w:t>
      </w:r>
      <w:r w:rsidRPr="00CC7883">
        <w:rPr>
          <w:rFonts w:ascii="Times New Roman" w:eastAsia="Times New Roman" w:hAnsi="Times New Roman" w:cs="Times New Roman"/>
          <w:i/>
          <w:iCs/>
          <w:color w:val="000000" w:themeColor="text1"/>
          <w:sz w:val="28"/>
          <w:szCs w:val="28"/>
        </w:rPr>
        <w:t>Rubus fruticosus</w:t>
      </w:r>
      <w:r w:rsidRPr="00CC7883">
        <w:rPr>
          <w:rFonts w:ascii="Times New Roman" w:eastAsia="Times New Roman" w:hAnsi="Times New Roman" w:cs="Times New Roman"/>
          <w:color w:val="000000" w:themeColor="text1"/>
          <w:sz w:val="28"/>
          <w:szCs w:val="28"/>
        </w:rPr>
        <w:t xml:space="preserve"> L.) проводили у два етапи. </w:t>
      </w:r>
      <w:r w:rsidRPr="00CC7883">
        <w:rPr>
          <w:rFonts w:ascii="Times New Roman" w:eastAsia="Times New Roman" w:hAnsi="Times New Roman" w:cs="Times New Roman"/>
          <w:bCs/>
          <w:color w:val="000000" w:themeColor="text1"/>
          <w:sz w:val="28"/>
          <w:szCs w:val="28"/>
        </w:rPr>
        <w:t xml:space="preserve">На першому етапі (контрольовані умови </w:t>
      </w:r>
      <w:r w:rsidRPr="00CC7883">
        <w:rPr>
          <w:rFonts w:ascii="Times New Roman" w:eastAsia="Times New Roman" w:hAnsi="Times New Roman" w:cs="Times New Roman"/>
          <w:bCs/>
          <w:i/>
          <w:iCs/>
          <w:color w:val="000000" w:themeColor="text1"/>
          <w:sz w:val="28"/>
          <w:szCs w:val="28"/>
        </w:rPr>
        <w:t>in</w:t>
      </w:r>
      <w:r w:rsidR="008B5203" w:rsidRPr="00CC7883">
        <w:rPr>
          <w:rFonts w:ascii="Times New Roman" w:eastAsia="Times New Roman" w:hAnsi="Times New Roman" w:cs="Times New Roman"/>
          <w:bCs/>
          <w:i/>
          <w:iCs/>
          <w:color w:val="000000" w:themeColor="text1"/>
          <w:sz w:val="28"/>
          <w:szCs w:val="28"/>
        </w:rPr>
        <w:t> </w:t>
      </w:r>
      <w:r w:rsidRPr="00CC7883">
        <w:rPr>
          <w:rFonts w:ascii="Times New Roman" w:eastAsia="Times New Roman" w:hAnsi="Times New Roman" w:cs="Times New Roman"/>
          <w:bCs/>
          <w:i/>
          <w:iCs/>
          <w:color w:val="000000" w:themeColor="text1"/>
          <w:sz w:val="28"/>
          <w:szCs w:val="28"/>
        </w:rPr>
        <w:t xml:space="preserve">vitro, </w:t>
      </w:r>
      <w:r w:rsidRPr="00CC7883">
        <w:rPr>
          <w:rFonts w:ascii="Times New Roman" w:eastAsia="Times New Roman" w:hAnsi="Times New Roman" w:cs="Times New Roman"/>
          <w:bCs/>
          <w:color w:val="000000" w:themeColor="text1"/>
          <w:sz w:val="28"/>
          <w:szCs w:val="28"/>
        </w:rPr>
        <w:t>протягом 5 діб)</w:t>
      </w:r>
      <w:r w:rsidRPr="00CC7883">
        <w:rPr>
          <w:rFonts w:ascii="Times New Roman" w:eastAsia="Times New Roman" w:hAnsi="Times New Roman" w:cs="Times New Roman"/>
          <w:color w:val="000000" w:themeColor="text1"/>
          <w:sz w:val="28"/>
          <w:szCs w:val="28"/>
        </w:rPr>
        <w:t xml:space="preserve"> у культуральному боксі привідкривали кришечки культуральних єм</w:t>
      </w:r>
      <w:r w:rsidR="00404252" w:rsidRPr="00CC7883">
        <w:rPr>
          <w:rFonts w:ascii="Times New Roman" w:eastAsia="Times New Roman" w:hAnsi="Times New Roman" w:cs="Times New Roman"/>
          <w:color w:val="000000" w:themeColor="text1"/>
          <w:sz w:val="28"/>
          <w:szCs w:val="28"/>
        </w:rPr>
        <w:t>н</w:t>
      </w:r>
      <w:r w:rsidRPr="00CC7883">
        <w:rPr>
          <w:rFonts w:ascii="Times New Roman" w:eastAsia="Times New Roman" w:hAnsi="Times New Roman" w:cs="Times New Roman"/>
          <w:color w:val="000000" w:themeColor="text1"/>
          <w:sz w:val="28"/>
          <w:szCs w:val="28"/>
        </w:rPr>
        <w:t xml:space="preserve">остей, поступово збільшуючи отвори для газообміну. </w:t>
      </w:r>
      <w:r w:rsidRPr="00CC7883">
        <w:rPr>
          <w:rFonts w:ascii="Times New Roman" w:eastAsia="Times New Roman" w:hAnsi="Times New Roman" w:cs="Times New Roman"/>
          <w:bCs/>
          <w:color w:val="000000" w:themeColor="text1"/>
          <w:sz w:val="28"/>
          <w:szCs w:val="28"/>
        </w:rPr>
        <w:t>На другому етапі</w:t>
      </w:r>
      <w:r w:rsidRPr="00CC7883">
        <w:rPr>
          <w:rFonts w:ascii="Times New Roman" w:eastAsia="Times New Roman" w:hAnsi="Times New Roman" w:cs="Times New Roman"/>
          <w:color w:val="000000" w:themeColor="text1"/>
          <w:sz w:val="28"/>
          <w:szCs w:val="28"/>
        </w:rPr>
        <w:t xml:space="preserve"> – рослини обережно виймали з середовища, стерильною водою відмивали корені від залишків поживного середовища та інокулювали актинобактеріями (Conc11, Myt7ch, Conc4, Conc32 та Lim4). </w:t>
      </w:r>
      <w:r w:rsidR="001B7D0D">
        <w:rPr>
          <w:rFonts w:ascii="Times New Roman" w:eastAsia="Times New Roman" w:hAnsi="Times New Roman" w:cs="Times New Roman"/>
          <w:color w:val="000000" w:themeColor="text1"/>
          <w:sz w:val="28"/>
          <w:szCs w:val="28"/>
        </w:rPr>
        <w:t>Унаслідок цього</w:t>
      </w:r>
      <w:r w:rsidRPr="00CC7883">
        <w:rPr>
          <w:rFonts w:ascii="Times New Roman" w:eastAsia="Times New Roman" w:hAnsi="Times New Roman" w:cs="Times New Roman"/>
          <w:color w:val="000000" w:themeColor="text1"/>
          <w:sz w:val="28"/>
          <w:szCs w:val="28"/>
        </w:rPr>
        <w:t>, на 30 добу приживлюваність рослин сягала 85,0 %. При цьому рослини досягали висоти 5,7 см, мали у середньому по 10,0 вузлів, 8 листків площею 2,6 см</w:t>
      </w:r>
      <w:r w:rsidRPr="00CC7883">
        <w:rPr>
          <w:rFonts w:ascii="Times New Roman" w:eastAsia="Times New Roman" w:hAnsi="Times New Roman" w:cs="Times New Roman"/>
          <w:color w:val="000000" w:themeColor="text1"/>
          <w:sz w:val="28"/>
          <w:szCs w:val="28"/>
          <w:vertAlign w:val="superscript"/>
        </w:rPr>
        <w:t>2</w:t>
      </w:r>
      <w:r w:rsidRPr="00CC7883">
        <w:rPr>
          <w:rFonts w:ascii="Times New Roman" w:eastAsia="Times New Roman" w:hAnsi="Times New Roman" w:cs="Times New Roman"/>
          <w:color w:val="000000" w:themeColor="text1"/>
          <w:sz w:val="28"/>
          <w:szCs w:val="28"/>
        </w:rPr>
        <w:t xml:space="preserve"> [</w:t>
      </w:r>
      <w:r w:rsidR="00266084" w:rsidRPr="00CC7883">
        <w:rPr>
          <w:rFonts w:ascii="Times New Roman" w:eastAsia="Times New Roman" w:hAnsi="Times New Roman" w:cs="Times New Roman"/>
          <w:color w:val="000000" w:themeColor="text1"/>
          <w:sz w:val="28"/>
          <w:szCs w:val="28"/>
        </w:rPr>
        <w:t>64</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bCs/>
          <w:i/>
          <w:iCs/>
          <w:color w:val="000000" w:themeColor="text1"/>
          <w:sz w:val="28"/>
          <w:szCs w:val="28"/>
        </w:rPr>
        <w:t>Виноград</w:t>
      </w:r>
      <w:r w:rsidRPr="00CC7883">
        <w:rPr>
          <w:rFonts w:ascii="Times New Roman" w:eastAsia="Times New Roman" w:hAnsi="Times New Roman" w:cs="Times New Roman"/>
          <w:color w:val="000000" w:themeColor="text1"/>
          <w:sz w:val="28"/>
          <w:szCs w:val="28"/>
        </w:rPr>
        <w:t xml:space="preserve">. Адаптацію мікроклонів винограду можна проводити як в умовах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vitro</w:t>
      </w:r>
      <w:r w:rsidRPr="00CC7883">
        <w:rPr>
          <w:rFonts w:ascii="Times New Roman" w:eastAsia="Times New Roman" w:hAnsi="Times New Roman" w:cs="Times New Roman"/>
          <w:i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так і в умовах </w:t>
      </w:r>
      <w:r w:rsidRPr="00CC7883">
        <w:rPr>
          <w:rFonts w:ascii="Times New Roman" w:eastAsia="Times New Roman" w:hAnsi="Times New Roman" w:cs="Times New Roman"/>
          <w:i/>
          <w:iCs/>
          <w:color w:val="000000" w:themeColor="text1"/>
          <w:sz w:val="28"/>
          <w:szCs w:val="28"/>
        </w:rPr>
        <w:t>in</w:t>
      </w:r>
      <w:r w:rsidR="008B5203" w:rsidRPr="00CC7883">
        <w:rPr>
          <w:rFonts w:ascii="Times New Roman" w:eastAsia="Times New Roman" w:hAnsi="Times New Roman" w:cs="Times New Roman"/>
          <w:i/>
          <w:iCs/>
          <w:color w:val="000000" w:themeColor="text1"/>
          <w:sz w:val="28"/>
          <w:szCs w:val="28"/>
        </w:rPr>
        <w:t> </w:t>
      </w:r>
      <w:r w:rsidRPr="00CC7883">
        <w:rPr>
          <w:rFonts w:ascii="Times New Roman" w:eastAsia="Times New Roman" w:hAnsi="Times New Roman" w:cs="Times New Roman"/>
          <w:i/>
          <w:iCs/>
          <w:color w:val="000000" w:themeColor="text1"/>
          <w:sz w:val="28"/>
          <w:szCs w:val="28"/>
        </w:rPr>
        <w:t>vivo</w:t>
      </w:r>
      <w:r w:rsidRPr="00CC7883">
        <w:rPr>
          <w:rFonts w:ascii="Times New Roman" w:eastAsia="Times New Roman" w:hAnsi="Times New Roman" w:cs="Times New Roman"/>
          <w:color w:val="000000" w:themeColor="text1"/>
          <w:sz w:val="28"/>
          <w:szCs w:val="28"/>
        </w:rPr>
        <w:t>. Bettoni J. проводив адаптацію рослин винограду сортів «IAC 571-6» (</w:t>
      </w:r>
      <w:r w:rsidRPr="00CC7883">
        <w:rPr>
          <w:rFonts w:ascii="Times New Roman" w:eastAsia="Times New Roman" w:hAnsi="Times New Roman" w:cs="Times New Roman"/>
          <w:i/>
          <w:iCs/>
          <w:color w:val="000000" w:themeColor="text1"/>
          <w:sz w:val="28"/>
          <w:szCs w:val="28"/>
        </w:rPr>
        <w:t>Vitis caribaea</w:t>
      </w:r>
      <w:r w:rsidRPr="00CC7883">
        <w:rPr>
          <w:rFonts w:ascii="Times New Roman" w:eastAsia="Times New Roman" w:hAnsi="Times New Roman" w:cs="Times New Roman"/>
          <w:color w:val="000000" w:themeColor="text1"/>
          <w:sz w:val="28"/>
          <w:szCs w:val="28"/>
        </w:rPr>
        <w:t xml:space="preserve"> Pirovano 57) на сумішах поживних субстратів Dystroferric Red Nitosol (природний ферраллітний ґрунт збагачений високим вмістом заліза й алюмінію), Tecnomax® (торф + пісок + </w:t>
      </w:r>
      <w:r w:rsidR="005A0410" w:rsidRPr="00CC7883">
        <w:rPr>
          <w:rFonts w:ascii="Times New Roman" w:hAnsi="Times New Roman" w:cs="Times New Roman"/>
          <w:color w:val="000000" w:themeColor="text1"/>
          <w:sz w:val="28"/>
          <w:szCs w:val="28"/>
        </w:rPr>
        <w:lastRenderedPageBreak/>
        <w:t>верм</w:t>
      </w:r>
      <w:r w:rsidR="005A0410">
        <w:rPr>
          <w:rFonts w:ascii="Times New Roman" w:hAnsi="Times New Roman" w:cs="Times New Roman"/>
          <w:color w:val="000000" w:themeColor="text1"/>
          <w:sz w:val="28"/>
          <w:szCs w:val="28"/>
        </w:rPr>
        <w:t>и</w:t>
      </w:r>
      <w:r w:rsidR="005A0410" w:rsidRPr="00CC7883">
        <w:rPr>
          <w:rFonts w:ascii="Times New Roman" w:hAnsi="Times New Roman" w:cs="Times New Roman"/>
          <w:color w:val="000000" w:themeColor="text1"/>
          <w:sz w:val="28"/>
          <w:szCs w:val="28"/>
        </w:rPr>
        <w:t>куліт</w:t>
      </w:r>
      <w:r w:rsidRPr="00CC7883">
        <w:rPr>
          <w:rFonts w:ascii="Times New Roman" w:eastAsia="Times New Roman" w:hAnsi="Times New Roman" w:cs="Times New Roman"/>
          <w:color w:val="000000" w:themeColor="text1"/>
          <w:sz w:val="28"/>
          <w:szCs w:val="28"/>
        </w:rPr>
        <w:t xml:space="preserve">), піску (1:1:1) у лотках, накритих склом протягом 60 діб у кімнаті з контрольованими умовами. Цей спосіб сприяв 100,0 % приживлюваності мікроклонів. </w:t>
      </w:r>
      <w:r w:rsidR="00281502" w:rsidRPr="00CC7883">
        <w:rPr>
          <w:rFonts w:ascii="Times New Roman" w:eastAsia="Times New Roman" w:hAnsi="Times New Roman" w:cs="Times New Roman"/>
          <w:bCs/>
          <w:color w:val="000000" w:themeColor="text1"/>
          <w:sz w:val="28"/>
          <w:szCs w:val="28"/>
        </w:rPr>
        <w:t>Beza K.</w:t>
      </w:r>
      <w:r w:rsidRPr="00CC7883">
        <w:rPr>
          <w:rFonts w:ascii="Times New Roman" w:eastAsia="Times New Roman" w:hAnsi="Times New Roman" w:cs="Times New Roman"/>
          <w:bCs/>
          <w:color w:val="000000" w:themeColor="text1"/>
          <w:sz w:val="28"/>
          <w:szCs w:val="28"/>
        </w:rPr>
        <w:t xml:space="preserve"> </w:t>
      </w:r>
      <w:r w:rsidR="00694F30" w:rsidRPr="00CC7883">
        <w:rPr>
          <w:rFonts w:ascii="Times New Roman" w:eastAsia="Times New Roman" w:hAnsi="Times New Roman" w:cs="Times New Roman"/>
          <w:color w:val="000000" w:themeColor="text1"/>
          <w:sz w:val="28"/>
          <w:szCs w:val="28"/>
        </w:rPr>
        <w:t>et al.</w:t>
      </w:r>
      <w:r w:rsidR="00281502"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відбирали мікроклони винограду сортів «Chenin</w:t>
      </w:r>
      <w:r w:rsidR="00151504"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blanc», «Canonannon» та «Ugni</w:t>
      </w:r>
      <w:r w:rsidR="00151504"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blanc» висотою ≥ 3 см із добре розвиненою кореневою системою та висаджували їх у єм</w:t>
      </w:r>
      <w:r w:rsidR="004978A5">
        <w:rPr>
          <w:rFonts w:ascii="Times New Roman" w:eastAsia="Times New Roman" w:hAnsi="Times New Roman" w:cs="Times New Roman"/>
          <w:color w:val="000000" w:themeColor="text1"/>
          <w:sz w:val="28"/>
          <w:szCs w:val="28"/>
        </w:rPr>
        <w:t>н</w:t>
      </w:r>
      <w:r w:rsidRPr="00CC7883">
        <w:rPr>
          <w:rFonts w:ascii="Times New Roman" w:eastAsia="Times New Roman" w:hAnsi="Times New Roman" w:cs="Times New Roman"/>
          <w:color w:val="000000" w:themeColor="text1"/>
          <w:sz w:val="28"/>
          <w:szCs w:val="28"/>
        </w:rPr>
        <w:t>ості з сумішшю стерильний ґрунт</w:t>
      </w:r>
      <w:r w:rsidR="004B244E" w:rsidRPr="00C634FF">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w:t>
      </w:r>
      <w:r w:rsidR="004B244E" w:rsidRPr="00C634FF">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компост</w:t>
      </w:r>
      <w:r w:rsidR="004B244E" w:rsidRPr="00C634FF">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пісок (2:1:1), накриваючи пластиковими пакетами або скляними банками для підтримки високої вологості. Протягом першого тижня рослини перебували під покриттям, після чого вологість поступово знижували шляхом щоденного короткочасного відкривання. Тривалість провітрювання збільшували протягом 2–3 тижнів, а потім покриття знімали повністю. Після 3–4 тижнів повторної адаптації оцінювали приживлюваність – для сорту «Chenin blanc» вона становила 92,0 %, а для «Canonannon» і «Ugni blanc» – 78,6 % та 73,9 %, відповідно</w:t>
      </w:r>
      <w:r w:rsidR="00266084" w:rsidRPr="00CC7883">
        <w:rPr>
          <w:rFonts w:ascii="Times New Roman" w:eastAsia="Times New Roman" w:hAnsi="Times New Roman" w:cs="Times New Roman"/>
          <w:color w:val="000000" w:themeColor="text1"/>
          <w:sz w:val="28"/>
          <w:szCs w:val="28"/>
        </w:rPr>
        <w:t xml:space="preserve"> [92</w:t>
      </w:r>
      <w:r w:rsidR="00CB43B9" w:rsidRPr="00C634FF">
        <w:rPr>
          <w:rFonts w:ascii="Times New Roman" w:eastAsia="Times New Roman" w:hAnsi="Times New Roman" w:cs="Times New Roman"/>
          <w:color w:val="000000" w:themeColor="text1"/>
          <w:sz w:val="28"/>
          <w:szCs w:val="28"/>
        </w:rPr>
        <w:t>,</w:t>
      </w:r>
      <w:r w:rsidR="009C119A" w:rsidRPr="00CC7883">
        <w:rPr>
          <w:rFonts w:ascii="Times New Roman" w:eastAsia="Times New Roman" w:hAnsi="Times New Roman" w:cs="Times New Roman"/>
          <w:color w:val="000000" w:themeColor="text1"/>
          <w:sz w:val="28"/>
          <w:szCs w:val="28"/>
        </w:rPr>
        <w:t xml:space="preserve"> 9</w:t>
      </w:r>
      <w:r w:rsidR="00266084" w:rsidRPr="00CC7883">
        <w:rPr>
          <w:rFonts w:ascii="Times New Roman" w:eastAsia="Times New Roman" w:hAnsi="Times New Roman" w:cs="Times New Roman"/>
          <w:color w:val="000000" w:themeColor="text1"/>
          <w:sz w:val="28"/>
          <w:szCs w:val="28"/>
        </w:rPr>
        <w:t>3</w:t>
      </w:r>
      <w:r w:rsidR="00CB43B9" w:rsidRPr="00C634FF">
        <w:rPr>
          <w:rFonts w:ascii="Times New Roman" w:eastAsia="Times New Roman" w:hAnsi="Times New Roman" w:cs="Times New Roman"/>
          <w:color w:val="000000" w:themeColor="text1"/>
          <w:sz w:val="28"/>
          <w:szCs w:val="28"/>
        </w:rPr>
        <w:t>,</w:t>
      </w:r>
      <w:r w:rsidR="004C22A0" w:rsidRPr="00CC7883">
        <w:rPr>
          <w:rFonts w:ascii="Times New Roman" w:eastAsia="Times New Roman" w:hAnsi="Times New Roman" w:cs="Times New Roman"/>
          <w:color w:val="000000" w:themeColor="text1"/>
          <w:sz w:val="28"/>
          <w:szCs w:val="28"/>
        </w:rPr>
        <w:t xml:space="preserve"> 94</w:t>
      </w:r>
      <w:r w:rsidR="009C119A" w:rsidRPr="00CC7883">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bCs/>
          <w:color w:val="000000" w:themeColor="text1"/>
          <w:sz w:val="28"/>
          <w:szCs w:val="28"/>
        </w:rPr>
        <w:t xml:space="preserve">Для адаптації мікроклонів винограду </w:t>
      </w:r>
      <w:r w:rsidRPr="00CC7883">
        <w:rPr>
          <w:rFonts w:ascii="Times New Roman" w:eastAsia="Times New Roman" w:hAnsi="Times New Roman" w:cs="Times New Roman"/>
          <w:color w:val="000000" w:themeColor="text1"/>
          <w:sz w:val="28"/>
          <w:szCs w:val="28"/>
        </w:rPr>
        <w:t xml:space="preserve">сорту «Parvana» </w:t>
      </w:r>
      <w:r w:rsidRPr="00CC7883">
        <w:rPr>
          <w:rFonts w:ascii="Times New Roman" w:eastAsia="Times New Roman" w:hAnsi="Times New Roman" w:cs="Times New Roman"/>
          <w:bCs/>
          <w:color w:val="000000" w:themeColor="text1"/>
          <w:sz w:val="28"/>
          <w:szCs w:val="28"/>
        </w:rPr>
        <w:t>Melyan G. et al. відбирали рослини</w:t>
      </w:r>
      <w:r w:rsidR="00151504" w:rsidRPr="00CC7883">
        <w:rPr>
          <w:rFonts w:ascii="Times New Roman" w:eastAsia="Times New Roman" w:hAnsi="Times New Roman" w:cs="Times New Roman"/>
          <w:bCs/>
          <w:color w:val="000000" w:themeColor="text1"/>
          <w:sz w:val="28"/>
          <w:szCs w:val="28"/>
        </w:rPr>
        <w:t xml:space="preserve"> </w:t>
      </w:r>
      <w:r w:rsidRPr="00CC7883">
        <w:rPr>
          <w:rFonts w:ascii="Times New Roman" w:eastAsia="Times New Roman" w:hAnsi="Times New Roman" w:cs="Times New Roman"/>
          <w:color w:val="000000" w:themeColor="text1"/>
          <w:sz w:val="28"/>
          <w:szCs w:val="28"/>
        </w:rPr>
        <w:t>з добре розвиненою кореневою системою та пересаджували у пластикові горщики зі стерильним субстратом (ґрунт + пісок + торф, 1:1:1), накривали поліетиленовими пакетами та утримували у міні-тепличці при 26 °C, 75,0 % вологості та 16-годинному фотоперіоді. Пакети щодня відкривали на 10–15 хв протягом перших 2 тижнів, після чого вологість поступово знижували, відкриваючи пакети на більш тривалий час (30 хв – кілька годин). Після 4–6 тижнів адаптовані рослини пересаджували у відкритий ґрунт, приживлюваність становила 82,2 % після адаптації та 75,0 % у відкритому ґрунті</w:t>
      </w:r>
      <w:r w:rsidR="00B62491" w:rsidRPr="00CC7883">
        <w:rPr>
          <w:rFonts w:ascii="Times New Roman" w:eastAsia="Times New Roman" w:hAnsi="Times New Roman" w:cs="Times New Roman"/>
          <w:color w:val="000000" w:themeColor="text1"/>
          <w:sz w:val="28"/>
          <w:szCs w:val="28"/>
        </w:rPr>
        <w:t xml:space="preserve"> </w:t>
      </w:r>
      <w:r w:rsidR="00266084" w:rsidRPr="00CC7883">
        <w:rPr>
          <w:rFonts w:ascii="Times New Roman" w:eastAsia="Times New Roman" w:hAnsi="Times New Roman" w:cs="Times New Roman"/>
          <w:color w:val="000000" w:themeColor="text1"/>
          <w:sz w:val="28"/>
          <w:szCs w:val="28"/>
        </w:rPr>
        <w:t>[1</w:t>
      </w:r>
      <w:r w:rsidR="005A0087" w:rsidRPr="00CC7883">
        <w:rPr>
          <w:rFonts w:ascii="Times New Roman" w:eastAsia="Times New Roman" w:hAnsi="Times New Roman" w:cs="Times New Roman"/>
          <w:color w:val="000000" w:themeColor="text1"/>
          <w:sz w:val="28"/>
          <w:szCs w:val="28"/>
        </w:rPr>
        <w:t>78</w:t>
      </w:r>
      <w:r w:rsidR="00FA3470" w:rsidRPr="00CC7883">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Для збільшення виходу адаптованих </w:t>
      </w:r>
      <w:r w:rsidR="001221F9" w:rsidRPr="00CC7883">
        <w:rPr>
          <w:rFonts w:ascii="Times New Roman" w:hAnsi="Times New Roman" w:cs="Times New Roman"/>
          <w:i/>
          <w:color w:val="000000" w:themeColor="text1"/>
          <w:sz w:val="28"/>
          <w:szCs w:val="28"/>
        </w:rPr>
        <w:t>in vivo</w:t>
      </w:r>
      <w:r w:rsidRPr="00CC7883">
        <w:rPr>
          <w:rFonts w:ascii="Times New Roman" w:eastAsia="Times New Roman" w:hAnsi="Times New Roman" w:cs="Times New Roman"/>
          <w:color w:val="000000" w:themeColor="text1"/>
          <w:sz w:val="28"/>
          <w:szCs w:val="28"/>
        </w:rPr>
        <w:t xml:space="preserve"> мікроклонів винограду використовують мінеральні субстрати. Так, у літературі наводяться результати щодо застосування перліту, </w:t>
      </w:r>
      <w:r w:rsidR="005A0410" w:rsidRPr="00CC7883">
        <w:rPr>
          <w:rFonts w:ascii="Times New Roman" w:hAnsi="Times New Roman" w:cs="Times New Roman"/>
          <w:color w:val="000000" w:themeColor="text1"/>
          <w:sz w:val="28"/>
          <w:szCs w:val="28"/>
        </w:rPr>
        <w:t>верм</w:t>
      </w:r>
      <w:r w:rsidR="005A0410">
        <w:rPr>
          <w:rFonts w:ascii="Times New Roman" w:hAnsi="Times New Roman" w:cs="Times New Roman"/>
          <w:color w:val="000000" w:themeColor="text1"/>
          <w:sz w:val="28"/>
          <w:szCs w:val="28"/>
        </w:rPr>
        <w:t>и</w:t>
      </w:r>
      <w:r w:rsidR="005A0410" w:rsidRPr="00CC7883">
        <w:rPr>
          <w:rFonts w:ascii="Times New Roman" w:hAnsi="Times New Roman" w:cs="Times New Roman"/>
          <w:color w:val="000000" w:themeColor="text1"/>
          <w:sz w:val="28"/>
          <w:szCs w:val="28"/>
        </w:rPr>
        <w:t>куліт</w:t>
      </w:r>
      <w:r w:rsidRPr="00CC7883">
        <w:rPr>
          <w:rFonts w:ascii="Times New Roman" w:eastAsia="Times New Roman" w:hAnsi="Times New Roman" w:cs="Times New Roman"/>
          <w:color w:val="000000" w:themeColor="text1"/>
          <w:sz w:val="28"/>
          <w:szCs w:val="28"/>
        </w:rPr>
        <w:t>у у чистому виді та у поєднанні з кокосовим субстратом і торфом. Приживлюваність мікроклонів винограду сортів «Pusa Navrang», «Hybrid 76-1», «Жемчуг Саба», «Julesky Muscat</w:t>
      </w:r>
      <w:r w:rsidR="00266084" w:rsidRPr="00CC7883">
        <w:rPr>
          <w:rFonts w:ascii="Times New Roman" w:eastAsia="Times New Roman" w:hAnsi="Times New Roman" w:cs="Times New Roman"/>
          <w:color w:val="000000" w:themeColor="text1"/>
          <w:sz w:val="28"/>
          <w:szCs w:val="28"/>
        </w:rPr>
        <w:t>» [107</w:t>
      </w:r>
      <w:r w:rsidRPr="00CC7883">
        <w:rPr>
          <w:rFonts w:ascii="Times New Roman" w:eastAsia="Times New Roman" w:hAnsi="Times New Roman" w:cs="Times New Roman"/>
          <w:color w:val="000000" w:themeColor="text1"/>
          <w:sz w:val="28"/>
          <w:szCs w:val="28"/>
        </w:rPr>
        <w:t>], «Піон» [26</w:t>
      </w:r>
      <w:r w:rsidR="002D22A1" w:rsidRPr="00CC7883">
        <w:rPr>
          <w:rFonts w:ascii="Times New Roman" w:eastAsia="Times New Roman" w:hAnsi="Times New Roman" w:cs="Times New Roman"/>
          <w:color w:val="000000" w:themeColor="text1"/>
          <w:sz w:val="28"/>
          <w:szCs w:val="28"/>
        </w:rPr>
        <w:t>4</w:t>
      </w:r>
      <w:r w:rsidRPr="00CC7883">
        <w:rPr>
          <w:rFonts w:ascii="Times New Roman" w:eastAsia="Times New Roman" w:hAnsi="Times New Roman" w:cs="Times New Roman"/>
          <w:color w:val="000000" w:themeColor="text1"/>
          <w:sz w:val="28"/>
          <w:szCs w:val="28"/>
        </w:rPr>
        <w:t>] на таких сумішах дорівнювала 85,0–90,0 %. Л.</w:t>
      </w:r>
      <w:r w:rsidR="004B7F24">
        <w:rPr>
          <w:rFonts w:ascii="Times New Roman" w:eastAsia="Times New Roman" w:hAnsi="Times New Roman" w:cs="Times New Roman"/>
          <w:color w:val="000000" w:themeColor="text1"/>
          <w:sz w:val="28"/>
          <w:szCs w:val="28"/>
        </w:rPr>
        <w:t> </w:t>
      </w:r>
      <w:r w:rsidRPr="00CC7883">
        <w:rPr>
          <w:rFonts w:ascii="Times New Roman" w:eastAsia="Times New Roman" w:hAnsi="Times New Roman" w:cs="Times New Roman"/>
          <w:color w:val="000000" w:themeColor="text1"/>
          <w:sz w:val="28"/>
          <w:szCs w:val="28"/>
        </w:rPr>
        <w:t>В.</w:t>
      </w:r>
      <w:r w:rsidR="004B7F24">
        <w:rPr>
          <w:rFonts w:ascii="Times New Roman" w:eastAsia="Times New Roman" w:hAnsi="Times New Roman" w:cs="Times New Roman"/>
          <w:color w:val="000000" w:themeColor="text1"/>
          <w:sz w:val="28"/>
          <w:szCs w:val="28"/>
        </w:rPr>
        <w:t> </w:t>
      </w:r>
      <w:r w:rsidRPr="00CC7883">
        <w:rPr>
          <w:rFonts w:ascii="Times New Roman" w:eastAsia="Times New Roman" w:hAnsi="Times New Roman" w:cs="Times New Roman"/>
          <w:color w:val="000000" w:themeColor="text1"/>
          <w:sz w:val="28"/>
          <w:szCs w:val="28"/>
        </w:rPr>
        <w:t xml:space="preserve">Іванова-Ханіна проводила адаптацію мікроклонів винограду сорту </w:t>
      </w:r>
      <w:r w:rsidRPr="00CC7883">
        <w:rPr>
          <w:rFonts w:ascii="Times New Roman" w:eastAsia="Times New Roman" w:hAnsi="Times New Roman" w:cs="Times New Roman"/>
          <w:color w:val="000000" w:themeColor="text1"/>
          <w:sz w:val="28"/>
          <w:szCs w:val="28"/>
        </w:rPr>
        <w:lastRenderedPageBreak/>
        <w:t>«Молдова», «Сурученський білий», «Фрумоаса албе», «Шевченко» та «Каберне Совіньйон»</w:t>
      </w:r>
      <w:r w:rsidR="0097741D" w:rsidRPr="00CC7883">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на різних типах субстратів. Після адаптації на поживних субстратах – кокосовий субстрат + агроперліт + Terravet, кокосовий субстрат + </w:t>
      </w:r>
      <w:r w:rsidR="005A0410" w:rsidRPr="00CC7883">
        <w:rPr>
          <w:rFonts w:ascii="Times New Roman" w:hAnsi="Times New Roman" w:cs="Times New Roman"/>
          <w:color w:val="000000" w:themeColor="text1"/>
          <w:sz w:val="28"/>
          <w:szCs w:val="28"/>
        </w:rPr>
        <w:t>верм</w:t>
      </w:r>
      <w:r w:rsidR="005A0410">
        <w:rPr>
          <w:rFonts w:ascii="Times New Roman" w:hAnsi="Times New Roman" w:cs="Times New Roman"/>
          <w:color w:val="000000" w:themeColor="text1"/>
          <w:sz w:val="28"/>
          <w:szCs w:val="28"/>
        </w:rPr>
        <w:t>и</w:t>
      </w:r>
      <w:r w:rsidR="005A0410" w:rsidRPr="00CC7883">
        <w:rPr>
          <w:rFonts w:ascii="Times New Roman" w:hAnsi="Times New Roman" w:cs="Times New Roman"/>
          <w:color w:val="000000" w:themeColor="text1"/>
          <w:sz w:val="28"/>
          <w:szCs w:val="28"/>
        </w:rPr>
        <w:t>куліт</w:t>
      </w:r>
      <w:r w:rsidRPr="00CC7883">
        <w:rPr>
          <w:rFonts w:ascii="Times New Roman" w:eastAsia="Times New Roman" w:hAnsi="Times New Roman" w:cs="Times New Roman"/>
          <w:color w:val="000000" w:themeColor="text1"/>
          <w:sz w:val="28"/>
          <w:szCs w:val="28"/>
        </w:rPr>
        <w:t xml:space="preserve"> + Terravet, торф сфагнум + </w:t>
      </w:r>
      <w:r w:rsidR="005A0410" w:rsidRPr="00CC7883">
        <w:rPr>
          <w:rFonts w:ascii="Times New Roman" w:hAnsi="Times New Roman" w:cs="Times New Roman"/>
          <w:color w:val="000000" w:themeColor="text1"/>
          <w:sz w:val="28"/>
          <w:szCs w:val="28"/>
        </w:rPr>
        <w:t>верм</w:t>
      </w:r>
      <w:r w:rsidR="005A0410">
        <w:rPr>
          <w:rFonts w:ascii="Times New Roman" w:hAnsi="Times New Roman" w:cs="Times New Roman"/>
          <w:color w:val="000000" w:themeColor="text1"/>
          <w:sz w:val="28"/>
          <w:szCs w:val="28"/>
        </w:rPr>
        <w:t>и</w:t>
      </w:r>
      <w:r w:rsidR="005A0410" w:rsidRPr="00CC7883">
        <w:rPr>
          <w:rFonts w:ascii="Times New Roman" w:hAnsi="Times New Roman" w:cs="Times New Roman"/>
          <w:color w:val="000000" w:themeColor="text1"/>
          <w:sz w:val="28"/>
          <w:szCs w:val="28"/>
        </w:rPr>
        <w:t>куліт</w:t>
      </w:r>
      <w:r w:rsidRPr="00CC7883">
        <w:rPr>
          <w:rFonts w:ascii="Times New Roman" w:eastAsia="Times New Roman" w:hAnsi="Times New Roman" w:cs="Times New Roman"/>
          <w:color w:val="000000" w:themeColor="text1"/>
          <w:sz w:val="28"/>
          <w:szCs w:val="28"/>
        </w:rPr>
        <w:t>, приживлюваність мікрокло</w:t>
      </w:r>
      <w:r w:rsidR="00266084" w:rsidRPr="00CC7883">
        <w:rPr>
          <w:rFonts w:ascii="Times New Roman" w:eastAsia="Times New Roman" w:hAnsi="Times New Roman" w:cs="Times New Roman"/>
          <w:color w:val="000000" w:themeColor="text1"/>
          <w:sz w:val="28"/>
          <w:szCs w:val="28"/>
        </w:rPr>
        <w:t>нів була у межах 95,0–98,0 % [16</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 xml:space="preserve">Т. М. Черевата проводила адаптацію мікроклонів винограду сортів «Каберне Совіньйон» (клон 441), «Мускат гамбурзький» (клон 2694), «Марсельський чорний ранній» (клон 1294), «Рислінг рейнський» (клон 14172), «Ріпаріа </w:t>
      </w:r>
      <w:r w:rsidR="00E921EA" w:rsidRPr="00CC7883">
        <w:rPr>
          <w:rFonts w:ascii="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Рупестріс 101-14» (клон 4923), «Берландієрі </w:t>
      </w:r>
      <w:r w:rsidR="00E921EA" w:rsidRPr="00CC7883">
        <w:rPr>
          <w:rFonts w:ascii="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Ріпаріа Кобера 5ББ» (клон 21192), «Мускат таїровський» (клон 371), «Мускат Жемчужний» (клон 7251), «Оригінал» (клон 5861), «Одеський сувенір» (клон 7844) та «Ріпаріа Рупестріс СО4» (клон 1791). Мікроклони висотою 9–10 см, з 7–8 вузлами та добре розвиненою кореневою системою висаджували у єм</w:t>
      </w:r>
      <w:r w:rsidR="004978A5">
        <w:rPr>
          <w:rFonts w:ascii="Times New Roman" w:eastAsia="Times New Roman" w:hAnsi="Times New Roman" w:cs="Times New Roman"/>
          <w:color w:val="000000" w:themeColor="text1"/>
          <w:sz w:val="28"/>
          <w:szCs w:val="28"/>
        </w:rPr>
        <w:t>н</w:t>
      </w:r>
      <w:r w:rsidRPr="00CC7883">
        <w:rPr>
          <w:rFonts w:ascii="Times New Roman" w:eastAsia="Times New Roman" w:hAnsi="Times New Roman" w:cs="Times New Roman"/>
          <w:color w:val="000000" w:themeColor="text1"/>
          <w:sz w:val="28"/>
          <w:szCs w:val="28"/>
        </w:rPr>
        <w:t>ості з сумішшю іонітного субстрату «Біона» та цеоліту у різних співвідношеннях. Поступову адаптацію рослин до умов навколишнього середовища здійснювали шляхом поетапного відкривання кришок єм</w:t>
      </w:r>
      <w:r w:rsidR="001563C7">
        <w:rPr>
          <w:rFonts w:ascii="Times New Roman" w:eastAsia="Times New Roman" w:hAnsi="Times New Roman" w:cs="Times New Roman"/>
          <w:color w:val="000000" w:themeColor="text1"/>
          <w:sz w:val="28"/>
          <w:szCs w:val="28"/>
        </w:rPr>
        <w:t>н</w:t>
      </w:r>
      <w:r w:rsidRPr="00CC7883">
        <w:rPr>
          <w:rFonts w:ascii="Times New Roman" w:eastAsia="Times New Roman" w:hAnsi="Times New Roman" w:cs="Times New Roman"/>
          <w:color w:val="000000" w:themeColor="text1"/>
          <w:sz w:val="28"/>
          <w:szCs w:val="28"/>
        </w:rPr>
        <w:t>остей. Після 10 діб культивування у теплицях оцінювали приживлюваність мікроклонів</w:t>
      </w:r>
      <w:r w:rsidR="00095A9C">
        <w:rPr>
          <w:rFonts w:ascii="Times New Roman" w:eastAsia="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rPr>
        <w:t xml:space="preserve"> </w:t>
      </w:r>
      <w:r w:rsidR="00095A9C">
        <w:rPr>
          <w:rFonts w:ascii="Times New Roman" w:eastAsia="Times New Roman" w:hAnsi="Times New Roman" w:cs="Times New Roman"/>
          <w:color w:val="000000" w:themeColor="text1"/>
          <w:sz w:val="28"/>
          <w:szCs w:val="28"/>
        </w:rPr>
        <w:t>В</w:t>
      </w:r>
      <w:r w:rsidRPr="00CC7883">
        <w:rPr>
          <w:rFonts w:ascii="Times New Roman" w:eastAsia="Times New Roman" w:hAnsi="Times New Roman" w:cs="Times New Roman"/>
          <w:color w:val="000000" w:themeColor="text1"/>
          <w:sz w:val="28"/>
          <w:szCs w:val="28"/>
        </w:rPr>
        <w:t>она дорівнювала</w:t>
      </w:r>
      <w:r w:rsidR="004B244E" w:rsidRPr="00C634FF">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92,0 % [</w:t>
      </w:r>
      <w:r w:rsidR="00266084" w:rsidRPr="00CC7883">
        <w:rPr>
          <w:rFonts w:ascii="Times New Roman" w:eastAsia="Times New Roman" w:hAnsi="Times New Roman" w:cs="Times New Roman"/>
          <w:color w:val="000000" w:themeColor="text1"/>
          <w:sz w:val="28"/>
          <w:szCs w:val="28"/>
        </w:rPr>
        <w:t>69</w:t>
      </w:r>
      <w:r w:rsidRPr="00CC7883">
        <w:rPr>
          <w:rFonts w:ascii="Times New Roman" w:eastAsia="Times New Roman" w:hAnsi="Times New Roman" w:cs="Times New Roman"/>
          <w:color w:val="000000" w:themeColor="text1"/>
          <w:sz w:val="28"/>
          <w:szCs w:val="28"/>
        </w:rPr>
        <w:t>].</w:t>
      </w:r>
    </w:p>
    <w:p w:rsidR="00B01A54" w:rsidRPr="00CC7883" w:rsidRDefault="00B01A54" w:rsidP="00047411">
      <w:pPr>
        <w:widowControl w:val="0"/>
        <w:spacing w:after="0" w:line="360" w:lineRule="auto"/>
        <w:ind w:firstLine="709"/>
        <w:jc w:val="both"/>
        <w:rPr>
          <w:rFonts w:ascii="Times New Roman" w:eastAsia="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rPr>
        <w:t>У роботі Н. М. Зеленянської адаптацію мікроклонів винограду сортів «Шардоне 4876», «Добриня», «Гарант» проводили за трьома способами. Перший спосіб передбачав адаптацію у культуральному боксі з поступовим відкриванням кришечок (від 5 хвилин до 7 діб) та обприскуванням препаратами Vapor Gard</w:t>
      </w:r>
      <w:r w:rsidR="004B244E" w:rsidRPr="00C634FF">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w:t>
      </w:r>
      <w:r w:rsidR="004B244E" w:rsidRPr="00C634FF">
        <w:rPr>
          <w:rFonts w:ascii="Times New Roman" w:eastAsia="Times New Roman" w:hAnsi="Times New Roman" w:cs="Times New Roman"/>
          <w:color w:val="000000" w:themeColor="text1"/>
          <w:sz w:val="28"/>
          <w:szCs w:val="28"/>
        </w:rPr>
        <w:t xml:space="preserve"> </w:t>
      </w:r>
      <w:r w:rsidRPr="00CC7883">
        <w:rPr>
          <w:rFonts w:ascii="Times New Roman" w:eastAsia="Times New Roman" w:hAnsi="Times New Roman" w:cs="Times New Roman"/>
          <w:color w:val="000000" w:themeColor="text1"/>
          <w:sz w:val="28"/>
          <w:szCs w:val="28"/>
        </w:rPr>
        <w:t xml:space="preserve">ЕПАА, після чого мікроклони висаджували у цеоліт у захищений ґрунт. Таку адаптацію рекомендовано проводити весною, перед висаджуванням рослин у захищений ґрунт, використовуючи стандартне поживне середовище MS та модифіковане поживне середовище MS (зі зменшеним вмістом макросолей / хелату заліза). Другий спосіб передбачав проведення передадаптації, потім пересадку мікроклонів на різні субстрати – цеоліт, кокосовий субстрат, агроперліт, торф, а також їх суміші з Terrawet і вермикулітом, із поливом поживними розчинами без фітогормонів. Третій </w:t>
      </w:r>
      <w:r w:rsidRPr="00CC7883">
        <w:rPr>
          <w:rFonts w:ascii="Times New Roman" w:eastAsia="Times New Roman" w:hAnsi="Times New Roman" w:cs="Times New Roman"/>
          <w:color w:val="000000" w:themeColor="text1"/>
          <w:sz w:val="28"/>
          <w:szCs w:val="28"/>
        </w:rPr>
        <w:lastRenderedPageBreak/>
        <w:t xml:space="preserve">спосіб передбачав об’єднання етапів укорінення та адаптації в умовах </w:t>
      </w:r>
      <w:r w:rsidRPr="00CC7883">
        <w:rPr>
          <w:rFonts w:ascii="Times New Roman" w:eastAsia="Times New Roman" w:hAnsi="Times New Roman" w:cs="Times New Roman"/>
          <w:i/>
          <w:color w:val="000000" w:themeColor="text1"/>
          <w:sz w:val="28"/>
          <w:szCs w:val="28"/>
        </w:rPr>
        <w:t>in</w:t>
      </w:r>
      <w:r w:rsidR="008B5203" w:rsidRPr="00CC7883">
        <w:rPr>
          <w:rFonts w:ascii="Times New Roman" w:eastAsia="Times New Roman" w:hAnsi="Times New Roman" w:cs="Times New Roman"/>
          <w:i/>
          <w:color w:val="000000" w:themeColor="text1"/>
          <w:sz w:val="28"/>
          <w:szCs w:val="28"/>
        </w:rPr>
        <w:t> </w:t>
      </w:r>
      <w:r w:rsidRPr="00CC7883">
        <w:rPr>
          <w:rFonts w:ascii="Times New Roman" w:eastAsia="Times New Roman" w:hAnsi="Times New Roman" w:cs="Times New Roman"/>
          <w:i/>
          <w:color w:val="000000" w:themeColor="text1"/>
          <w:sz w:val="28"/>
          <w:szCs w:val="28"/>
        </w:rPr>
        <w:t>vitro</w:t>
      </w:r>
      <w:r w:rsidRPr="00CC7883">
        <w:rPr>
          <w:rFonts w:ascii="Times New Roman" w:eastAsia="Times New Roman" w:hAnsi="Times New Roman" w:cs="Times New Roman"/>
          <w:color w:val="000000" w:themeColor="text1"/>
          <w:sz w:val="28"/>
          <w:szCs w:val="28"/>
        </w:rPr>
        <w:t xml:space="preserve">. Для цього пасажування рослин проводили на стерильні органічні субстрати. Приживлюваність мікроклонів винограду в контрольних варіантах (цеоліт) дорівнювала 58,0–65,0 %, у дослідних варіантах – збільшувалася і </w:t>
      </w:r>
      <w:r w:rsidR="00C449F1">
        <w:rPr>
          <w:rFonts w:ascii="Times New Roman" w:eastAsia="Times New Roman" w:hAnsi="Times New Roman" w:cs="Times New Roman"/>
          <w:color w:val="000000" w:themeColor="text1"/>
          <w:sz w:val="28"/>
          <w:szCs w:val="28"/>
        </w:rPr>
        <w:t>становила</w:t>
      </w:r>
      <w:r w:rsidRPr="00CC7883">
        <w:rPr>
          <w:rFonts w:ascii="Times New Roman" w:eastAsia="Times New Roman" w:hAnsi="Times New Roman" w:cs="Times New Roman"/>
          <w:color w:val="000000" w:themeColor="text1"/>
          <w:sz w:val="28"/>
          <w:szCs w:val="28"/>
        </w:rPr>
        <w:t xml:space="preserve"> 85,5–94,0 % [</w:t>
      </w:r>
      <w:r w:rsidR="00266084" w:rsidRPr="00CC7883">
        <w:rPr>
          <w:rFonts w:ascii="Times New Roman" w:eastAsia="Times New Roman" w:hAnsi="Times New Roman" w:cs="Times New Roman"/>
          <w:color w:val="000000" w:themeColor="text1"/>
          <w:sz w:val="28"/>
          <w:szCs w:val="28"/>
        </w:rPr>
        <w:t>17</w:t>
      </w:r>
      <w:r w:rsidRPr="00CC7883">
        <w:rPr>
          <w:rFonts w:ascii="Times New Roman" w:eastAsia="Times New Roman" w:hAnsi="Times New Roman" w:cs="Times New Roman"/>
          <w:color w:val="000000" w:themeColor="text1"/>
          <w:sz w:val="28"/>
          <w:szCs w:val="28"/>
        </w:rPr>
        <w:t xml:space="preserve">]. </w:t>
      </w:r>
    </w:p>
    <w:p w:rsidR="00B01A54" w:rsidRPr="00CC7883" w:rsidRDefault="00B01A54" w:rsidP="00047411">
      <w:pPr>
        <w:widowControl w:val="0"/>
        <w:spacing w:after="0" w:line="360" w:lineRule="auto"/>
        <w:ind w:firstLine="708"/>
        <w:jc w:val="both"/>
        <w:rPr>
          <w:rFonts w:ascii="Times New Roman" w:hAnsi="Times New Roman" w:cs="Times New Roman"/>
          <w:b/>
          <w:bCs/>
          <w:color w:val="000000" w:themeColor="text1"/>
          <w:sz w:val="28"/>
          <w:szCs w:val="28"/>
        </w:rPr>
      </w:pPr>
      <w:bookmarkStart w:id="13" w:name="_Hlk157356699"/>
      <w:bookmarkStart w:id="14" w:name="_Hlk205376836"/>
    </w:p>
    <w:p w:rsidR="00B01A54" w:rsidRPr="00CC7883" w:rsidRDefault="00B01A54" w:rsidP="00047411">
      <w:pPr>
        <w:widowControl w:val="0"/>
        <w:spacing w:after="0" w:line="360" w:lineRule="auto"/>
        <w:ind w:firstLine="709"/>
        <w:jc w:val="both"/>
        <w:outlineLvl w:val="1"/>
        <w:rPr>
          <w:rFonts w:ascii="Times New Roman" w:hAnsi="Times New Roman" w:cs="Times New Roman"/>
          <w:b/>
          <w:bCs/>
          <w:color w:val="000000" w:themeColor="text1"/>
          <w:sz w:val="28"/>
          <w:szCs w:val="28"/>
        </w:rPr>
      </w:pPr>
      <w:bookmarkStart w:id="15" w:name="_Toc220058920"/>
      <w:r w:rsidRPr="00CC7883">
        <w:rPr>
          <w:rFonts w:ascii="Times New Roman" w:hAnsi="Times New Roman" w:cs="Times New Roman"/>
          <w:b/>
          <w:bCs/>
          <w:color w:val="000000" w:themeColor="text1"/>
          <w:sz w:val="28"/>
          <w:szCs w:val="28"/>
        </w:rPr>
        <w:t xml:space="preserve">1.5. Особливості перебігу фізіолого-біохімічних процесів рослин в умовах </w:t>
      </w:r>
      <w:r w:rsidRPr="00CC7883">
        <w:rPr>
          <w:rFonts w:ascii="Times New Roman" w:hAnsi="Times New Roman" w:cs="Times New Roman"/>
          <w:b/>
          <w:bCs/>
          <w:i/>
          <w:iCs/>
          <w:color w:val="000000" w:themeColor="text1"/>
          <w:sz w:val="28"/>
          <w:szCs w:val="28"/>
        </w:rPr>
        <w:t>in</w:t>
      </w:r>
      <w:r w:rsidR="008B5203" w:rsidRPr="00CC7883">
        <w:rPr>
          <w:rFonts w:ascii="Times New Roman" w:hAnsi="Times New Roman" w:cs="Times New Roman"/>
          <w:b/>
          <w:bCs/>
          <w:i/>
          <w:iCs/>
          <w:color w:val="000000" w:themeColor="text1"/>
          <w:sz w:val="28"/>
          <w:szCs w:val="28"/>
        </w:rPr>
        <w:t> </w:t>
      </w:r>
      <w:r w:rsidRPr="00CC7883">
        <w:rPr>
          <w:rFonts w:ascii="Times New Roman" w:hAnsi="Times New Roman" w:cs="Times New Roman"/>
          <w:b/>
          <w:bCs/>
          <w:i/>
          <w:iCs/>
          <w:color w:val="000000" w:themeColor="text1"/>
          <w:sz w:val="28"/>
          <w:szCs w:val="28"/>
        </w:rPr>
        <w:t>vitro</w:t>
      </w:r>
      <w:bookmarkEnd w:id="15"/>
    </w:p>
    <w:p w:rsidR="00B01A54" w:rsidRPr="00CC7883" w:rsidRDefault="00B01A54" w:rsidP="00047411">
      <w:pPr>
        <w:pStyle w:val="a7"/>
        <w:widowControl w:val="0"/>
        <w:spacing w:after="0" w:line="360" w:lineRule="auto"/>
        <w:ind w:left="0"/>
        <w:jc w:val="both"/>
        <w:rPr>
          <w:rFonts w:ascii="Times New Roman" w:hAnsi="Times New Roman" w:cs="Times New Roman"/>
          <w:b/>
          <w:bCs/>
          <w:color w:val="000000" w:themeColor="text1"/>
          <w:sz w:val="28"/>
          <w:szCs w:val="28"/>
        </w:rPr>
      </w:pPr>
    </w:p>
    <w:bookmarkEnd w:id="13"/>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Структурно-функціональні зміни рослин, які формуються в умовах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iCs/>
          <w:color w:val="000000" w:themeColor="text1"/>
          <w:sz w:val="28"/>
          <w:szCs w:val="28"/>
        </w:rPr>
        <w:t>,</w:t>
      </w:r>
      <w:r w:rsidRPr="00CC7883">
        <w:rPr>
          <w:rFonts w:ascii="Times New Roman" w:hAnsi="Times New Roman" w:cs="Times New Roman"/>
          <w:color w:val="000000" w:themeColor="text1"/>
          <w:sz w:val="28"/>
          <w:szCs w:val="28"/>
        </w:rPr>
        <w:t xml:space="preserve"> ускладнюють процес їх адаптації до неконтрольованих умов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та зумовлюють високу летальність до 75,0</w:t>
      </w:r>
      <w:r w:rsidRPr="00CC7883">
        <w:rPr>
          <w:rFonts w:ascii="Times New Roman" w:eastAsia="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100,0 %. Вона, на думку деяких авторів, пов'язана з недостатньою увагою до підвищення життєздатності рослин на етапі культивування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 xml:space="preserve">та з невідповідністю фізико-хімічних умов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 xml:space="preserve">потребам рослин </w:t>
      </w:r>
      <w:r w:rsidR="001221F9" w:rsidRPr="00CC7883">
        <w:rPr>
          <w:rFonts w:ascii="Times New Roman" w:hAnsi="Times New Roman" w:cs="Times New Roman"/>
          <w:i/>
          <w:color w:val="000000" w:themeColor="text1"/>
          <w:sz w:val="28"/>
          <w:szCs w:val="28"/>
        </w:rPr>
        <w:t>in vivo</w:t>
      </w:r>
      <w:r w:rsidR="00F62136">
        <w:rPr>
          <w:rFonts w:ascii="Times New Roman" w:hAnsi="Times New Roman" w:cs="Times New Roman"/>
          <w:color w:val="000000" w:themeColor="text1"/>
          <w:sz w:val="28"/>
          <w:szCs w:val="28"/>
        </w:rPr>
        <w:t xml:space="preserve"> [13,</w:t>
      </w:r>
      <w:r w:rsidR="00266084" w:rsidRPr="00CC7883">
        <w:rPr>
          <w:rFonts w:ascii="Times New Roman" w:hAnsi="Times New Roman" w:cs="Times New Roman"/>
          <w:color w:val="000000" w:themeColor="text1"/>
          <w:sz w:val="28"/>
          <w:szCs w:val="28"/>
        </w:rPr>
        <w:t xml:space="preserve"> 14</w:t>
      </w:r>
      <w:r w:rsidR="00F62136">
        <w:rPr>
          <w:rFonts w:ascii="Times New Roman" w:hAnsi="Times New Roman" w:cs="Times New Roman"/>
          <w:color w:val="000000" w:themeColor="text1"/>
          <w:sz w:val="28"/>
          <w:szCs w:val="28"/>
        </w:rPr>
        <w:t>,</w:t>
      </w:r>
      <w:r w:rsidR="005A0087" w:rsidRPr="00CC7883">
        <w:rPr>
          <w:rFonts w:ascii="Times New Roman" w:hAnsi="Times New Roman" w:cs="Times New Roman"/>
          <w:color w:val="000000" w:themeColor="text1"/>
          <w:sz w:val="28"/>
          <w:szCs w:val="28"/>
        </w:rPr>
        <w:t xml:space="preserve"> 2</w:t>
      </w:r>
      <w:r w:rsidR="002D22A1" w:rsidRPr="00CC7883">
        <w:rPr>
          <w:rFonts w:ascii="Times New Roman" w:hAnsi="Times New Roman" w:cs="Times New Roman"/>
          <w:color w:val="000000" w:themeColor="text1"/>
          <w:sz w:val="28"/>
          <w:szCs w:val="28"/>
        </w:rPr>
        <w:t>70</w:t>
      </w:r>
      <w:r w:rsidRPr="00CC7883">
        <w:rPr>
          <w:rFonts w:ascii="Times New Roman" w:hAnsi="Times New Roman" w:cs="Times New Roman"/>
          <w:color w:val="000000" w:themeColor="text1"/>
          <w:sz w:val="28"/>
          <w:szCs w:val="28"/>
        </w:rPr>
        <w:t xml:space="preserve">]. Відомо, що культивування рослин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xml:space="preserve"> зумовлює перебудову їх анатомічних структур та зміну фізіолого-біохімічного стану рослин. Тому для успішної </w:t>
      </w:r>
      <w:r w:rsidRPr="00CC7883">
        <w:rPr>
          <w:rFonts w:ascii="Times New Roman" w:eastAsia="Times New Roman" w:hAnsi="Times New Roman" w:cs="Times New Roman"/>
          <w:color w:val="000000" w:themeColor="text1"/>
          <w:sz w:val="28"/>
          <w:szCs w:val="28"/>
        </w:rPr>
        <w:t>адаптації</w:t>
      </w:r>
      <w:r w:rsidRPr="00CC7883">
        <w:rPr>
          <w:rFonts w:ascii="Times New Roman" w:hAnsi="Times New Roman" w:cs="Times New Roman"/>
          <w:color w:val="000000" w:themeColor="text1"/>
          <w:sz w:val="28"/>
          <w:szCs w:val="28"/>
        </w:rPr>
        <w:t xml:space="preserve"> мікроклональних рослин до умов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необхідно, з одного боку, оптимізувати низку фізичних факторів (субстрат, поживне середовище, вологість повітря, вентиляція, кислотно-лужний баланс (рН) тощо), з іншого – рослини повинні перебувати в такому фізіологічному та біохімічному стані, щоб у подальшому поступово адаптуватися до нових, неконтрольованих у</w:t>
      </w:r>
      <w:r w:rsidR="00266084" w:rsidRPr="00CC7883">
        <w:rPr>
          <w:rFonts w:ascii="Times New Roman" w:hAnsi="Times New Roman" w:cs="Times New Roman"/>
          <w:color w:val="000000" w:themeColor="text1"/>
          <w:sz w:val="28"/>
          <w:szCs w:val="28"/>
        </w:rPr>
        <w:t>мов навколишнього середовища [13</w:t>
      </w:r>
      <w:r w:rsidR="00CB43B9" w:rsidRPr="00F62136">
        <w:rPr>
          <w:rFonts w:ascii="Times New Roman" w:hAnsi="Times New Roman" w:cs="Times New Roman"/>
          <w:color w:val="000000" w:themeColor="text1"/>
          <w:sz w:val="28"/>
          <w:szCs w:val="28"/>
        </w:rPr>
        <w:t>,</w:t>
      </w:r>
      <w:r w:rsidR="005A0087" w:rsidRPr="00CC7883">
        <w:rPr>
          <w:rFonts w:ascii="Times New Roman" w:hAnsi="Times New Roman" w:cs="Times New Roman"/>
          <w:color w:val="000000" w:themeColor="text1"/>
          <w:sz w:val="28"/>
          <w:szCs w:val="28"/>
        </w:rPr>
        <w:t xml:space="preserve"> 2</w:t>
      </w:r>
      <w:r w:rsidR="002D22A1" w:rsidRPr="00CC7883">
        <w:rPr>
          <w:rFonts w:ascii="Times New Roman" w:hAnsi="Times New Roman" w:cs="Times New Roman"/>
          <w:color w:val="000000" w:themeColor="text1"/>
          <w:sz w:val="28"/>
          <w:szCs w:val="28"/>
        </w:rPr>
        <w:t>70</w:t>
      </w:r>
      <w:r w:rsidRPr="00CC7883">
        <w:rPr>
          <w:rFonts w:ascii="Times New Roman" w:hAnsi="Times New Roman" w:cs="Times New Roman"/>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цьому контексті визначення основних фізіолого-біохімічних показників у тканинах листків і пагонів рослин у культурі </w:t>
      </w:r>
      <w:r w:rsidR="000553AD" w:rsidRPr="00CC7883">
        <w:rPr>
          <w:rFonts w:ascii="Times New Roman" w:hAnsi="Times New Roman" w:cs="Times New Roman"/>
          <w:i/>
          <w:color w:val="000000" w:themeColor="text1"/>
          <w:sz w:val="28"/>
        </w:rPr>
        <w:t>in vitro</w:t>
      </w:r>
      <w:r w:rsidRPr="00CC7883">
        <w:rPr>
          <w:rFonts w:ascii="Times New Roman" w:hAnsi="Times New Roman" w:cs="Times New Roman"/>
          <w:color w:val="000000" w:themeColor="text1"/>
          <w:sz w:val="28"/>
          <w:szCs w:val="28"/>
        </w:rPr>
        <w:t xml:space="preserve"> набуває особливої актуальності. Такий аналіз </w:t>
      </w:r>
      <w:r w:rsidR="002D226D">
        <w:rPr>
          <w:rFonts w:ascii="Times New Roman" w:hAnsi="Times New Roman" w:cs="Times New Roman"/>
          <w:color w:val="000000" w:themeColor="text1"/>
          <w:sz w:val="28"/>
          <w:szCs w:val="28"/>
        </w:rPr>
        <w:t>дає змогу</w:t>
      </w:r>
      <w:r w:rsidRPr="00CC7883">
        <w:rPr>
          <w:rFonts w:ascii="Times New Roman" w:hAnsi="Times New Roman" w:cs="Times New Roman"/>
          <w:color w:val="000000" w:themeColor="text1"/>
          <w:sz w:val="28"/>
          <w:szCs w:val="28"/>
        </w:rPr>
        <w:t xml:space="preserve"> оцінити життєздатність та адаптаційну здатність рослин, відстежувати стресові реакції, оптимізувати поживне середовище та концентрації регуляторів росту, підвищувати ефективність мікроклонального розмноження та забезпечувати формування повноцінної морфоструктури. Зокрема:</w:t>
      </w:r>
    </w:p>
    <w:p w:rsidR="00B01A54" w:rsidRPr="00CC7883" w:rsidRDefault="00B01A54" w:rsidP="00047411">
      <w:pPr>
        <w:pStyle w:val="Standard"/>
        <w:widowControl w:val="0"/>
        <w:numPr>
          <w:ilvl w:val="0"/>
          <w:numId w:val="16"/>
        </w:numPr>
        <w:suppressAutoHyphens w:val="0"/>
        <w:spacing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аналіз фізіологічних процесів (фотосинтез, транспірація, водний обмін) дає змогу визначити, наскільки ефективно органи рослин пристосовуються до штучних умов і зберігають функціональну активність;</w:t>
      </w:r>
    </w:p>
    <w:p w:rsidR="00B01A54" w:rsidRPr="00CC7883" w:rsidRDefault="00B01A54" w:rsidP="00047411">
      <w:pPr>
        <w:pStyle w:val="ae"/>
        <w:widowControl w:val="0"/>
        <w:numPr>
          <w:ilvl w:val="0"/>
          <w:numId w:val="16"/>
        </w:numPr>
        <w:spacing w:before="0" w:beforeAutospacing="0" w:after="0" w:afterAutospacing="0" w:line="360" w:lineRule="auto"/>
        <w:ind w:left="0" w:firstLine="0"/>
        <w:jc w:val="both"/>
        <w:rPr>
          <w:rFonts w:eastAsia="NSimSun"/>
          <w:color w:val="000000" w:themeColor="text1"/>
          <w:kern w:val="3"/>
          <w:sz w:val="28"/>
          <w:szCs w:val="28"/>
          <w:lang w:eastAsia="en-US"/>
        </w:rPr>
      </w:pPr>
      <w:r w:rsidRPr="00CC7883">
        <w:rPr>
          <w:rFonts w:eastAsia="NSimSun"/>
          <w:color w:val="000000" w:themeColor="text1"/>
          <w:kern w:val="3"/>
          <w:sz w:val="28"/>
          <w:szCs w:val="28"/>
          <w:lang w:eastAsia="en-US"/>
        </w:rPr>
        <w:t>біохімічні показники (вміст антиоксидантів, листкових пігментів, фенольних сполук, активність ферментів) свідчать про наявність або відсутність оксидативного стресу та допомагають визначити оптимальні умови культивування;</w:t>
      </w:r>
    </w:p>
    <w:p w:rsidR="00B01A54" w:rsidRPr="00CC7883" w:rsidRDefault="00B01A54" w:rsidP="00047411">
      <w:pPr>
        <w:pStyle w:val="ae"/>
        <w:widowControl w:val="0"/>
        <w:numPr>
          <w:ilvl w:val="0"/>
          <w:numId w:val="16"/>
        </w:numPr>
        <w:spacing w:before="0" w:beforeAutospacing="0" w:after="0" w:afterAutospacing="0" w:line="360" w:lineRule="auto"/>
        <w:ind w:left="0" w:firstLine="0"/>
        <w:jc w:val="both"/>
        <w:rPr>
          <w:rFonts w:eastAsia="NSimSun"/>
          <w:color w:val="000000" w:themeColor="text1"/>
          <w:kern w:val="3"/>
          <w:sz w:val="28"/>
          <w:szCs w:val="28"/>
          <w:lang w:eastAsia="en-US"/>
        </w:rPr>
      </w:pPr>
      <w:r w:rsidRPr="00CC7883">
        <w:rPr>
          <w:rFonts w:eastAsia="NSimSun"/>
          <w:color w:val="000000" w:themeColor="text1"/>
          <w:kern w:val="3"/>
          <w:sz w:val="28"/>
          <w:szCs w:val="28"/>
          <w:lang w:eastAsia="en-US"/>
        </w:rPr>
        <w:t>фізіолого-біохімічний аналіз обґрунтовує вибір концентрацій макро- і мікроелементів, вітамінів та гормонів росту для найкращого розвитку листків і пагонів;</w:t>
      </w:r>
    </w:p>
    <w:p w:rsidR="00B01A54" w:rsidRPr="00CC7883" w:rsidRDefault="00B01A54" w:rsidP="00047411">
      <w:pPr>
        <w:pStyle w:val="ae"/>
        <w:widowControl w:val="0"/>
        <w:numPr>
          <w:ilvl w:val="0"/>
          <w:numId w:val="16"/>
        </w:numPr>
        <w:spacing w:before="0" w:beforeAutospacing="0" w:after="0" w:afterAutospacing="0" w:line="360" w:lineRule="auto"/>
        <w:ind w:left="0" w:firstLine="0"/>
        <w:jc w:val="both"/>
        <w:rPr>
          <w:rFonts w:eastAsia="NSimSun"/>
          <w:color w:val="000000" w:themeColor="text1"/>
          <w:kern w:val="3"/>
          <w:sz w:val="28"/>
          <w:szCs w:val="28"/>
          <w:lang w:eastAsia="en-US"/>
        </w:rPr>
      </w:pPr>
      <w:r w:rsidRPr="00CC7883">
        <w:rPr>
          <w:rFonts w:eastAsia="NSimSun"/>
          <w:color w:val="000000" w:themeColor="text1"/>
          <w:kern w:val="3"/>
          <w:sz w:val="28"/>
          <w:szCs w:val="28"/>
          <w:lang w:eastAsia="en-US"/>
        </w:rPr>
        <w:t xml:space="preserve">розуміння внутрішніх процесів </w:t>
      </w:r>
      <w:r w:rsidR="002D226D">
        <w:rPr>
          <w:rFonts w:eastAsia="NSimSun"/>
          <w:color w:val="000000" w:themeColor="text1"/>
          <w:kern w:val="3"/>
          <w:sz w:val="28"/>
          <w:szCs w:val="28"/>
          <w:lang w:eastAsia="en-US"/>
        </w:rPr>
        <w:t>дає змогу</w:t>
      </w:r>
      <w:r w:rsidRPr="00CC7883">
        <w:rPr>
          <w:rFonts w:eastAsia="NSimSun"/>
          <w:color w:val="000000" w:themeColor="text1"/>
          <w:kern w:val="3"/>
          <w:sz w:val="28"/>
          <w:szCs w:val="28"/>
          <w:lang w:eastAsia="en-US"/>
        </w:rPr>
        <w:t xml:space="preserve"> вдосконалювати протоколи культивування, підвищувати частоту регенерації, зменшувати сомаклональну мінливість і отримувати більш однорідний, здоровий садивний матеріал;</w:t>
      </w:r>
    </w:p>
    <w:p w:rsidR="00B01A54" w:rsidRPr="00CC7883" w:rsidRDefault="00B01A54" w:rsidP="00047411">
      <w:pPr>
        <w:pStyle w:val="ae"/>
        <w:widowControl w:val="0"/>
        <w:numPr>
          <w:ilvl w:val="0"/>
          <w:numId w:val="16"/>
        </w:numPr>
        <w:spacing w:before="0" w:beforeAutospacing="0" w:after="0" w:afterAutospacing="0" w:line="360" w:lineRule="auto"/>
        <w:ind w:left="0" w:firstLine="0"/>
        <w:jc w:val="both"/>
        <w:rPr>
          <w:rFonts w:eastAsia="NSimSun"/>
          <w:color w:val="000000" w:themeColor="text1"/>
          <w:kern w:val="3"/>
          <w:sz w:val="28"/>
          <w:szCs w:val="28"/>
          <w:lang w:eastAsia="en-US"/>
        </w:rPr>
      </w:pPr>
      <w:r w:rsidRPr="00CC7883">
        <w:rPr>
          <w:rFonts w:eastAsia="NSimSun"/>
          <w:color w:val="000000" w:themeColor="text1"/>
          <w:kern w:val="3"/>
          <w:sz w:val="28"/>
          <w:szCs w:val="28"/>
          <w:lang w:eastAsia="en-US"/>
        </w:rPr>
        <w:t xml:space="preserve">оцінка функціонального стану листків і пагонів на біохімічному рівні допомагає визначити ступінь диференціації та готовність рослин до стадії акліматизації та подальшого росту </w:t>
      </w:r>
      <w:r w:rsidRPr="00CC7883">
        <w:rPr>
          <w:rFonts w:eastAsia="NSimSun"/>
          <w:i/>
          <w:iCs/>
          <w:color w:val="000000" w:themeColor="text1"/>
          <w:kern w:val="3"/>
          <w:sz w:val="28"/>
          <w:szCs w:val="28"/>
          <w:lang w:eastAsia="en-US"/>
        </w:rPr>
        <w:t>in</w:t>
      </w:r>
      <w:r w:rsidR="000553AD" w:rsidRPr="00CC7883">
        <w:rPr>
          <w:rFonts w:eastAsia="NSimSun"/>
          <w:i/>
          <w:iCs/>
          <w:color w:val="000000" w:themeColor="text1"/>
          <w:kern w:val="3"/>
          <w:sz w:val="28"/>
          <w:szCs w:val="28"/>
          <w:lang w:eastAsia="en-US"/>
        </w:rPr>
        <w:t> </w:t>
      </w:r>
      <w:r w:rsidRPr="00CC7883">
        <w:rPr>
          <w:rFonts w:eastAsia="NSimSun"/>
          <w:i/>
          <w:iCs/>
          <w:color w:val="000000" w:themeColor="text1"/>
          <w:kern w:val="3"/>
          <w:sz w:val="28"/>
          <w:szCs w:val="28"/>
          <w:lang w:eastAsia="en-US"/>
        </w:rPr>
        <w:t>vivo</w:t>
      </w:r>
      <w:r w:rsidRPr="00CC7883">
        <w:rPr>
          <w:rFonts w:eastAsia="NSimSun"/>
          <w:color w:val="000000" w:themeColor="text1"/>
          <w:kern w:val="3"/>
          <w:sz w:val="28"/>
          <w:szCs w:val="28"/>
          <w:lang w:eastAsia="en-US"/>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Таким чином, визначення основних фізіолого-біохімічних процесів у культурі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є ключовим для підвищення приживлюваності рослин у природних умовах і забезпечення успішного переходу від штучного, контрольованого середовища до неконтрольованого.</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u w:val="single"/>
        </w:rPr>
        <w:t>Водо</w:t>
      </w:r>
      <w:r w:rsidR="000852FF">
        <w:rPr>
          <w:rFonts w:ascii="Times New Roman" w:hAnsi="Times New Roman" w:cs="Times New Roman"/>
          <w:i/>
          <w:iCs/>
          <w:color w:val="000000" w:themeColor="text1"/>
          <w:sz w:val="28"/>
          <w:szCs w:val="28"/>
          <w:u w:val="single"/>
        </w:rPr>
        <w:t>у</w:t>
      </w:r>
      <w:r w:rsidRPr="00CC7883">
        <w:rPr>
          <w:rFonts w:ascii="Times New Roman" w:hAnsi="Times New Roman" w:cs="Times New Roman"/>
          <w:i/>
          <w:iCs/>
          <w:color w:val="000000" w:themeColor="text1"/>
          <w:sz w:val="28"/>
          <w:szCs w:val="28"/>
          <w:u w:val="single"/>
        </w:rPr>
        <w:t>триму</w:t>
      </w:r>
      <w:r w:rsidR="000852FF">
        <w:rPr>
          <w:rFonts w:ascii="Times New Roman" w:hAnsi="Times New Roman" w:cs="Times New Roman"/>
          <w:i/>
          <w:iCs/>
          <w:color w:val="000000" w:themeColor="text1"/>
          <w:sz w:val="28"/>
          <w:szCs w:val="28"/>
          <w:u w:val="single"/>
        </w:rPr>
        <w:t>вальна</w:t>
      </w:r>
      <w:r w:rsidRPr="00CC7883">
        <w:rPr>
          <w:rFonts w:ascii="Times New Roman" w:hAnsi="Times New Roman" w:cs="Times New Roman"/>
          <w:i/>
          <w:iCs/>
          <w:color w:val="000000" w:themeColor="text1"/>
          <w:sz w:val="28"/>
          <w:szCs w:val="28"/>
          <w:u w:val="single"/>
        </w:rPr>
        <w:t xml:space="preserve"> здатність</w:t>
      </w:r>
      <w:r w:rsidRPr="00CC7883">
        <w:rPr>
          <w:rFonts w:ascii="Times New Roman" w:hAnsi="Times New Roman" w:cs="Times New Roman"/>
          <w:color w:val="000000" w:themeColor="text1"/>
          <w:sz w:val="28"/>
          <w:szCs w:val="28"/>
        </w:rPr>
        <w:t xml:space="preserve"> є важливим показником фізіологічного стану рослин, оскільки визначає рівень втрати води вегетативними органами і тісно пов’язана з подальшою адаптацією культур до умов </w:t>
      </w:r>
      <w:r w:rsidR="000553AD" w:rsidRPr="00CC7883">
        <w:rPr>
          <w:i/>
          <w:iCs/>
          <w:color w:val="000000" w:themeColor="text1"/>
          <w:sz w:val="28"/>
          <w:szCs w:val="28"/>
          <w:lang w:eastAsia="en-US"/>
        </w:rPr>
        <w:t>in vivo</w:t>
      </w:r>
      <w:r w:rsidRPr="00CC7883">
        <w:rPr>
          <w:rFonts w:ascii="Times New Roman" w:hAnsi="Times New Roman" w:cs="Times New Roman"/>
          <w:color w:val="000000" w:themeColor="text1"/>
          <w:sz w:val="28"/>
          <w:szCs w:val="28"/>
        </w:rPr>
        <w:t xml:space="preserve">. Аналіз літературних джерел свідчить, що ефективне регулювання цього показника можливе шляхом оптимізації складу поживного середовища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Зокрема, додавання вуглеводів, поліетиленгліколю, амінокислот, антиоксидантів та осмотичних регуляторів сприяє підвищенню водного потенціалу клітин і зменшенню інтенсивності транспіраційних втрат. Дані окремих експериментів підтверджують ключову роль цукрів, насамперед сахарози. Так, у культурі актинідії приємної (</w:t>
      </w:r>
      <w:r w:rsidRPr="00CC7883">
        <w:rPr>
          <w:rFonts w:ascii="Times New Roman" w:hAnsi="Times New Roman" w:cs="Times New Roman"/>
          <w:i/>
          <w:iCs/>
          <w:color w:val="000000" w:themeColor="text1"/>
          <w:sz w:val="28"/>
          <w:szCs w:val="28"/>
        </w:rPr>
        <w:t xml:space="preserve">Actinidia deliciosa </w:t>
      </w:r>
      <w:r w:rsidRPr="00CC7883">
        <w:rPr>
          <w:rFonts w:ascii="Times New Roman" w:hAnsi="Times New Roman" w:cs="Times New Roman"/>
          <w:color w:val="000000" w:themeColor="text1"/>
          <w:sz w:val="28"/>
          <w:szCs w:val="28"/>
        </w:rPr>
        <w:t>(A.</w:t>
      </w:r>
      <w:r w:rsidR="004B244E" w:rsidRPr="00F62136">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Chev.) C. F. Liang</w:t>
      </w:r>
      <w:r w:rsidR="004B244E"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lastRenderedPageBreak/>
        <w:t>A.</w:t>
      </w:r>
      <w:r w:rsidR="004B244E">
        <w:rPr>
          <w:rFonts w:ascii="Times New Roman" w:hAnsi="Times New Roman" w:cs="Times New Roman"/>
          <w:color w:val="000000" w:themeColor="text1"/>
          <w:sz w:val="28"/>
          <w:szCs w:val="28"/>
          <w:lang w:val="en-US"/>
        </w:rPr>
        <w:t> </w:t>
      </w:r>
      <w:r w:rsidRPr="00CC7883">
        <w:rPr>
          <w:rFonts w:ascii="Times New Roman" w:hAnsi="Times New Roman" w:cs="Times New Roman"/>
          <w:color w:val="000000" w:themeColor="text1"/>
          <w:sz w:val="28"/>
          <w:szCs w:val="28"/>
        </w:rPr>
        <w:t>R.</w:t>
      </w:r>
      <w:r w:rsidR="001221F9"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Ferguson) внесення 2,5 % сахарози в середовище забезпечувало значне підвищення вмісту води (до 60,0 %) в рослинах та високу приживлюваність в умовах </w:t>
      </w:r>
      <w:r w:rsidR="001221F9" w:rsidRPr="00CC7883">
        <w:rPr>
          <w:rFonts w:ascii="Times New Roman" w:hAnsi="Times New Roman" w:cs="Times New Roman"/>
          <w:i/>
          <w:color w:val="000000" w:themeColor="text1"/>
          <w:sz w:val="28"/>
          <w:szCs w:val="28"/>
        </w:rPr>
        <w:t>in vivo</w:t>
      </w:r>
      <w:r w:rsidR="001221F9" w:rsidRPr="00CC7883">
        <w:rPr>
          <w:rFonts w:ascii="Times New Roman" w:hAnsi="Times New Roman" w:cs="Times New Roman"/>
          <w:color w:val="000000" w:themeColor="text1"/>
          <w:sz w:val="28"/>
          <w:szCs w:val="28"/>
        </w:rPr>
        <w:t xml:space="preserve"> </w:t>
      </w:r>
      <w:r w:rsidR="00266084" w:rsidRPr="00CC7883">
        <w:rPr>
          <w:rFonts w:ascii="Times New Roman" w:hAnsi="Times New Roman" w:cs="Times New Roman"/>
          <w:color w:val="000000" w:themeColor="text1"/>
          <w:sz w:val="28"/>
          <w:szCs w:val="28"/>
        </w:rPr>
        <w:t>–</w:t>
      </w:r>
      <w:r w:rsidR="001221F9" w:rsidRPr="00CC7883">
        <w:rPr>
          <w:rFonts w:ascii="Times New Roman" w:hAnsi="Times New Roman" w:cs="Times New Roman"/>
          <w:color w:val="000000" w:themeColor="text1"/>
          <w:sz w:val="28"/>
          <w:szCs w:val="28"/>
        </w:rPr>
        <w:t xml:space="preserve"> </w:t>
      </w:r>
      <w:r w:rsidR="00266084" w:rsidRPr="00CC7883">
        <w:rPr>
          <w:rFonts w:ascii="Times New Roman" w:hAnsi="Times New Roman" w:cs="Times New Roman"/>
          <w:color w:val="000000" w:themeColor="text1"/>
          <w:sz w:val="28"/>
          <w:szCs w:val="28"/>
        </w:rPr>
        <w:t>90,0 % [119</w:t>
      </w:r>
      <w:r w:rsidRPr="00CC7883">
        <w:rPr>
          <w:rFonts w:ascii="Times New Roman" w:hAnsi="Times New Roman" w:cs="Times New Roman"/>
          <w:color w:val="000000" w:themeColor="text1"/>
          <w:sz w:val="28"/>
          <w:szCs w:val="28"/>
        </w:rPr>
        <w:t>]. Подібні результати було отримано і для бамбука звичайного (</w:t>
      </w:r>
      <w:r w:rsidRPr="00CC7883">
        <w:rPr>
          <w:rFonts w:ascii="Times New Roman" w:hAnsi="Times New Roman" w:cs="Times New Roman"/>
          <w:i/>
          <w:iCs/>
          <w:color w:val="000000" w:themeColor="text1"/>
          <w:sz w:val="28"/>
          <w:szCs w:val="28"/>
        </w:rPr>
        <w:t xml:space="preserve">Bambusa vulgaris </w:t>
      </w:r>
      <w:r w:rsidRPr="00CC7883">
        <w:rPr>
          <w:rFonts w:ascii="Times New Roman" w:hAnsi="Times New Roman" w:cs="Times New Roman"/>
          <w:color w:val="000000" w:themeColor="text1"/>
          <w:sz w:val="28"/>
          <w:szCs w:val="28"/>
        </w:rPr>
        <w:t>Schrad. ex J.</w:t>
      </w:r>
      <w:r w:rsidR="0066793F">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C.</w:t>
      </w:r>
      <w:r w:rsidR="0066793F">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Wendl</w:t>
      </w:r>
      <w:r w:rsidRPr="00CC7883">
        <w:rPr>
          <w:rFonts w:ascii="Times New Roman" w:hAnsi="Times New Roman" w:cs="Times New Roman"/>
          <w:i/>
          <w:iCs/>
          <w:color w:val="000000" w:themeColor="text1"/>
          <w:sz w:val="28"/>
          <w:szCs w:val="28"/>
        </w:rPr>
        <w:t>.</w:t>
      </w:r>
      <w:r w:rsidRPr="00CC7883">
        <w:rPr>
          <w:rFonts w:ascii="Times New Roman" w:hAnsi="Times New Roman" w:cs="Times New Roman"/>
          <w:color w:val="000000" w:themeColor="text1"/>
          <w:sz w:val="28"/>
          <w:szCs w:val="28"/>
        </w:rPr>
        <w:t>) [</w:t>
      </w:r>
      <w:r w:rsidR="00266084" w:rsidRPr="00CC7883">
        <w:rPr>
          <w:rFonts w:ascii="Times New Roman" w:hAnsi="Times New Roman" w:cs="Times New Roman"/>
          <w:color w:val="000000" w:themeColor="text1"/>
          <w:sz w:val="28"/>
          <w:szCs w:val="28"/>
        </w:rPr>
        <w:t>123</w:t>
      </w:r>
      <w:r w:rsidRPr="00CC7883">
        <w:rPr>
          <w:rFonts w:ascii="Times New Roman" w:hAnsi="Times New Roman" w:cs="Times New Roman"/>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Збільшенню водо</w:t>
      </w:r>
      <w:r w:rsidR="000852FF">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вальної</w:t>
      </w:r>
      <w:r w:rsidRPr="00CC7883">
        <w:rPr>
          <w:rFonts w:ascii="Times New Roman" w:hAnsi="Times New Roman" w:cs="Times New Roman"/>
          <w:color w:val="000000" w:themeColor="text1"/>
          <w:sz w:val="28"/>
          <w:szCs w:val="28"/>
        </w:rPr>
        <w:t xml:space="preserve"> здатності клітин мікроклонів рослин сприяє ПЕГ, який вводять до складу поживного середовища. Він є полімером, що має гідрофільні властивості </w:t>
      </w:r>
      <w:r w:rsidRPr="00CC7883">
        <w:rPr>
          <w:rFonts w:ascii="Times New Roman" w:hAnsi="Times New Roman" w:cs="Times New Roman"/>
          <w:bCs/>
          <w:color w:val="000000" w:themeColor="text1"/>
          <w:sz w:val="28"/>
          <w:szCs w:val="28"/>
        </w:rPr>
        <w:t>та здатний зменшувати кількість вільної води в клітинах</w:t>
      </w:r>
      <w:r w:rsidRPr="00CC7883">
        <w:rPr>
          <w:rFonts w:ascii="Times New Roman" w:hAnsi="Times New Roman" w:cs="Times New Roman"/>
          <w:color w:val="000000" w:themeColor="text1"/>
          <w:sz w:val="28"/>
          <w:szCs w:val="28"/>
        </w:rPr>
        <w:t xml:space="preserve"> рослин </w:t>
      </w:r>
      <w:r w:rsidRPr="00CC7883">
        <w:rPr>
          <w:rFonts w:ascii="Times New Roman" w:hAnsi="Times New Roman" w:cs="Times New Roman"/>
          <w:i/>
          <w:iCs/>
          <w:color w:val="000000" w:themeColor="text1"/>
          <w:sz w:val="28"/>
          <w:szCs w:val="28"/>
        </w:rPr>
        <w:t>in</w:t>
      </w:r>
      <w:r w:rsidR="008B5203" w:rsidRPr="00CC7883">
        <w:rPr>
          <w:rFonts w:ascii="Times New Roman" w:hAnsi="Times New Roman" w:cs="Times New Roman"/>
          <w:i/>
          <w:iCs/>
          <w:color w:val="000000" w:themeColor="text1"/>
          <w:sz w:val="28"/>
          <w:szCs w:val="28"/>
        </w:rPr>
        <w:t> </w:t>
      </w:r>
      <w:r w:rsidRPr="00CC7883">
        <w:rPr>
          <w:rFonts w:ascii="Times New Roman" w:hAnsi="Times New Roman" w:cs="Times New Roman"/>
          <w:i/>
          <w:iCs/>
          <w:color w:val="000000" w:themeColor="text1"/>
          <w:sz w:val="28"/>
          <w:szCs w:val="28"/>
        </w:rPr>
        <w:t>vitro.</w:t>
      </w:r>
      <w:r w:rsidRPr="00CC7883">
        <w:rPr>
          <w:rFonts w:ascii="Times New Roman" w:hAnsi="Times New Roman" w:cs="Times New Roman"/>
          <w:color w:val="000000" w:themeColor="text1"/>
          <w:sz w:val="28"/>
          <w:szCs w:val="28"/>
        </w:rPr>
        <w:t xml:space="preserve"> У роботах Zein El Din A. F. </w:t>
      </w:r>
      <w:r w:rsidR="00694F30" w:rsidRPr="00CC7883">
        <w:rPr>
          <w:rFonts w:ascii="Times New Roman" w:eastAsia="Times New Roman" w:hAnsi="Times New Roman" w:cs="Times New Roman"/>
          <w:color w:val="000000" w:themeColor="text1"/>
          <w:sz w:val="28"/>
          <w:szCs w:val="28"/>
        </w:rPr>
        <w:t>et al.</w:t>
      </w:r>
      <w:r w:rsidRPr="00CC7883">
        <w:rPr>
          <w:rFonts w:ascii="Times New Roman" w:hAnsi="Times New Roman" w:cs="Times New Roman"/>
          <w:color w:val="000000" w:themeColor="text1"/>
          <w:sz w:val="28"/>
          <w:szCs w:val="28"/>
        </w:rPr>
        <w:t xml:space="preserve">, Antonić D. показано, що ПЕГ у кількості </w:t>
      </w:r>
      <w:r w:rsidRPr="00CC7883">
        <w:rPr>
          <w:rFonts w:ascii="Times New Roman" w:hAnsi="Times New Roman" w:cs="Times New Roman"/>
          <w:bCs/>
          <w:color w:val="000000" w:themeColor="text1"/>
          <w:sz w:val="28"/>
          <w:szCs w:val="28"/>
        </w:rPr>
        <w:t>3 %</w:t>
      </w:r>
      <w:r w:rsidR="001B0041"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bCs/>
          <w:color w:val="000000" w:themeColor="text1"/>
          <w:sz w:val="28"/>
          <w:szCs w:val="28"/>
        </w:rPr>
        <w:t>[</w:t>
      </w:r>
      <w:r w:rsidRPr="00CC7883">
        <w:rPr>
          <w:rFonts w:ascii="Times New Roman" w:hAnsi="Times New Roman" w:cs="Times New Roman"/>
          <w:color w:val="000000" w:themeColor="text1"/>
          <w:sz w:val="28"/>
          <w:szCs w:val="28"/>
        </w:rPr>
        <w:t>2</w:t>
      </w:r>
      <w:r w:rsidR="005A0087" w:rsidRPr="00CC7883">
        <w:rPr>
          <w:rFonts w:ascii="Times New Roman" w:hAnsi="Times New Roman" w:cs="Times New Roman"/>
          <w:color w:val="000000" w:themeColor="text1"/>
          <w:sz w:val="28"/>
          <w:szCs w:val="28"/>
        </w:rPr>
        <w:t>6</w:t>
      </w:r>
      <w:r w:rsidR="002D22A1" w:rsidRPr="00CC7883">
        <w:rPr>
          <w:rFonts w:ascii="Times New Roman" w:hAnsi="Times New Roman" w:cs="Times New Roman"/>
          <w:color w:val="000000" w:themeColor="text1"/>
          <w:sz w:val="28"/>
          <w:szCs w:val="28"/>
        </w:rPr>
        <w:t>7</w:t>
      </w:r>
      <w:r w:rsidR="00266084" w:rsidRPr="00CC7883">
        <w:rPr>
          <w:rFonts w:ascii="Times New Roman" w:hAnsi="Times New Roman" w:cs="Times New Roman"/>
          <w:color w:val="000000" w:themeColor="text1"/>
          <w:sz w:val="28"/>
          <w:szCs w:val="28"/>
        </w:rPr>
        <w:t>] та 20 мг/л [81</w:t>
      </w:r>
      <w:r w:rsidRPr="00CC7883">
        <w:rPr>
          <w:rFonts w:ascii="Times New Roman" w:hAnsi="Times New Roman" w:cs="Times New Roman"/>
          <w:color w:val="000000" w:themeColor="text1"/>
          <w:sz w:val="28"/>
          <w:szCs w:val="28"/>
        </w:rPr>
        <w:t xml:space="preserve">] у поживному середовищі </w:t>
      </w:r>
      <w:r w:rsidR="00FE5EA9">
        <w:rPr>
          <w:rFonts w:ascii="Times New Roman" w:hAnsi="Times New Roman" w:cs="Times New Roman"/>
          <w:color w:val="000000" w:themeColor="text1"/>
          <w:sz w:val="28"/>
          <w:szCs w:val="28"/>
          <w:lang w:val="en-US"/>
        </w:rPr>
        <w:t>M</w:t>
      </w:r>
      <w:r w:rsidR="00FE5EA9" w:rsidRPr="00CC7883">
        <w:rPr>
          <w:rFonts w:ascii="Times New Roman" w:hAnsi="Times New Roman" w:cs="Times New Roman"/>
          <w:color w:val="000000" w:themeColor="text1"/>
          <w:sz w:val="28"/>
          <w:szCs w:val="28"/>
        </w:rPr>
        <w:t>S</w:t>
      </w:r>
      <w:r w:rsidRPr="00CC7883">
        <w:rPr>
          <w:rFonts w:ascii="Times New Roman" w:hAnsi="Times New Roman" w:cs="Times New Roman"/>
          <w:color w:val="000000" w:themeColor="text1"/>
          <w:sz w:val="28"/>
          <w:szCs w:val="28"/>
        </w:rPr>
        <w:t>, зменшував відносний вміст води у листках бальзаміну Уоллера (</w:t>
      </w:r>
      <w:r w:rsidRPr="00CC7883">
        <w:rPr>
          <w:rFonts w:ascii="Times New Roman" w:hAnsi="Times New Roman" w:cs="Times New Roman"/>
          <w:i/>
          <w:iCs/>
          <w:color w:val="000000" w:themeColor="text1"/>
          <w:sz w:val="28"/>
          <w:szCs w:val="28"/>
        </w:rPr>
        <w:t xml:space="preserve">Impatiens walleriana </w:t>
      </w:r>
      <w:r w:rsidRPr="00CC7883">
        <w:rPr>
          <w:rFonts w:ascii="Times New Roman" w:hAnsi="Times New Roman" w:cs="Times New Roman"/>
          <w:color w:val="000000" w:themeColor="text1"/>
          <w:sz w:val="28"/>
          <w:szCs w:val="28"/>
        </w:rPr>
        <w:t>Hook. f.) на 38,1 % та у рослин фініку їстівного (</w:t>
      </w:r>
      <w:r w:rsidRPr="00CC7883">
        <w:rPr>
          <w:rFonts w:ascii="Times New Roman" w:hAnsi="Times New Roman" w:cs="Times New Roman"/>
          <w:i/>
          <w:iCs/>
          <w:color w:val="000000" w:themeColor="text1"/>
          <w:sz w:val="28"/>
          <w:szCs w:val="28"/>
        </w:rPr>
        <w:t xml:space="preserve">Phoenix dactylifera </w:t>
      </w:r>
      <w:r w:rsidRPr="00CC7883">
        <w:rPr>
          <w:rFonts w:ascii="Times New Roman" w:hAnsi="Times New Roman" w:cs="Times New Roman"/>
          <w:color w:val="000000" w:themeColor="text1"/>
          <w:sz w:val="28"/>
          <w:szCs w:val="28"/>
        </w:rPr>
        <w:t>L.) на 22,0</w:t>
      </w:r>
      <w:r w:rsidRPr="00CC7883">
        <w:rPr>
          <w:rFonts w:ascii="Times New Roman" w:eastAsia="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27,0 %. Тому після пересаджування цих рослин в умови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їх приживлюван</w:t>
      </w:r>
      <w:r w:rsidR="0066793F">
        <w:rPr>
          <w:rFonts w:ascii="Times New Roman" w:hAnsi="Times New Roman" w:cs="Times New Roman"/>
          <w:color w:val="000000" w:themeColor="text1"/>
          <w:sz w:val="28"/>
          <w:szCs w:val="28"/>
        </w:rPr>
        <w:t>н</w:t>
      </w:r>
      <w:r w:rsidRPr="00CC7883">
        <w:rPr>
          <w:rFonts w:ascii="Times New Roman" w:hAnsi="Times New Roman" w:cs="Times New Roman"/>
          <w:color w:val="000000" w:themeColor="text1"/>
          <w:sz w:val="28"/>
          <w:szCs w:val="28"/>
        </w:rPr>
        <w:t>я сягало 90,0 % проти 63,0 % у контролі [2</w:t>
      </w:r>
      <w:r w:rsidR="005B16DD" w:rsidRPr="00CC7883">
        <w:rPr>
          <w:rFonts w:ascii="Times New Roman" w:hAnsi="Times New Roman" w:cs="Times New Roman"/>
          <w:color w:val="000000" w:themeColor="text1"/>
          <w:sz w:val="28"/>
          <w:szCs w:val="28"/>
        </w:rPr>
        <w:t>6</w:t>
      </w:r>
      <w:r w:rsidR="002D22A1" w:rsidRPr="00CC7883">
        <w:rPr>
          <w:rFonts w:ascii="Times New Roman" w:hAnsi="Times New Roman" w:cs="Times New Roman"/>
          <w:color w:val="000000" w:themeColor="text1"/>
          <w:sz w:val="28"/>
          <w:szCs w:val="28"/>
        </w:rPr>
        <w:t>7</w:t>
      </w:r>
      <w:r w:rsidR="00EC1E77" w:rsidRPr="00F62136">
        <w:rPr>
          <w:rFonts w:ascii="Times New Roman" w:hAnsi="Times New Roman" w:cs="Times New Roman"/>
          <w:color w:val="000000" w:themeColor="text1"/>
          <w:sz w:val="28"/>
          <w:szCs w:val="28"/>
          <w:lang w:val="ru-RU"/>
        </w:rPr>
        <w:t>,</w:t>
      </w:r>
      <w:r w:rsidR="005A0087" w:rsidRPr="00CC7883">
        <w:rPr>
          <w:rFonts w:ascii="Times New Roman" w:hAnsi="Times New Roman" w:cs="Times New Roman"/>
          <w:color w:val="000000" w:themeColor="text1"/>
          <w:sz w:val="28"/>
          <w:szCs w:val="28"/>
        </w:rPr>
        <w:t xml:space="preserve"> </w:t>
      </w:r>
      <w:r w:rsidR="005B16DD" w:rsidRPr="00CC7883">
        <w:rPr>
          <w:rFonts w:ascii="Times New Roman" w:hAnsi="Times New Roman" w:cs="Times New Roman"/>
          <w:color w:val="000000" w:themeColor="text1"/>
          <w:sz w:val="28"/>
          <w:szCs w:val="28"/>
        </w:rPr>
        <w:t>81</w:t>
      </w:r>
      <w:r w:rsidRPr="00CC7883">
        <w:rPr>
          <w:rFonts w:ascii="Times New Roman" w:hAnsi="Times New Roman" w:cs="Times New Roman"/>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науковій літературі широко обговорюється вплив фітогормонів на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вальну</w:t>
      </w:r>
      <w:r w:rsidRPr="00CC7883">
        <w:rPr>
          <w:rFonts w:ascii="Times New Roman" w:hAnsi="Times New Roman" w:cs="Times New Roman"/>
          <w:color w:val="000000" w:themeColor="text1"/>
          <w:sz w:val="28"/>
          <w:szCs w:val="28"/>
        </w:rPr>
        <w:t xml:space="preserve"> здатність клітин рослин. Цитокініни, гіберелова кислота (ГК₃), тідіазурон, зеатин та індоліл-3-оцтова кислота (ІОК) відіграють ключову роль у регуляції фізіологічних процесів, стимулюючи активність росту й розвитку рослин, що, своєю чергою, підвищує їх здатність утримувати воду. Так, Kemat</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N. </w:t>
      </w:r>
      <w:r w:rsidR="00694F30" w:rsidRPr="00CC7883">
        <w:rPr>
          <w:rFonts w:ascii="Times New Roman" w:eastAsia="Times New Roman" w:hAnsi="Times New Roman" w:cs="Times New Roman"/>
          <w:color w:val="000000" w:themeColor="text1"/>
          <w:sz w:val="28"/>
          <w:szCs w:val="28"/>
        </w:rPr>
        <w:t>et al.</w:t>
      </w:r>
      <w:r w:rsidRPr="00CC7883">
        <w:rPr>
          <w:rFonts w:ascii="Times New Roman" w:hAnsi="Times New Roman" w:cs="Times New Roman"/>
          <w:color w:val="000000" w:themeColor="text1"/>
          <w:sz w:val="28"/>
          <w:szCs w:val="28"/>
        </w:rPr>
        <w:t>, Poniewozik</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M. </w:t>
      </w:r>
      <w:r w:rsidR="00694F30" w:rsidRPr="00CC7883">
        <w:rPr>
          <w:rFonts w:ascii="Times New Roman" w:eastAsia="Times New Roman" w:hAnsi="Times New Roman" w:cs="Times New Roman"/>
          <w:color w:val="000000" w:themeColor="text1"/>
          <w:sz w:val="28"/>
          <w:szCs w:val="28"/>
        </w:rPr>
        <w:t>et al.</w:t>
      </w:r>
      <w:r w:rsidRPr="00CC7883">
        <w:rPr>
          <w:rFonts w:ascii="Times New Roman" w:hAnsi="Times New Roman" w:cs="Times New Roman"/>
          <w:color w:val="000000" w:themeColor="text1"/>
          <w:sz w:val="28"/>
          <w:szCs w:val="28"/>
        </w:rPr>
        <w:t>, Sreelekshmi</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R. &amp;</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Siril</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E. A., Moncalean</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P. </w:t>
      </w:r>
      <w:r w:rsidR="00694F30" w:rsidRPr="00CC7883">
        <w:rPr>
          <w:rFonts w:ascii="Times New Roman" w:eastAsia="Times New Roman" w:hAnsi="Times New Roman" w:cs="Times New Roman"/>
          <w:color w:val="000000" w:themeColor="text1"/>
          <w:sz w:val="28"/>
          <w:szCs w:val="28"/>
        </w:rPr>
        <w:t>et al.</w:t>
      </w:r>
      <w:r w:rsidRPr="00CC7883">
        <w:rPr>
          <w:rFonts w:ascii="Times New Roman" w:hAnsi="Times New Roman" w:cs="Times New Roman"/>
          <w:color w:val="000000" w:themeColor="text1"/>
          <w:sz w:val="28"/>
          <w:szCs w:val="28"/>
        </w:rPr>
        <w:t xml:space="preserve"> проводили дослідження на культурах гвоздики китайської (</w:t>
      </w:r>
      <w:r w:rsidRPr="00CC7883">
        <w:rPr>
          <w:rFonts w:ascii="Times New Roman" w:hAnsi="Times New Roman" w:cs="Times New Roman"/>
          <w:i/>
          <w:color w:val="000000" w:themeColor="text1"/>
          <w:sz w:val="28"/>
          <w:szCs w:val="28"/>
        </w:rPr>
        <w:t>Dianthus chinensis</w:t>
      </w:r>
      <w:r w:rsidRPr="00CC7883">
        <w:rPr>
          <w:rFonts w:ascii="Times New Roman" w:hAnsi="Times New Roman" w:cs="Times New Roman"/>
          <w:color w:val="000000" w:themeColor="text1"/>
          <w:sz w:val="28"/>
          <w:szCs w:val="28"/>
        </w:rPr>
        <w:t xml:space="preserve"> L.), гусимки звичайної (</w:t>
      </w:r>
      <w:r w:rsidRPr="00CC7883">
        <w:rPr>
          <w:rFonts w:ascii="Times New Roman" w:hAnsi="Times New Roman" w:cs="Times New Roman"/>
          <w:i/>
          <w:color w:val="000000" w:themeColor="text1"/>
          <w:sz w:val="28"/>
          <w:szCs w:val="28"/>
        </w:rPr>
        <w:t>Arabidopsis</w:t>
      </w:r>
      <w:r w:rsidR="004B244E" w:rsidRPr="00F62136">
        <w:rPr>
          <w:rFonts w:ascii="Times New Roman" w:hAnsi="Times New Roman" w:cs="Times New Roman"/>
          <w:i/>
          <w:color w:val="000000" w:themeColor="text1"/>
          <w:sz w:val="28"/>
          <w:szCs w:val="28"/>
        </w:rPr>
        <w:t xml:space="preserve"> </w:t>
      </w:r>
      <w:r w:rsidRPr="00CC7883">
        <w:rPr>
          <w:rFonts w:ascii="Times New Roman" w:hAnsi="Times New Roman" w:cs="Times New Roman"/>
          <w:i/>
          <w:color w:val="000000" w:themeColor="text1"/>
          <w:sz w:val="28"/>
          <w:szCs w:val="28"/>
        </w:rPr>
        <w:t>thalian</w:t>
      </w:r>
      <w:r w:rsidRPr="00CC7883">
        <w:rPr>
          <w:rFonts w:ascii="Times New Roman" w:hAnsi="Times New Roman" w:cs="Times New Roman"/>
          <w:color w:val="000000" w:themeColor="text1"/>
          <w:sz w:val="28"/>
          <w:szCs w:val="28"/>
        </w:rPr>
        <w:t>a (L.) Heynh.), венериного черевичка (</w:t>
      </w:r>
      <w:r w:rsidRPr="00CC7883">
        <w:rPr>
          <w:rFonts w:ascii="Times New Roman" w:hAnsi="Times New Roman" w:cs="Times New Roman"/>
          <w:i/>
          <w:color w:val="000000" w:themeColor="text1"/>
          <w:sz w:val="28"/>
          <w:szCs w:val="28"/>
        </w:rPr>
        <w:t>Paphiopedilum insigne</w:t>
      </w:r>
      <w:r w:rsidRPr="00CC7883">
        <w:rPr>
          <w:rFonts w:ascii="Times New Roman" w:hAnsi="Times New Roman" w:cs="Times New Roman"/>
          <w:color w:val="000000" w:themeColor="text1"/>
          <w:sz w:val="28"/>
          <w:szCs w:val="28"/>
        </w:rPr>
        <w:t xml:space="preserve"> (Wall. ex Lindl.) Pfitzer), сосни італійської (</w:t>
      </w:r>
      <w:r w:rsidRPr="00CC7883">
        <w:rPr>
          <w:rFonts w:ascii="Times New Roman" w:hAnsi="Times New Roman" w:cs="Times New Roman"/>
          <w:i/>
          <w:color w:val="000000" w:themeColor="text1"/>
          <w:sz w:val="28"/>
          <w:szCs w:val="28"/>
        </w:rPr>
        <w:t>Pinus pinea</w:t>
      </w:r>
      <w:r w:rsidRPr="00CC7883">
        <w:rPr>
          <w:rFonts w:ascii="Times New Roman" w:hAnsi="Times New Roman" w:cs="Times New Roman"/>
          <w:color w:val="000000" w:themeColor="text1"/>
          <w:sz w:val="28"/>
          <w:szCs w:val="28"/>
        </w:rPr>
        <w:t xml:space="preserve"> L.) культивуючи їх на середовищі MS із різним вмістом фітогормонів. У результаті було встановлено, що тідіазурон у концентрації 3,0 µМ значно підвищував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вальну</w:t>
      </w:r>
      <w:r w:rsidRPr="00CC7883">
        <w:rPr>
          <w:rFonts w:ascii="Times New Roman" w:hAnsi="Times New Roman" w:cs="Times New Roman"/>
          <w:color w:val="000000" w:themeColor="text1"/>
          <w:sz w:val="28"/>
          <w:szCs w:val="28"/>
        </w:rPr>
        <w:t xml:space="preserve"> здатність рослин (96,7 %) порівняно з контролем (76,4 %). Використання 6-БАП (3,0–13,3 µМ) та зеатину (3,0 µМ) також збільшувало цей показник, хоча ефект був слабший, ніж у тідіазурону (88,2–89,5 % та 87,5 % відповідно; контроль – 76,4–80,2 %). Ауксин ІОК у концентрації 1,0 мг/дм³ також підвищував </w:t>
      </w:r>
      <w:r w:rsidR="000852FF" w:rsidRPr="00CC7883">
        <w:rPr>
          <w:rFonts w:ascii="Times New Roman" w:hAnsi="Times New Roman" w:cs="Times New Roman"/>
          <w:color w:val="000000" w:themeColor="text1"/>
          <w:sz w:val="28"/>
          <w:szCs w:val="28"/>
        </w:rPr>
        <w:lastRenderedPageBreak/>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вальну</w:t>
      </w:r>
      <w:r w:rsidRPr="00CC7883">
        <w:rPr>
          <w:rFonts w:ascii="Times New Roman" w:hAnsi="Times New Roman" w:cs="Times New Roman"/>
          <w:color w:val="000000" w:themeColor="text1"/>
          <w:sz w:val="28"/>
          <w:szCs w:val="28"/>
        </w:rPr>
        <w:t xml:space="preserve"> здатність до 85,7 % проти 78,4 % у контролі. Після пересаджування рослин дослідних варіантів на сфагнум, субстрат для орхідей, торф, ґрунтосуміш в умовах </w:t>
      </w:r>
      <w:r w:rsidR="000553AD" w:rsidRPr="00CC7883">
        <w:rPr>
          <w:i/>
          <w:iCs/>
          <w:color w:val="000000" w:themeColor="text1"/>
          <w:sz w:val="28"/>
          <w:szCs w:val="28"/>
          <w:lang w:eastAsia="en-US"/>
        </w:rPr>
        <w:t>in vivo</w:t>
      </w:r>
      <w:r w:rsidRPr="00CC7883">
        <w:rPr>
          <w:rFonts w:ascii="Times New Roman" w:hAnsi="Times New Roman" w:cs="Times New Roman"/>
          <w:color w:val="000000" w:themeColor="text1"/>
          <w:sz w:val="28"/>
          <w:szCs w:val="28"/>
        </w:rPr>
        <w:t xml:space="preserve">, їх приживлюваність дорівнювала 90,0–95,0 %, при </w:t>
      </w:r>
      <w:r w:rsidRPr="00CC7883">
        <w:rPr>
          <w:rFonts w:ascii="Times New Roman" w:hAnsi="Times New Roman" w:cs="Times New Roman"/>
          <w:bCs/>
          <w:color w:val="000000" w:themeColor="text1"/>
          <w:sz w:val="28"/>
          <w:szCs w:val="28"/>
        </w:rPr>
        <w:t>80,0</w:t>
      </w:r>
      <w:r w:rsidR="005B16DD" w:rsidRPr="00CC7883">
        <w:rPr>
          <w:rFonts w:ascii="Times New Roman" w:hAnsi="Times New Roman" w:cs="Times New Roman"/>
          <w:color w:val="000000" w:themeColor="text1"/>
          <w:sz w:val="28"/>
          <w:szCs w:val="28"/>
        </w:rPr>
        <w:t xml:space="preserve"> % у контролі (середнє) [146</w:t>
      </w:r>
      <w:r w:rsidR="00EC1E77" w:rsidRPr="00F62136">
        <w:rPr>
          <w:rFonts w:ascii="Times New Roman" w:hAnsi="Times New Roman" w:cs="Times New Roman"/>
          <w:color w:val="000000" w:themeColor="text1"/>
          <w:sz w:val="28"/>
          <w:szCs w:val="28"/>
        </w:rPr>
        <w:t>,</w:t>
      </w:r>
      <w:r w:rsidR="005B16DD" w:rsidRPr="00CC7883">
        <w:rPr>
          <w:rFonts w:ascii="Times New Roman" w:hAnsi="Times New Roman" w:cs="Times New Roman"/>
          <w:color w:val="000000" w:themeColor="text1"/>
          <w:sz w:val="28"/>
          <w:szCs w:val="28"/>
        </w:rPr>
        <w:t xml:space="preserve"> 2</w:t>
      </w:r>
      <w:r w:rsidR="005A0087" w:rsidRPr="00CC7883">
        <w:rPr>
          <w:rFonts w:ascii="Times New Roman" w:hAnsi="Times New Roman" w:cs="Times New Roman"/>
          <w:color w:val="000000" w:themeColor="text1"/>
          <w:sz w:val="28"/>
          <w:szCs w:val="28"/>
        </w:rPr>
        <w:t>0</w:t>
      </w:r>
      <w:r w:rsidR="002D22A1" w:rsidRPr="00CC7883">
        <w:rPr>
          <w:rFonts w:ascii="Times New Roman" w:hAnsi="Times New Roman" w:cs="Times New Roman"/>
          <w:color w:val="000000" w:themeColor="text1"/>
          <w:sz w:val="28"/>
          <w:szCs w:val="28"/>
        </w:rPr>
        <w:t>8</w:t>
      </w:r>
      <w:r w:rsidR="00EC1E77"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2</w:t>
      </w:r>
      <w:r w:rsidR="005A0087" w:rsidRPr="00CC7883">
        <w:rPr>
          <w:rFonts w:ascii="Times New Roman" w:hAnsi="Times New Roman" w:cs="Times New Roman"/>
          <w:color w:val="000000" w:themeColor="text1"/>
          <w:sz w:val="28"/>
          <w:szCs w:val="28"/>
        </w:rPr>
        <w:t>3</w:t>
      </w:r>
      <w:r w:rsidR="002D22A1" w:rsidRPr="00CC7883">
        <w:rPr>
          <w:rFonts w:ascii="Times New Roman" w:hAnsi="Times New Roman" w:cs="Times New Roman"/>
          <w:color w:val="000000" w:themeColor="text1"/>
          <w:sz w:val="28"/>
          <w:szCs w:val="28"/>
        </w:rPr>
        <w:t>7</w:t>
      </w:r>
      <w:r w:rsidR="00EC1E77"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18</w:t>
      </w:r>
      <w:r w:rsidR="005A0087" w:rsidRPr="00CC7883">
        <w:rPr>
          <w:rFonts w:ascii="Times New Roman" w:hAnsi="Times New Roman" w:cs="Times New Roman"/>
          <w:color w:val="000000" w:themeColor="text1"/>
          <w:sz w:val="28"/>
          <w:szCs w:val="28"/>
        </w:rPr>
        <w:t>5</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Виноград.</w:t>
      </w:r>
      <w:r w:rsidRPr="00CC7883">
        <w:rPr>
          <w:rFonts w:ascii="Times New Roman" w:hAnsi="Times New Roman" w:cs="Times New Roman"/>
          <w:color w:val="000000" w:themeColor="text1"/>
          <w:sz w:val="28"/>
          <w:szCs w:val="28"/>
        </w:rPr>
        <w:t xml:space="preserve"> Підтримання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ої здатності на високому рівні має важливе значення як при розмноженні винограду </w:t>
      </w:r>
      <w:r w:rsidR="00C85F8F"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так і (особливо) при переведенні рослин у неконтрольовані умови </w:t>
      </w:r>
      <w:r w:rsidR="000553AD" w:rsidRPr="00CC7883">
        <w:rPr>
          <w:i/>
          <w:iCs/>
          <w:color w:val="000000" w:themeColor="text1"/>
          <w:sz w:val="28"/>
          <w:szCs w:val="28"/>
          <w:lang w:eastAsia="en-US"/>
        </w:rPr>
        <w:t>in vivo</w:t>
      </w:r>
      <w:r w:rsidR="005A0087" w:rsidRPr="00CC7883">
        <w:rPr>
          <w:rFonts w:ascii="Times New Roman" w:hAnsi="Times New Roman" w:cs="Times New Roman"/>
          <w:color w:val="000000" w:themeColor="text1"/>
          <w:sz w:val="28"/>
          <w:szCs w:val="28"/>
        </w:rPr>
        <w:t xml:space="preserve"> [2</w:t>
      </w:r>
      <w:r w:rsidR="002D22A1" w:rsidRPr="00CC7883">
        <w:rPr>
          <w:rFonts w:ascii="Times New Roman" w:hAnsi="Times New Roman" w:cs="Times New Roman"/>
          <w:color w:val="000000" w:themeColor="text1"/>
          <w:sz w:val="28"/>
          <w:szCs w:val="28"/>
        </w:rPr>
        <w:t>70</w:t>
      </w:r>
      <w:r w:rsidRPr="00CC7883">
        <w:rPr>
          <w:rFonts w:ascii="Times New Roman" w:hAnsi="Times New Roman" w:cs="Times New Roman"/>
          <w:color w:val="000000" w:themeColor="text1"/>
          <w:sz w:val="28"/>
          <w:szCs w:val="28"/>
        </w:rPr>
        <w:t xml:space="preserve">]. Для підвищення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ої здатності мікроклонів винограду </w:t>
      </w:r>
      <w:r w:rsidRPr="00CC7883">
        <w:rPr>
          <w:rFonts w:ascii="Times New Roman" w:hAnsi="Times New Roman" w:cs="Times New Roman"/>
          <w:i/>
          <w:color w:val="000000" w:themeColor="text1"/>
          <w:sz w:val="28"/>
          <w:szCs w:val="28"/>
        </w:rPr>
        <w:t xml:space="preserve">in vitro </w:t>
      </w:r>
      <w:r w:rsidRPr="00CC7883">
        <w:rPr>
          <w:rFonts w:ascii="Times New Roman" w:hAnsi="Times New Roman" w:cs="Times New Roman"/>
          <w:iCs/>
          <w:color w:val="000000" w:themeColor="text1"/>
          <w:sz w:val="28"/>
          <w:szCs w:val="28"/>
        </w:rPr>
        <w:t xml:space="preserve">також успішно </w:t>
      </w:r>
      <w:r w:rsidRPr="00CC7883">
        <w:rPr>
          <w:rFonts w:ascii="Times New Roman" w:hAnsi="Times New Roman" w:cs="Times New Roman"/>
          <w:color w:val="000000" w:themeColor="text1"/>
          <w:sz w:val="28"/>
          <w:szCs w:val="28"/>
        </w:rPr>
        <w:t xml:space="preserve">використовують ПЕГ, освітлення світлодіодами, фітогормони.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роботах Mohsen</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A. et</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al., Topçu Altinci N. &amp; Cangi R. для сортів винограду «Paulsen 1103», «Ruggeri 140», «Ramsey», «Dog Ridge», «Sultani», «Çalkarası», «Emir», «Boğazkere», «Öküzgözü», «Narince» показано, що внесення 2–6 % ПЕГ у поживне середовище MS сприяло підвищенню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ої здатності до 77,0–84,0 % [18</w:t>
      </w:r>
      <w:r w:rsidR="005A0087" w:rsidRPr="00CC7883">
        <w:rPr>
          <w:rFonts w:ascii="Times New Roman" w:hAnsi="Times New Roman" w:cs="Times New Roman"/>
          <w:color w:val="000000" w:themeColor="text1"/>
          <w:sz w:val="28"/>
          <w:szCs w:val="28"/>
        </w:rPr>
        <w:t>3</w:t>
      </w:r>
      <w:r w:rsidR="00EC1E77" w:rsidRPr="00F62136">
        <w:rPr>
          <w:rFonts w:ascii="Times New Roman" w:hAnsi="Times New Roman" w:cs="Times New Roman"/>
          <w:color w:val="000000" w:themeColor="text1"/>
          <w:sz w:val="28"/>
          <w:szCs w:val="28"/>
        </w:rPr>
        <w:t>,</w:t>
      </w:r>
      <w:r w:rsidR="005B16DD" w:rsidRPr="00CC7883">
        <w:rPr>
          <w:rFonts w:ascii="Times New Roman" w:hAnsi="Times New Roman" w:cs="Times New Roman"/>
          <w:color w:val="000000" w:themeColor="text1"/>
          <w:sz w:val="28"/>
          <w:szCs w:val="28"/>
        </w:rPr>
        <w:t xml:space="preserve"> 2</w:t>
      </w:r>
      <w:r w:rsidR="005A0087" w:rsidRPr="00CC7883">
        <w:rPr>
          <w:rFonts w:ascii="Times New Roman" w:hAnsi="Times New Roman" w:cs="Times New Roman"/>
          <w:color w:val="000000" w:themeColor="text1"/>
          <w:sz w:val="28"/>
          <w:szCs w:val="28"/>
        </w:rPr>
        <w:t>4</w:t>
      </w:r>
      <w:r w:rsidR="002D22A1" w:rsidRPr="00CC7883">
        <w:rPr>
          <w:rFonts w:ascii="Times New Roman" w:hAnsi="Times New Roman" w:cs="Times New Roman"/>
          <w:color w:val="000000" w:themeColor="text1"/>
          <w:sz w:val="28"/>
          <w:szCs w:val="28"/>
        </w:rPr>
        <w:t>8</w:t>
      </w:r>
      <w:r w:rsidRPr="00CC7883">
        <w:rPr>
          <w:rFonts w:ascii="Times New Roman" w:hAnsi="Times New Roman" w:cs="Times New Roman"/>
          <w:color w:val="000000" w:themeColor="text1"/>
          <w:sz w:val="28"/>
          <w:szCs w:val="28"/>
        </w:rPr>
        <w:t xml:space="preserve">]. Подібні результати були отримані Гогулінською О. І. при вивченні модельної посухи в умовах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Внесення ПЕГ до поживного середовища MS призводило до зменшення загального обводнення тканин мікроклонів винограду в середньому до 72,2–86,8 % та зниження вмісту легко</w:t>
      </w:r>
      <w:r w:rsidR="00DE05AD">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тримуваної води до 36,4–57,5 % (у контрольних рослин ці показники дорівнювали відповідно 85,6–86,8 % та 56,6–63,8 %</w:t>
      </w:r>
      <w:r w:rsidR="001B1007">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005B16DD" w:rsidRPr="00CC7883">
        <w:rPr>
          <w:rFonts w:ascii="Times New Roman" w:hAnsi="Times New Roman" w:cs="Times New Roman"/>
          <w:color w:val="000000" w:themeColor="text1"/>
          <w:sz w:val="28"/>
          <w:szCs w:val="28"/>
        </w:rPr>
        <w:t>9</w:t>
      </w:r>
      <w:r w:rsidRPr="00CC7883">
        <w:rPr>
          <w:rFonts w:ascii="Times New Roman" w:hAnsi="Times New Roman" w:cs="Times New Roman"/>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дослідженні Troncoso</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A. </w:t>
      </w:r>
      <w:r w:rsidR="006E59CE" w:rsidRPr="00CC7883">
        <w:rPr>
          <w:rFonts w:ascii="Times New Roman" w:hAnsi="Times New Roman" w:cs="Times New Roman"/>
          <w:color w:val="000000" w:themeColor="text1"/>
          <w:sz w:val="28"/>
          <w:szCs w:val="28"/>
        </w:rPr>
        <w:t>e</w:t>
      </w:r>
      <w:r w:rsidRPr="00CC7883">
        <w:rPr>
          <w:rFonts w:ascii="Times New Roman" w:hAnsi="Times New Roman" w:cs="Times New Roman"/>
          <w:color w:val="000000" w:themeColor="text1"/>
          <w:sz w:val="28"/>
          <w:szCs w:val="28"/>
        </w:rPr>
        <w:t>t</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al. було проаналізовано вплив різних концентрацій NaCl (0–155 мМ) в умовах </w:t>
      </w:r>
      <w:r w:rsidR="00C85F8F"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(середовище VID) </w:t>
      </w:r>
      <w:r w:rsidRPr="00CC7883">
        <w:rPr>
          <w:rFonts w:ascii="Times New Roman" w:hAnsi="Times New Roman" w:cs="Times New Roman"/>
          <w:bCs/>
          <w:color w:val="000000" w:themeColor="text1"/>
          <w:sz w:val="28"/>
          <w:szCs w:val="28"/>
        </w:rPr>
        <w:t xml:space="preserve">на показник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bCs/>
          <w:color w:val="000000" w:themeColor="text1"/>
          <w:sz w:val="28"/>
          <w:szCs w:val="28"/>
        </w:rPr>
        <w:t>ої здатності</w:t>
      </w:r>
      <w:r w:rsidRPr="00CC7883">
        <w:rPr>
          <w:rFonts w:ascii="Times New Roman" w:hAnsi="Times New Roman" w:cs="Times New Roman"/>
          <w:color w:val="000000" w:themeColor="text1"/>
          <w:sz w:val="28"/>
          <w:szCs w:val="28"/>
        </w:rPr>
        <w:t xml:space="preserve"> мікроклонів винограду підщеп «41В», «Rupestrisdulot», «110R», «140R», «161-49 Couderc», «13.5 Evex, Ramsey», «196-17 Castel», «Суперіор», а також клонів «CH-1» і «CH-2». Показано, що рослини чутливих генотипів («41В», «Rupestris du lot», «110R», «140R») під дією NaCl характеризувалися </w:t>
      </w:r>
      <w:r w:rsidRPr="00CC7883">
        <w:rPr>
          <w:rFonts w:ascii="Times New Roman" w:hAnsi="Times New Roman" w:cs="Times New Roman"/>
          <w:bCs/>
          <w:color w:val="000000" w:themeColor="text1"/>
          <w:sz w:val="28"/>
          <w:szCs w:val="28"/>
        </w:rPr>
        <w:t xml:space="preserve">зниженням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bCs/>
          <w:color w:val="000000" w:themeColor="text1"/>
          <w:sz w:val="28"/>
          <w:szCs w:val="28"/>
        </w:rPr>
        <w:t>ої здатності до 80,0–83,7 % (в порівнянні з контролем – 87,8–96,1 %). У помірно стійких підщеп («161-49», «13.5 Evex, Ramsey») цей показник становив 82,5–87,5 %</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lastRenderedPageBreak/>
        <w:t>у толерантних («196-17 Castel», «Суперіор», «CH-1», «CH-2») – зберігався на рівні 85,0–90,0 %, що свідчить про здатність цих генотипів підтримувати відносно стабільний водний статус у стресових умовах [</w:t>
      </w:r>
      <w:r w:rsidR="005A0087" w:rsidRPr="00CC7883">
        <w:rPr>
          <w:rFonts w:ascii="Times New Roman" w:hAnsi="Times New Roman" w:cs="Times New Roman"/>
          <w:color w:val="000000" w:themeColor="text1"/>
          <w:sz w:val="28"/>
        </w:rPr>
        <w:t>24</w:t>
      </w:r>
      <w:r w:rsidR="002D22A1" w:rsidRPr="00CC7883">
        <w:rPr>
          <w:rFonts w:ascii="Times New Roman" w:hAnsi="Times New Roman" w:cs="Times New Roman"/>
          <w:color w:val="000000" w:themeColor="text1"/>
          <w:sz w:val="28"/>
        </w:rPr>
        <w:t>9</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роботі Gribaudo</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I. </w:t>
      </w:r>
      <w:r w:rsidR="006E59CE" w:rsidRPr="00CC7883">
        <w:rPr>
          <w:rFonts w:ascii="Times New Roman" w:hAnsi="Times New Roman" w:cs="Times New Roman"/>
          <w:color w:val="000000" w:themeColor="text1"/>
          <w:sz w:val="28"/>
          <w:szCs w:val="28"/>
        </w:rPr>
        <w:t>e</w:t>
      </w:r>
      <w:r w:rsidRPr="00CC7883">
        <w:rPr>
          <w:rFonts w:ascii="Times New Roman" w:hAnsi="Times New Roman" w:cs="Times New Roman"/>
          <w:color w:val="000000" w:themeColor="text1"/>
          <w:sz w:val="28"/>
          <w:szCs w:val="28"/>
        </w:rPr>
        <w:t>t</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al. показано, що рівень вентиляції культурального посуду інтенсивно впливає на водний стан та здатність затримувати воду у тканинах мікроклонів винограду сорту «Nebbiolo» в умовах </w:t>
      </w:r>
      <w:r w:rsidR="00C85F8F"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При використанні кришечок з великими отворами (40 мм)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а здатність рослин знижувалась до 65,0–70,0 % </w:t>
      </w:r>
      <w:r w:rsidR="005E11E7">
        <w:rPr>
          <w:rFonts w:ascii="Times New Roman" w:hAnsi="Times New Roman" w:cs="Times New Roman"/>
          <w:color w:val="000000" w:themeColor="text1"/>
          <w:sz w:val="28"/>
          <w:szCs w:val="28"/>
        </w:rPr>
        <w:t>порівняно</w:t>
      </w:r>
      <w:r w:rsidRPr="00CC7883">
        <w:rPr>
          <w:rFonts w:ascii="Times New Roman" w:hAnsi="Times New Roman" w:cs="Times New Roman"/>
          <w:color w:val="000000" w:themeColor="text1"/>
          <w:sz w:val="28"/>
          <w:szCs w:val="28"/>
        </w:rPr>
        <w:t xml:space="preserve"> з контролем (без отворів) – 90,0–95,0 %</w:t>
      </w:r>
      <w:r w:rsidR="005B16DD" w:rsidRPr="00CC7883">
        <w:rPr>
          <w:rFonts w:ascii="Times New Roman" w:hAnsi="Times New Roman" w:cs="Times New Roman"/>
          <w:color w:val="000000" w:themeColor="text1"/>
          <w:sz w:val="28"/>
          <w:szCs w:val="28"/>
        </w:rPr>
        <w:t xml:space="preserve"> [41</w:t>
      </w:r>
      <w:r w:rsidR="00EC1E77" w:rsidRPr="00F62136">
        <w:rPr>
          <w:rFonts w:ascii="Times New Roman" w:hAnsi="Times New Roman" w:cs="Times New Roman"/>
          <w:color w:val="000000" w:themeColor="text1"/>
          <w:sz w:val="28"/>
          <w:szCs w:val="28"/>
          <w:lang w:val="ru-RU"/>
        </w:rPr>
        <w:t>,</w:t>
      </w:r>
      <w:r w:rsidR="004A5636" w:rsidRPr="00CC7883">
        <w:rPr>
          <w:rFonts w:ascii="Times New Roman" w:hAnsi="Times New Roman" w:cs="Times New Roman"/>
          <w:color w:val="000000" w:themeColor="text1"/>
          <w:sz w:val="28"/>
          <w:szCs w:val="28"/>
        </w:rPr>
        <w:t xml:space="preserve"> </w:t>
      </w:r>
      <w:r w:rsidR="005B16DD" w:rsidRPr="00CC7883">
        <w:rPr>
          <w:rFonts w:ascii="Times New Roman" w:hAnsi="Times New Roman" w:cs="Times New Roman"/>
          <w:color w:val="000000" w:themeColor="text1"/>
          <w:sz w:val="28"/>
          <w:szCs w:val="28"/>
        </w:rPr>
        <w:t>127</w:t>
      </w:r>
      <w:r w:rsidRPr="00CC7883">
        <w:rPr>
          <w:rFonts w:ascii="Times New Roman" w:hAnsi="Times New Roman" w:cs="Times New Roman"/>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u w:val="single"/>
        </w:rPr>
        <w:t>Загальне обводнення.</w:t>
      </w:r>
      <w:r w:rsidR="008323EC" w:rsidRPr="001213D6">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 xml:space="preserve">Адаптація рослин, вирощених </w:t>
      </w:r>
      <w:r w:rsidRPr="00CC7883">
        <w:rPr>
          <w:rFonts w:ascii="Times New Roman" w:hAnsi="Times New Roman" w:cs="Times New Roman"/>
          <w:i/>
          <w:iCs/>
          <w:color w:val="000000" w:themeColor="text1"/>
          <w:sz w:val="28"/>
          <w:szCs w:val="28"/>
        </w:rPr>
        <w:t>in vitro</w:t>
      </w:r>
      <w:r w:rsidR="001213D6">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до умов </w:t>
      </w:r>
      <w:r w:rsidR="000553AD" w:rsidRPr="00CC7883">
        <w:rPr>
          <w:i/>
          <w:iCs/>
          <w:color w:val="000000" w:themeColor="text1"/>
          <w:sz w:val="28"/>
          <w:szCs w:val="28"/>
          <w:lang w:eastAsia="en-US"/>
        </w:rPr>
        <w:t>in vivo</w:t>
      </w:r>
      <w:r w:rsidRPr="00CC7883">
        <w:rPr>
          <w:rFonts w:ascii="Times New Roman" w:hAnsi="Times New Roman" w:cs="Times New Roman"/>
          <w:color w:val="000000" w:themeColor="text1"/>
          <w:sz w:val="28"/>
          <w:szCs w:val="28"/>
        </w:rPr>
        <w:t xml:space="preserve"> значною мірою залежить від балансу між загальним вмістом води та сухої речовини в рослині. Рослини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зазвичай вирощуються в контрольованих умовах з високою вологістю, обмеженим доступом світла і відсутністю стресових факторів, притаманних природним умовам. Це призводить до того, що рослини мають високий вміст води і низький вміст сухої речовини, зокрема клітковини, що робить їх менш стійкими до стре</w:t>
      </w:r>
      <w:r w:rsidR="005B16DD" w:rsidRPr="00CC7883">
        <w:rPr>
          <w:rFonts w:ascii="Times New Roman" w:hAnsi="Times New Roman" w:cs="Times New Roman"/>
          <w:color w:val="000000" w:themeColor="text1"/>
          <w:sz w:val="28"/>
          <w:szCs w:val="28"/>
        </w:rPr>
        <w:t>сів і механічних пошкоджень [129</w:t>
      </w:r>
      <w:r w:rsidRPr="00CC7883">
        <w:rPr>
          <w:rFonts w:ascii="Times New Roman" w:hAnsi="Times New Roman" w:cs="Times New Roman"/>
          <w:color w:val="000000" w:themeColor="text1"/>
          <w:sz w:val="28"/>
          <w:szCs w:val="28"/>
        </w:rPr>
        <w:t xml:space="preserve">]. При перенесенні рослин </w:t>
      </w:r>
      <w:r w:rsidRPr="00CC7883">
        <w:rPr>
          <w:rFonts w:ascii="Times New Roman" w:hAnsi="Times New Roman" w:cs="Times New Roman"/>
          <w:i/>
          <w:iCs/>
          <w:color w:val="000000" w:themeColor="text1"/>
          <w:sz w:val="28"/>
          <w:szCs w:val="28"/>
        </w:rPr>
        <w:t xml:space="preserve">in vitro </w:t>
      </w:r>
      <w:r w:rsidRPr="00CC7883">
        <w:rPr>
          <w:rFonts w:ascii="Times New Roman" w:hAnsi="Times New Roman" w:cs="Times New Roman"/>
          <w:color w:val="000000" w:themeColor="text1"/>
          <w:sz w:val="28"/>
          <w:szCs w:val="28"/>
        </w:rPr>
        <w:t xml:space="preserve">в умови </w:t>
      </w:r>
      <w:r w:rsidR="000553AD" w:rsidRPr="00CC7883">
        <w:rPr>
          <w:i/>
          <w:iCs/>
          <w:color w:val="000000" w:themeColor="text1"/>
          <w:sz w:val="28"/>
          <w:szCs w:val="28"/>
          <w:lang w:eastAsia="en-US"/>
        </w:rPr>
        <w:t>in vivo</w:t>
      </w:r>
      <w:r w:rsidRPr="00CC7883">
        <w:rPr>
          <w:rFonts w:ascii="Times New Roman" w:hAnsi="Times New Roman" w:cs="Times New Roman"/>
          <w:color w:val="000000" w:themeColor="text1"/>
          <w:sz w:val="28"/>
          <w:szCs w:val="28"/>
        </w:rPr>
        <w:t xml:space="preserve"> важливо, щоб рослини адаптувалися до нових умов, які включають знижену вологість, зміну освітлення, коливання температури. Рослини з вищим вмістом сухої речовини зазвичай краще адаптуються до таких умов, оскільки вони більш стійкі до нестачі води та механічних пошкоджень. Це означає, що для успішної адаптації рослин до умов </w:t>
      </w:r>
      <w:r w:rsidR="000553AD" w:rsidRPr="00CC7883">
        <w:rPr>
          <w:i/>
          <w:iCs/>
          <w:color w:val="000000" w:themeColor="text1"/>
          <w:sz w:val="28"/>
          <w:szCs w:val="28"/>
          <w:lang w:eastAsia="en-US"/>
        </w:rPr>
        <w:t>in vivo</w:t>
      </w:r>
      <w:r w:rsidRPr="00CC7883">
        <w:rPr>
          <w:rFonts w:ascii="Times New Roman" w:hAnsi="Times New Roman" w:cs="Times New Roman"/>
          <w:color w:val="000000" w:themeColor="text1"/>
          <w:sz w:val="28"/>
          <w:szCs w:val="28"/>
        </w:rPr>
        <w:t xml:space="preserve"> важливо поступово акліматизувати їх до менш вологих умов і сприяти збільшенню вмісту сухої речовини, що включає зміни в поглинанні поживних речовин, освітленні та ін</w:t>
      </w:r>
      <w:r w:rsidR="005B16DD" w:rsidRPr="00CC7883">
        <w:rPr>
          <w:rFonts w:ascii="Times New Roman" w:hAnsi="Times New Roman" w:cs="Times New Roman"/>
          <w:color w:val="000000" w:themeColor="text1"/>
          <w:sz w:val="28"/>
          <w:szCs w:val="28"/>
        </w:rPr>
        <w:t>ших умовах вирощування [137</w:t>
      </w:r>
      <w:r w:rsidR="00EC1E77" w:rsidRPr="00F62136">
        <w:rPr>
          <w:rFonts w:ascii="Times New Roman" w:hAnsi="Times New Roman" w:cs="Times New Roman"/>
          <w:color w:val="000000" w:themeColor="text1"/>
          <w:sz w:val="28"/>
          <w:szCs w:val="28"/>
        </w:rPr>
        <w:t>,</w:t>
      </w:r>
      <w:r w:rsidR="00607EC5" w:rsidRPr="00CC7883">
        <w:rPr>
          <w:rFonts w:ascii="Times New Roman" w:hAnsi="Times New Roman" w:cs="Times New Roman"/>
          <w:color w:val="000000" w:themeColor="text1"/>
          <w:sz w:val="28"/>
          <w:szCs w:val="28"/>
        </w:rPr>
        <w:t xml:space="preserve"> 15</w:t>
      </w:r>
      <w:r w:rsidR="005A0087" w:rsidRPr="00CC7883">
        <w:rPr>
          <w:rFonts w:ascii="Times New Roman" w:hAnsi="Times New Roman" w:cs="Times New Roman"/>
          <w:color w:val="000000" w:themeColor="text1"/>
          <w:sz w:val="28"/>
          <w:szCs w:val="28"/>
        </w:rPr>
        <w:t>5</w:t>
      </w:r>
      <w:r w:rsidRPr="00CC7883">
        <w:rPr>
          <w:rFonts w:ascii="Times New Roman" w:hAnsi="Times New Roman" w:cs="Times New Roman"/>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b/>
          <w:bCs/>
          <w:color w:val="000000" w:themeColor="text1"/>
          <w:sz w:val="28"/>
          <w:szCs w:val="28"/>
        </w:rPr>
      </w:pPr>
      <w:r w:rsidRPr="00CC7883">
        <w:rPr>
          <w:rFonts w:ascii="Times New Roman" w:hAnsi="Times New Roman" w:cs="Times New Roman"/>
          <w:color w:val="000000" w:themeColor="text1"/>
          <w:sz w:val="28"/>
          <w:szCs w:val="28"/>
        </w:rPr>
        <w:t>Ключові відмінності у реакції рослин петунії гібридної (</w:t>
      </w:r>
      <w:r w:rsidRPr="00CC7883">
        <w:rPr>
          <w:rFonts w:ascii="Times New Roman" w:hAnsi="Times New Roman" w:cs="Times New Roman"/>
          <w:i/>
          <w:iCs/>
          <w:color w:val="000000" w:themeColor="text1"/>
          <w:sz w:val="28"/>
          <w:szCs w:val="28"/>
        </w:rPr>
        <w:t>Petunia hybrida</w:t>
      </w:r>
      <w:r w:rsidRPr="00CC7883">
        <w:rPr>
          <w:rFonts w:ascii="Times New Roman" w:hAnsi="Times New Roman" w:cs="Times New Roman"/>
          <w:color w:val="000000" w:themeColor="text1"/>
          <w:sz w:val="28"/>
          <w:szCs w:val="28"/>
        </w:rPr>
        <w:t xml:space="preserve"> hort. ex E. Vilm.) та гарбуза звичайного (</w:t>
      </w:r>
      <w:r w:rsidRPr="00CC7883">
        <w:rPr>
          <w:rFonts w:ascii="Times New Roman" w:hAnsi="Times New Roman" w:cs="Times New Roman"/>
          <w:i/>
          <w:color w:val="000000" w:themeColor="text1"/>
          <w:sz w:val="28"/>
          <w:szCs w:val="28"/>
        </w:rPr>
        <w:t>Cucurbita pepo</w:t>
      </w:r>
      <w:r w:rsidR="0066793F">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L.) на зміну відносної вологості повітря у контрольованих умовах показані</w:t>
      </w:r>
      <w:r w:rsidR="004B244E" w:rsidRPr="00F62136">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у дослідженні Nepi</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M. </w:t>
      </w:r>
      <w:r w:rsidR="00694F30" w:rsidRPr="00CC7883">
        <w:rPr>
          <w:rFonts w:ascii="Times New Roman" w:hAnsi="Times New Roman" w:cs="Times New Roman"/>
          <w:color w:val="000000" w:themeColor="text1"/>
          <w:sz w:val="28"/>
          <w:szCs w:val="28"/>
        </w:rPr>
        <w:t>e</w:t>
      </w:r>
      <w:r w:rsidRPr="00CC7883">
        <w:rPr>
          <w:rFonts w:ascii="Times New Roman" w:hAnsi="Times New Roman" w:cs="Times New Roman"/>
          <w:color w:val="000000" w:themeColor="text1"/>
          <w:sz w:val="28"/>
          <w:szCs w:val="28"/>
        </w:rPr>
        <w:t>t</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al. При зниженні вологості у культуральних єм</w:t>
      </w:r>
      <w:r w:rsidR="00404252" w:rsidRPr="00CC7883">
        <w:rPr>
          <w:rFonts w:ascii="Times New Roman" w:hAnsi="Times New Roman" w:cs="Times New Roman"/>
          <w:color w:val="000000" w:themeColor="text1"/>
          <w:sz w:val="28"/>
          <w:szCs w:val="28"/>
        </w:rPr>
        <w:t>н</w:t>
      </w:r>
      <w:r w:rsidRPr="00CC7883">
        <w:rPr>
          <w:rFonts w:ascii="Times New Roman" w:hAnsi="Times New Roman" w:cs="Times New Roman"/>
          <w:color w:val="000000" w:themeColor="text1"/>
          <w:sz w:val="28"/>
          <w:szCs w:val="28"/>
        </w:rPr>
        <w:t xml:space="preserve">остях до 30 % </w:t>
      </w:r>
      <w:r w:rsidRPr="00CC7883">
        <w:rPr>
          <w:rFonts w:ascii="Times New Roman" w:hAnsi="Times New Roman" w:cs="Times New Roman"/>
          <w:i/>
          <w:color w:val="000000" w:themeColor="text1"/>
          <w:sz w:val="28"/>
          <w:szCs w:val="28"/>
        </w:rPr>
        <w:t>P. hybrida</w:t>
      </w:r>
      <w:r w:rsidRPr="00CC7883">
        <w:rPr>
          <w:rFonts w:ascii="Times New Roman" w:hAnsi="Times New Roman" w:cs="Times New Roman"/>
          <w:color w:val="000000" w:themeColor="text1"/>
          <w:sz w:val="28"/>
          <w:szCs w:val="28"/>
        </w:rPr>
        <w:t xml:space="preserve"> характеризувалася високою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ою здатністю – втрачала лише </w:t>
      </w:r>
      <w:r w:rsidRPr="00CC7883">
        <w:rPr>
          <w:rFonts w:ascii="Times New Roman" w:hAnsi="Times New Roman" w:cs="Times New Roman"/>
          <w:color w:val="000000" w:themeColor="text1"/>
          <w:sz w:val="28"/>
          <w:szCs w:val="28"/>
        </w:rPr>
        <w:lastRenderedPageBreak/>
        <w:t>3,9</w:t>
      </w:r>
      <w:r w:rsidR="004B7F24">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 води за 6 годин; </w:t>
      </w:r>
      <w:r w:rsidRPr="00CC7883">
        <w:rPr>
          <w:rFonts w:ascii="Times New Roman" w:hAnsi="Times New Roman" w:cs="Times New Roman"/>
          <w:i/>
          <w:color w:val="000000" w:themeColor="text1"/>
          <w:sz w:val="28"/>
          <w:szCs w:val="28"/>
        </w:rPr>
        <w:t xml:space="preserve">C. Pepo, </w:t>
      </w:r>
      <w:r w:rsidRPr="00CC7883">
        <w:rPr>
          <w:rFonts w:ascii="Times New Roman" w:hAnsi="Times New Roman" w:cs="Times New Roman"/>
          <w:iCs/>
          <w:color w:val="000000" w:themeColor="text1"/>
          <w:sz w:val="28"/>
          <w:szCs w:val="28"/>
        </w:rPr>
        <w:t xml:space="preserve">навпаки, характеризувався дуже низькою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iCs/>
          <w:color w:val="000000" w:themeColor="text1"/>
          <w:sz w:val="28"/>
          <w:szCs w:val="28"/>
        </w:rPr>
        <w:t>ою</w:t>
      </w:r>
      <w:r w:rsidRPr="00CC7883">
        <w:rPr>
          <w:rFonts w:ascii="Times New Roman" w:hAnsi="Times New Roman" w:cs="Times New Roman"/>
          <w:color w:val="000000" w:themeColor="text1"/>
          <w:sz w:val="28"/>
          <w:szCs w:val="28"/>
        </w:rPr>
        <w:t xml:space="preserve"> здатністю, оскільки</w:t>
      </w:r>
      <w:r w:rsidR="0066793F">
        <w:rPr>
          <w:rFonts w:ascii="Times New Roman" w:hAnsi="Times New Roman" w:cs="Times New Roman"/>
          <w:color w:val="000000" w:themeColor="text1"/>
          <w:sz w:val="28"/>
          <w:szCs w:val="28"/>
        </w:rPr>
        <w:t xml:space="preserve"> </w:t>
      </w:r>
      <w:r w:rsidRPr="00CC7883">
        <w:rPr>
          <w:rFonts w:ascii="Times New Roman" w:hAnsi="Times New Roman" w:cs="Times New Roman"/>
          <w:iCs/>
          <w:color w:val="000000" w:themeColor="text1"/>
          <w:sz w:val="28"/>
          <w:szCs w:val="28"/>
        </w:rPr>
        <w:t xml:space="preserve">втрачав 34,0 % вологи всього </w:t>
      </w:r>
      <w:r w:rsidRPr="00CC7883">
        <w:rPr>
          <w:rFonts w:ascii="Times New Roman" w:hAnsi="Times New Roman" w:cs="Times New Roman"/>
          <w:color w:val="000000" w:themeColor="text1"/>
          <w:sz w:val="28"/>
          <w:szCs w:val="28"/>
        </w:rPr>
        <w:t xml:space="preserve">за 90 хв. </w:t>
      </w:r>
      <w:r w:rsidRPr="00CC7883">
        <w:rPr>
          <w:rFonts w:ascii="Times New Roman" w:hAnsi="Times New Roman" w:cs="Times New Roman"/>
          <w:bCs/>
          <w:color w:val="000000" w:themeColor="text1"/>
          <w:sz w:val="28"/>
          <w:szCs w:val="28"/>
        </w:rPr>
        <w:t xml:space="preserve">За даними досліду, приблизно 65,0–70,0 % рослин </w:t>
      </w:r>
      <w:r w:rsidR="00C85F8F" w:rsidRPr="00CC7883">
        <w:rPr>
          <w:rFonts w:ascii="Times New Roman" w:hAnsi="Times New Roman" w:cs="Times New Roman"/>
          <w:i/>
          <w:iCs/>
          <w:color w:val="000000" w:themeColor="text1"/>
          <w:sz w:val="28"/>
          <w:szCs w:val="28"/>
        </w:rPr>
        <w:t>in vitro</w:t>
      </w:r>
      <w:r w:rsidRPr="00CC7883">
        <w:rPr>
          <w:rFonts w:ascii="Times New Roman" w:hAnsi="Times New Roman" w:cs="Times New Roman"/>
          <w:bCs/>
          <w:color w:val="000000" w:themeColor="text1"/>
          <w:sz w:val="28"/>
          <w:szCs w:val="28"/>
        </w:rPr>
        <w:t xml:space="preserve"> успішно адаптувалися протягом першого місяця, тоді як контрольні рослини з насіння мали приживлюваність понад 90,0 % </w:t>
      </w:r>
      <w:r w:rsidRPr="00CC7883">
        <w:rPr>
          <w:rFonts w:ascii="Times New Roman" w:hAnsi="Times New Roman" w:cs="Times New Roman"/>
          <w:color w:val="000000" w:themeColor="text1"/>
          <w:sz w:val="28"/>
          <w:szCs w:val="28"/>
        </w:rPr>
        <w:t>[</w:t>
      </w:r>
      <w:r w:rsidR="005B16DD" w:rsidRPr="00CC7883">
        <w:rPr>
          <w:rFonts w:ascii="Times New Roman" w:hAnsi="Times New Roman" w:cs="Times New Roman"/>
          <w:color w:val="000000" w:themeColor="text1"/>
          <w:sz w:val="28"/>
          <w:szCs w:val="28"/>
        </w:rPr>
        <w:t>19</w:t>
      </w:r>
      <w:r w:rsidR="005A0087" w:rsidRPr="00CC7883">
        <w:rPr>
          <w:rFonts w:ascii="Times New Roman" w:hAnsi="Times New Roman" w:cs="Times New Roman"/>
          <w:color w:val="000000" w:themeColor="text1"/>
          <w:sz w:val="28"/>
          <w:szCs w:val="28"/>
        </w:rPr>
        <w:t>1</w:t>
      </w:r>
      <w:r w:rsidRPr="00CC7883">
        <w:rPr>
          <w:rFonts w:ascii="Times New Roman" w:hAnsi="Times New Roman" w:cs="Times New Roman"/>
          <w:color w:val="000000" w:themeColor="text1"/>
          <w:sz w:val="28"/>
          <w:szCs w:val="28"/>
        </w:rPr>
        <w:t>]</w:t>
      </w:r>
      <w:r w:rsidRPr="00CC7883">
        <w:rPr>
          <w:rFonts w:ascii="Times New Roman" w:hAnsi="Times New Roman" w:cs="Times New Roman"/>
          <w:bCs/>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Температура також істотно впливає на вміст загальної води та сухих речовин у рослин, вирощених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Так Cha-um S. </w:t>
      </w:r>
      <w:r w:rsidR="00694F30" w:rsidRPr="00CC7883">
        <w:rPr>
          <w:rFonts w:ascii="Times New Roman" w:eastAsia="Times New Roman" w:hAnsi="Times New Roman" w:cs="Times New Roman"/>
          <w:color w:val="000000" w:themeColor="text1"/>
          <w:sz w:val="28"/>
          <w:szCs w:val="28"/>
        </w:rPr>
        <w:t>et al.</w:t>
      </w:r>
      <w:r w:rsidRPr="00CC7883">
        <w:rPr>
          <w:rFonts w:ascii="Times New Roman" w:hAnsi="Times New Roman" w:cs="Times New Roman"/>
          <w:color w:val="000000" w:themeColor="text1"/>
          <w:sz w:val="28"/>
          <w:szCs w:val="28"/>
        </w:rPr>
        <w:t xml:space="preserve"> і Fialhodos</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Santos</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K. C. et</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al. встановлено, що при культивуванні рослин роду фаленопсис (</w:t>
      </w:r>
      <w:r w:rsidRPr="00CC7883">
        <w:rPr>
          <w:rFonts w:ascii="Times New Roman" w:hAnsi="Times New Roman" w:cs="Times New Roman"/>
          <w:i/>
          <w:iCs/>
          <w:color w:val="000000" w:themeColor="text1"/>
          <w:sz w:val="28"/>
          <w:szCs w:val="28"/>
        </w:rPr>
        <w:t xml:space="preserve">Phalaenopsis </w:t>
      </w:r>
      <w:r w:rsidRPr="00CC7883">
        <w:rPr>
          <w:rFonts w:ascii="Times New Roman" w:hAnsi="Times New Roman" w:cs="Times New Roman"/>
          <w:color w:val="000000" w:themeColor="text1"/>
          <w:sz w:val="28"/>
          <w:szCs w:val="28"/>
        </w:rPr>
        <w:t>spp</w:t>
      </w:r>
      <w:r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 xml:space="preserve">Blume), троянди </w:t>
      </w:r>
      <w:r w:rsidR="001D1AC1" w:rsidRPr="00CC7883">
        <w:rPr>
          <w:rFonts w:ascii="Times New Roman" w:hAnsi="Times New Roman" w:cs="Times New Roman"/>
          <w:color w:val="000000" w:themeColor="text1"/>
          <w:sz w:val="28"/>
          <w:szCs w:val="28"/>
        </w:rPr>
        <w:t>гібридної</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iCs/>
          <w:color w:val="000000" w:themeColor="text1"/>
          <w:sz w:val="28"/>
          <w:szCs w:val="28"/>
        </w:rPr>
        <w:t>Rosa</w:t>
      </w:r>
      <w:r w:rsidR="004B244E" w:rsidRPr="00F62136">
        <w:rPr>
          <w:rFonts w:ascii="Times New Roman" w:hAnsi="Times New Roman" w:cs="Times New Roman"/>
          <w:i/>
          <w:iCs/>
          <w:color w:val="000000" w:themeColor="text1"/>
          <w:sz w:val="28"/>
          <w:szCs w:val="28"/>
        </w:rPr>
        <w:t xml:space="preserve"> </w:t>
      </w:r>
      <w:r w:rsidRPr="00CC7883">
        <w:rPr>
          <w:rFonts w:ascii="Times New Roman" w:hAnsi="Times New Roman" w:cs="Times New Roman"/>
          <w:i/>
          <w:iCs/>
          <w:color w:val="000000" w:themeColor="text1"/>
          <w:sz w:val="28"/>
          <w:szCs w:val="28"/>
        </w:rPr>
        <w:t>hybrida</w:t>
      </w:r>
      <w:r w:rsidR="00694F30"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L.) і гвоздики садової (</w:t>
      </w:r>
      <w:r w:rsidRPr="00CC7883">
        <w:rPr>
          <w:rFonts w:ascii="Times New Roman" w:hAnsi="Times New Roman" w:cs="Times New Roman"/>
          <w:i/>
          <w:color w:val="000000" w:themeColor="text1"/>
          <w:sz w:val="28"/>
          <w:szCs w:val="28"/>
        </w:rPr>
        <w:t>Dianthus</w:t>
      </w:r>
      <w:r w:rsidR="0066793F">
        <w:rPr>
          <w:rFonts w:ascii="Times New Roman" w:hAnsi="Times New Roman" w:cs="Times New Roman"/>
          <w:i/>
          <w:color w:val="000000" w:themeColor="text1"/>
          <w:sz w:val="28"/>
          <w:szCs w:val="28"/>
        </w:rPr>
        <w:t xml:space="preserve"> </w:t>
      </w:r>
      <w:r w:rsidRPr="00CC7883">
        <w:rPr>
          <w:rFonts w:ascii="Times New Roman" w:hAnsi="Times New Roman" w:cs="Times New Roman"/>
          <w:i/>
          <w:color w:val="000000" w:themeColor="text1"/>
          <w:sz w:val="28"/>
          <w:szCs w:val="28"/>
        </w:rPr>
        <w:t>caryophyllus</w:t>
      </w:r>
      <w:r w:rsidR="00694F30"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 xml:space="preserve">L.) за температури 35 °С загальний вміст води становив 44,0 %, а сухих речовин – 56,0 %. Водночас при зниженні температури до 15–18 °С цей показник змінювався в межах 41,0–94,0 % для води та 6,0–39,0 % для сухих речовин. У роботі Kozai T. et al. зазначено, що за температури 20–23 °С обводнення дорівнювало 85,0 %, а вміст сухих речовин – 15,0 %. Автори підкреслюють, що вже на етапі культивування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xml:space="preserve"> необхідно контролювати мікроклімат у культуральному посуді, оскільки це сприяє формуванню рослин зі зниженим рівнем загального обводнення та більшою стійкі</w:t>
      </w:r>
      <w:r w:rsidR="005B16DD" w:rsidRPr="00CC7883">
        <w:rPr>
          <w:rFonts w:ascii="Times New Roman" w:hAnsi="Times New Roman" w:cs="Times New Roman"/>
          <w:color w:val="000000" w:themeColor="text1"/>
          <w:sz w:val="28"/>
          <w:szCs w:val="28"/>
        </w:rPr>
        <w:t>стю тканин мікроклонів [100</w:t>
      </w:r>
      <w:r w:rsidR="00EC1E77" w:rsidRPr="00F62136">
        <w:rPr>
          <w:rFonts w:ascii="Times New Roman" w:hAnsi="Times New Roman" w:cs="Times New Roman"/>
          <w:color w:val="000000" w:themeColor="text1"/>
          <w:sz w:val="28"/>
          <w:szCs w:val="28"/>
        </w:rPr>
        <w:t>,</w:t>
      </w:r>
      <w:r w:rsidR="00607EC5" w:rsidRPr="00CC7883">
        <w:rPr>
          <w:rFonts w:ascii="Times New Roman" w:hAnsi="Times New Roman" w:cs="Times New Roman"/>
          <w:color w:val="000000" w:themeColor="text1"/>
          <w:sz w:val="28"/>
          <w:szCs w:val="28"/>
        </w:rPr>
        <w:t xml:space="preserve"> 15</w:t>
      </w:r>
      <w:r w:rsidR="005A0087" w:rsidRPr="00CC7883">
        <w:rPr>
          <w:rFonts w:ascii="Times New Roman" w:hAnsi="Times New Roman" w:cs="Times New Roman"/>
          <w:color w:val="000000" w:themeColor="text1"/>
          <w:sz w:val="28"/>
          <w:szCs w:val="28"/>
        </w:rPr>
        <w:t>0</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Значення цих показників змінюється також під впливом інтенсивності освітлення, спектрального складу світла та тривалості фотоперіоду. При вирощуванні </w:t>
      </w:r>
      <w:r w:rsidR="00C85F8F" w:rsidRPr="00CC7883">
        <w:rPr>
          <w:rFonts w:ascii="Times New Roman" w:hAnsi="Times New Roman" w:cs="Times New Roman"/>
          <w:i/>
          <w:iCs/>
          <w:color w:val="000000" w:themeColor="text1"/>
          <w:sz w:val="28"/>
          <w:szCs w:val="28"/>
        </w:rPr>
        <w:t>in vitro</w:t>
      </w:r>
      <w:r w:rsidR="00C85F8F"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тирлича жовтого (</w:t>
      </w:r>
      <w:r w:rsidRPr="00CC7883">
        <w:rPr>
          <w:rFonts w:ascii="Times New Roman" w:hAnsi="Times New Roman" w:cs="Times New Roman"/>
          <w:i/>
          <w:iCs/>
          <w:color w:val="000000" w:themeColor="text1"/>
          <w:sz w:val="28"/>
          <w:szCs w:val="28"/>
        </w:rPr>
        <w:t>Gentiana lutea</w:t>
      </w:r>
      <w:r w:rsidR="00694F30"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L.</w:t>
      </w:r>
      <w:r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Л. Р. Грицак та ін. вивчали вплив спектрального складу світла (різні співвідношення хвиль синього, зеленого та червоного діапазонів) на вміст води та сухих речовин у рослин. Було встановлено, що оптимальним є співвідношення 25 : 27 : 48, яке порівняно з контролем (біле світло) сприяло накопиченню більшої кількості сухих речовин (на 15,0–20,0 %) у тканинах листків та підвищенню загальног</w:t>
      </w:r>
      <w:r w:rsidR="005B16DD" w:rsidRPr="00CC7883">
        <w:rPr>
          <w:rFonts w:ascii="Times New Roman" w:hAnsi="Times New Roman" w:cs="Times New Roman"/>
          <w:color w:val="000000" w:themeColor="text1"/>
          <w:sz w:val="28"/>
          <w:szCs w:val="28"/>
        </w:rPr>
        <w:t>о вмісту води (на 7,5–9,8 %) [12</w:t>
      </w:r>
      <w:r w:rsidRPr="00CC7883">
        <w:rPr>
          <w:rFonts w:ascii="Times New Roman" w:hAnsi="Times New Roman" w:cs="Times New Roman"/>
          <w:color w:val="000000" w:themeColor="text1"/>
          <w:sz w:val="28"/>
          <w:szCs w:val="28"/>
        </w:rPr>
        <w:t>]. Подібні результати були отримані Naznin</w:t>
      </w:r>
      <w:r w:rsidR="00694F3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M. </w:t>
      </w:r>
      <w:r w:rsidR="00E528E0" w:rsidRPr="00CC7883">
        <w:rPr>
          <w:rFonts w:ascii="Times New Roman" w:eastAsia="Times New Roman" w:hAnsi="Times New Roman" w:cs="Times New Roman"/>
          <w:color w:val="000000" w:themeColor="text1"/>
          <w:sz w:val="28"/>
          <w:szCs w:val="28"/>
        </w:rPr>
        <w:t>et al.</w:t>
      </w:r>
      <w:r w:rsidRPr="00CC7883">
        <w:rPr>
          <w:rFonts w:ascii="Times New Roman" w:hAnsi="Times New Roman" w:cs="Times New Roman"/>
          <w:color w:val="000000" w:themeColor="text1"/>
          <w:sz w:val="28"/>
          <w:szCs w:val="28"/>
        </w:rPr>
        <w:t xml:space="preserve"> для мікроклональних рослин помідору їстівного (</w:t>
      </w:r>
      <w:r w:rsidRPr="00CC7883">
        <w:rPr>
          <w:rFonts w:ascii="Times New Roman" w:hAnsi="Times New Roman" w:cs="Times New Roman"/>
          <w:i/>
          <w:color w:val="000000" w:themeColor="text1"/>
          <w:sz w:val="28"/>
        </w:rPr>
        <w:t>Solanum lycopersicum</w:t>
      </w:r>
      <w:r w:rsidRPr="00CC7883">
        <w:rPr>
          <w:rFonts w:ascii="Times New Roman" w:hAnsi="Times New Roman" w:cs="Times New Roman"/>
          <w:color w:val="000000" w:themeColor="text1"/>
          <w:sz w:val="28"/>
        </w:rPr>
        <w:t xml:space="preserve"> L.)</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bCs/>
          <w:color w:val="000000" w:themeColor="text1"/>
          <w:sz w:val="28"/>
          <w:szCs w:val="28"/>
        </w:rPr>
        <w:t>[</w:t>
      </w:r>
      <w:r w:rsidRPr="00CC7883">
        <w:rPr>
          <w:rFonts w:ascii="Times New Roman" w:hAnsi="Times New Roman" w:cs="Times New Roman"/>
          <w:color w:val="000000" w:themeColor="text1"/>
          <w:sz w:val="28"/>
          <w:szCs w:val="28"/>
        </w:rPr>
        <w:t>19</w:t>
      </w:r>
      <w:r w:rsidR="005A0087" w:rsidRPr="00CC7883">
        <w:rPr>
          <w:rFonts w:ascii="Times New Roman" w:hAnsi="Times New Roman" w:cs="Times New Roman"/>
          <w:color w:val="000000" w:themeColor="text1"/>
          <w:sz w:val="28"/>
          <w:szCs w:val="28"/>
        </w:rPr>
        <w:t>1</w:t>
      </w:r>
      <w:r w:rsidRPr="00CC7883">
        <w:rPr>
          <w:rFonts w:ascii="Times New Roman" w:hAnsi="Times New Roman" w:cs="Times New Roman"/>
          <w:bCs/>
          <w:color w:val="000000" w:themeColor="text1"/>
          <w:sz w:val="28"/>
          <w:szCs w:val="28"/>
        </w:rPr>
        <w:t>]</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Laforge F. et al. встановили, що вміст сухих речовин у листках </w:t>
      </w:r>
      <w:r w:rsidRPr="00CC7883">
        <w:rPr>
          <w:rFonts w:ascii="Times New Roman" w:hAnsi="Times New Roman" w:cs="Times New Roman"/>
          <w:color w:val="000000" w:themeColor="text1"/>
          <w:sz w:val="28"/>
          <w:szCs w:val="28"/>
        </w:rPr>
        <w:lastRenderedPageBreak/>
        <w:t xml:space="preserve">мікроклонів </w:t>
      </w:r>
      <w:r w:rsidR="00EA18B0">
        <w:rPr>
          <w:rFonts w:ascii="Times New Roman" w:hAnsi="Times New Roman" w:cs="Times New Roman"/>
          <w:color w:val="000000" w:themeColor="text1"/>
          <w:sz w:val="28"/>
          <w:szCs w:val="28"/>
        </w:rPr>
        <w:t>м</w:t>
      </w:r>
      <w:r w:rsidRPr="00CC7883">
        <w:rPr>
          <w:rFonts w:ascii="Times New Roman" w:hAnsi="Times New Roman" w:cs="Times New Roman"/>
          <w:color w:val="000000" w:themeColor="text1"/>
          <w:sz w:val="28"/>
          <w:szCs w:val="28"/>
        </w:rPr>
        <w:t>алини звичайної (</w:t>
      </w:r>
      <w:r w:rsidRPr="00CC7883">
        <w:rPr>
          <w:rFonts w:ascii="Times New Roman" w:hAnsi="Times New Roman" w:cs="Times New Roman"/>
          <w:i/>
          <w:iCs/>
          <w:color w:val="000000" w:themeColor="text1"/>
          <w:sz w:val="28"/>
          <w:szCs w:val="28"/>
        </w:rPr>
        <w:t xml:space="preserve">Rubus idaeus </w:t>
      </w:r>
      <w:r w:rsidRPr="00CC7883">
        <w:rPr>
          <w:rFonts w:ascii="Times New Roman" w:hAnsi="Times New Roman" w:cs="Times New Roman"/>
          <w:color w:val="000000" w:themeColor="text1"/>
          <w:sz w:val="28"/>
          <w:szCs w:val="28"/>
        </w:rPr>
        <w:t xml:space="preserve">L.) залежав від рівня СО₂ та освітлення. У контрольних варіантах (низький рівень СО₂ та </w:t>
      </w:r>
      <w:r w:rsidRPr="00CC7883">
        <w:rPr>
          <w:rFonts w:ascii="Times New Roman" w:hAnsi="Times New Roman" w:cs="Times New Roman"/>
          <w:bCs/>
          <w:color w:val="000000" w:themeColor="text1"/>
          <w:sz w:val="28"/>
          <w:szCs w:val="28"/>
        </w:rPr>
        <w:t>освітленості</w:t>
      </w:r>
      <w:r w:rsidRPr="00CC7883">
        <w:rPr>
          <w:rFonts w:ascii="Times New Roman" w:hAnsi="Times New Roman" w:cs="Times New Roman"/>
          <w:color w:val="000000" w:themeColor="text1"/>
          <w:sz w:val="28"/>
          <w:szCs w:val="28"/>
        </w:rPr>
        <w:t xml:space="preserve">) цей показник становив 6,0–7,0 %, за умов підвищеного вмісту СО₂ (1000 ppm) та освітленості 150–200 мкмоль м⁻² с⁻¹ він зростав до 12,0–13,0 %. Вміст води у тканинах контрольних мікроклонів дорівнював 93,0–94,0 %, дослідних – знижувався до 87,0–88,0 %. При перенесенні рослин до умов </w:t>
      </w:r>
      <w:r w:rsidR="000553AD" w:rsidRPr="00CC7883">
        <w:rPr>
          <w:i/>
          <w:iCs/>
          <w:color w:val="000000" w:themeColor="text1"/>
          <w:sz w:val="28"/>
          <w:szCs w:val="28"/>
          <w:lang w:eastAsia="en-US"/>
        </w:rPr>
        <w:t>in vivo</w:t>
      </w:r>
      <w:r w:rsidRPr="00CC7883">
        <w:rPr>
          <w:rFonts w:ascii="Times New Roman" w:hAnsi="Times New Roman" w:cs="Times New Roman"/>
          <w:color w:val="000000" w:themeColor="text1"/>
          <w:sz w:val="28"/>
          <w:szCs w:val="28"/>
        </w:rPr>
        <w:t xml:space="preserve"> було встановлено, що в контролі приживлюваність становила 50,0–60,0 %, у варіантах з підвищеним рівнем СО₂ та освітленості – 80,0–90,0 % [15</w:t>
      </w:r>
      <w:r w:rsidR="005A0087" w:rsidRPr="00CC7883">
        <w:rPr>
          <w:rFonts w:ascii="Times New Roman" w:hAnsi="Times New Roman" w:cs="Times New Roman"/>
          <w:color w:val="000000" w:themeColor="text1"/>
          <w:sz w:val="28"/>
          <w:szCs w:val="28"/>
        </w:rPr>
        <w:t>4</w:t>
      </w:r>
      <w:r w:rsidRPr="00CC7883">
        <w:rPr>
          <w:rFonts w:ascii="Times New Roman" w:hAnsi="Times New Roman" w:cs="Times New Roman"/>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Martínez-Santos E. </w:t>
      </w:r>
      <w:r w:rsidR="00E528E0" w:rsidRPr="00CC7883">
        <w:rPr>
          <w:rFonts w:ascii="Times New Roman" w:hAnsi="Times New Roman" w:cs="Times New Roman"/>
          <w:color w:val="000000" w:themeColor="text1"/>
          <w:sz w:val="28"/>
          <w:szCs w:val="28"/>
        </w:rPr>
        <w:t>e</w:t>
      </w:r>
      <w:r w:rsidRPr="00CC7883">
        <w:rPr>
          <w:rFonts w:ascii="Times New Roman" w:hAnsi="Times New Roman" w:cs="Times New Roman"/>
          <w:color w:val="000000" w:themeColor="text1"/>
          <w:sz w:val="28"/>
          <w:szCs w:val="28"/>
        </w:rPr>
        <w:t>t</w:t>
      </w:r>
      <w:r w:rsidR="00E528E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al., Hernández-Pérez C. A. et</w:t>
      </w:r>
      <w:r w:rsidR="00E528E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al. оцінювали зміну вмісту води і сухих речовин у тканинах рослини ванілі плосколистої (</w:t>
      </w:r>
      <w:r w:rsidRPr="00CC7883">
        <w:rPr>
          <w:rFonts w:ascii="Times New Roman" w:hAnsi="Times New Roman" w:cs="Times New Roman"/>
          <w:i/>
          <w:iCs/>
          <w:color w:val="000000" w:themeColor="text1"/>
          <w:sz w:val="28"/>
          <w:szCs w:val="28"/>
        </w:rPr>
        <w:t xml:space="preserve">Vanilla planifolia </w:t>
      </w:r>
      <w:r w:rsidRPr="00CC7883">
        <w:rPr>
          <w:rFonts w:ascii="Times New Roman" w:hAnsi="Times New Roman" w:cs="Times New Roman"/>
          <w:color w:val="000000" w:themeColor="text1"/>
          <w:sz w:val="28"/>
          <w:szCs w:val="28"/>
        </w:rPr>
        <w:t xml:space="preserve">Jacks. </w:t>
      </w:r>
      <w:r w:rsidR="004B244E">
        <w:rPr>
          <w:rFonts w:ascii="Times New Roman" w:hAnsi="Times New Roman" w:cs="Times New Roman"/>
          <w:color w:val="000000" w:themeColor="text1"/>
          <w:sz w:val="28"/>
          <w:szCs w:val="28"/>
          <w:lang w:val="en-US"/>
        </w:rPr>
        <w:t>e</w:t>
      </w:r>
      <w:r w:rsidRPr="00CC7883">
        <w:rPr>
          <w:rFonts w:ascii="Times New Roman" w:hAnsi="Times New Roman" w:cs="Times New Roman"/>
          <w:color w:val="000000" w:themeColor="text1"/>
          <w:sz w:val="28"/>
          <w:szCs w:val="28"/>
        </w:rPr>
        <w:t>x</w:t>
      </w:r>
      <w:r w:rsidR="00E528E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Andrews), цукрової тростини (</w:t>
      </w:r>
      <w:r w:rsidRPr="00CC7883">
        <w:rPr>
          <w:rFonts w:ascii="Times New Roman" w:hAnsi="Times New Roman" w:cs="Times New Roman"/>
          <w:i/>
          <w:iCs/>
          <w:color w:val="000000" w:themeColor="text1"/>
          <w:sz w:val="28"/>
          <w:szCs w:val="28"/>
        </w:rPr>
        <w:t>Saccharum</w:t>
      </w:r>
      <w:r w:rsidRPr="00CC7883">
        <w:rPr>
          <w:rFonts w:ascii="Times New Roman" w:hAnsi="Times New Roman" w:cs="Times New Roman"/>
          <w:color w:val="000000" w:themeColor="text1"/>
          <w:sz w:val="28"/>
          <w:szCs w:val="28"/>
        </w:rPr>
        <w:t xml:space="preserve"> spp.) різних сортів, в умовах водного стресу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індукованого ПЕГ. Результати показали, що загальне обводнення тканин було на рівні 85,0–89,7 %, вміст сухих речовин – на рівні 10,0–15,8 % при концентраціях ПЕГ 1–9 %. У складі поживного середовища MS без ПЕГ цей показник дорівнював відповідно 92,0–92,5 % (вода) та 7,5–7,9 % (сухі речовини) [17</w:t>
      </w:r>
      <w:r w:rsidR="005A0087" w:rsidRPr="00CC7883">
        <w:rPr>
          <w:rFonts w:ascii="Times New Roman" w:hAnsi="Times New Roman" w:cs="Times New Roman"/>
          <w:color w:val="000000" w:themeColor="text1"/>
          <w:sz w:val="28"/>
          <w:szCs w:val="28"/>
        </w:rPr>
        <w:t>5</w:t>
      </w:r>
      <w:r w:rsidR="00EC1E77" w:rsidRPr="00F62136">
        <w:rPr>
          <w:rFonts w:ascii="Times New Roman" w:hAnsi="Times New Roman" w:cs="Times New Roman"/>
          <w:color w:val="000000" w:themeColor="text1"/>
          <w:sz w:val="28"/>
          <w:szCs w:val="28"/>
          <w:lang w:val="ru-RU"/>
        </w:rPr>
        <w:t>,</w:t>
      </w:r>
      <w:r w:rsidRPr="00CC7883">
        <w:rPr>
          <w:rFonts w:ascii="Times New Roman" w:hAnsi="Times New Roman" w:cs="Times New Roman"/>
          <w:color w:val="000000" w:themeColor="text1"/>
          <w:sz w:val="28"/>
          <w:szCs w:val="28"/>
        </w:rPr>
        <w:t xml:space="preserve"> </w:t>
      </w:r>
      <w:r w:rsidR="005B16DD" w:rsidRPr="00CC7883">
        <w:rPr>
          <w:rFonts w:ascii="Times New Roman" w:hAnsi="Times New Roman" w:cs="Times New Roman"/>
          <w:color w:val="000000" w:themeColor="text1"/>
          <w:sz w:val="28"/>
          <w:szCs w:val="28"/>
        </w:rPr>
        <w:t>134</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Виноград</w:t>
      </w:r>
      <w:r w:rsidRPr="00CC7883">
        <w:rPr>
          <w:rFonts w:ascii="Times New Roman" w:hAnsi="Times New Roman" w:cs="Times New Roman"/>
          <w:color w:val="000000" w:themeColor="text1"/>
          <w:sz w:val="28"/>
          <w:szCs w:val="28"/>
        </w:rPr>
        <w:t xml:space="preserve">. Heo J. W. </w:t>
      </w:r>
      <w:r w:rsidR="00E528E0" w:rsidRPr="00CC7883">
        <w:rPr>
          <w:rFonts w:ascii="Times New Roman" w:hAnsi="Times New Roman" w:cs="Times New Roman"/>
          <w:color w:val="000000" w:themeColor="text1"/>
          <w:sz w:val="28"/>
          <w:szCs w:val="28"/>
        </w:rPr>
        <w:t>e</w:t>
      </w:r>
      <w:r w:rsidRPr="00CC7883">
        <w:rPr>
          <w:rFonts w:ascii="Times New Roman" w:hAnsi="Times New Roman" w:cs="Times New Roman"/>
          <w:color w:val="000000" w:themeColor="text1"/>
          <w:sz w:val="28"/>
          <w:szCs w:val="28"/>
        </w:rPr>
        <w:t>t</w:t>
      </w:r>
      <w:r w:rsidR="00E528E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al. і Liu M. et al. встановили, що на загальне обводнення і вміст сухих речовин тканин листків та пагонів мікроклонів винограду сортів «Teleki 5BB» і «Beihong» позитивно впливав спектр світла, а саме застосування червоного та червоного і синього світла. Воно сприяло збільшенню кількості сухих речовин у мікроклонів винограду, в середньому, на 53,6 % порівняно з контролем (біле світло), зменшенню вмісту загальної води – на 8,0 %. Адаптац</w:t>
      </w:r>
      <w:r w:rsidR="005B16DD" w:rsidRPr="00CC7883">
        <w:rPr>
          <w:rFonts w:ascii="Times New Roman" w:hAnsi="Times New Roman" w:cs="Times New Roman"/>
          <w:color w:val="000000" w:themeColor="text1"/>
          <w:sz w:val="28"/>
          <w:szCs w:val="28"/>
        </w:rPr>
        <w:t>ію мікроклонів не проводили [133</w:t>
      </w:r>
      <w:r w:rsidR="00EC1E77"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1</w:t>
      </w:r>
      <w:r w:rsidR="005A0087" w:rsidRPr="00CC7883">
        <w:rPr>
          <w:rFonts w:ascii="Times New Roman" w:hAnsi="Times New Roman" w:cs="Times New Roman"/>
          <w:color w:val="000000" w:themeColor="text1"/>
          <w:sz w:val="28"/>
          <w:szCs w:val="28"/>
        </w:rPr>
        <w:t>67</w:t>
      </w:r>
      <w:r w:rsidRPr="00CC7883">
        <w:rPr>
          <w:rFonts w:ascii="Times New Roman" w:hAnsi="Times New Roman" w:cs="Times New Roman"/>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При додаванні поліетиленгліколю (ПЕГ) у концентраціях 2, 4 і 6 % до поживного середовища MS О. І. Гогулінська та Topçu Altıncı N. et al. встановили, що у мікроклонів винограду сортів «Кречунел-2», «Таїровський-1», «Добриня», «Мускат гамбурзький», «Кобзар», «Sultani», «Çalkarası», «Emir», «Boğazkere», «Öküzgözü» та «Narince» загальний вміст води у тканинах зменшувався зі зростанням концентрації ПЕГ (38,4–50,3 % проти </w:t>
      </w:r>
      <w:r w:rsidRPr="00CC7883">
        <w:rPr>
          <w:rFonts w:ascii="Times New Roman" w:hAnsi="Times New Roman" w:cs="Times New Roman"/>
          <w:color w:val="000000" w:themeColor="text1"/>
          <w:sz w:val="28"/>
          <w:szCs w:val="28"/>
        </w:rPr>
        <w:lastRenderedPageBreak/>
        <w:t xml:space="preserve">59,7–81,9 % без його застосування). Водночас вміст сухих речовин підвищувався – у дослідженнях О. І. Гогулінської – до 49,7–61,6 % проти 18,1–40,3 % у контролі, у роботі Topçu Altıncı </w:t>
      </w:r>
      <w:r w:rsidR="0066793F" w:rsidRPr="00813FFA">
        <w:rPr>
          <w:rFonts w:ascii="Times New Roman" w:hAnsi="Times New Roman"/>
          <w:color w:val="000000" w:themeColor="text1"/>
          <w:sz w:val="28"/>
          <w:szCs w:val="28"/>
          <w:lang w:val="en-US"/>
        </w:rPr>
        <w:t>N</w:t>
      </w:r>
      <w:r w:rsidR="0066793F" w:rsidRPr="00F62136">
        <w:rPr>
          <w:rFonts w:ascii="Times New Roman" w:hAnsi="Times New Roman"/>
          <w:color w:val="000000" w:themeColor="text1"/>
          <w:sz w:val="28"/>
          <w:szCs w:val="28"/>
          <w:lang w:val="ru-RU"/>
        </w:rPr>
        <w:t>.</w:t>
      </w:r>
      <w:r w:rsidR="0066793F">
        <w:rPr>
          <w:rFonts w:ascii="Times New Roman" w:hAnsi="Times New Roman"/>
          <w:color w:val="000000" w:themeColor="text1"/>
          <w:sz w:val="28"/>
          <w:szCs w:val="28"/>
        </w:rPr>
        <w:t xml:space="preserve"> </w:t>
      </w:r>
      <w:r w:rsidRPr="00CC7883">
        <w:rPr>
          <w:rFonts w:ascii="Times New Roman" w:hAnsi="Times New Roman" w:cs="Times New Roman"/>
          <w:color w:val="000000" w:themeColor="text1"/>
          <w:sz w:val="28"/>
          <w:szCs w:val="28"/>
        </w:rPr>
        <w:t>&amp; Cangi</w:t>
      </w:r>
      <w:r w:rsidR="0066793F">
        <w:rPr>
          <w:rFonts w:ascii="Times New Roman" w:hAnsi="Times New Roman" w:cs="Times New Roman"/>
          <w:color w:val="000000" w:themeColor="text1"/>
          <w:sz w:val="28"/>
          <w:szCs w:val="28"/>
        </w:rPr>
        <w:t xml:space="preserve"> </w:t>
      </w:r>
      <w:r w:rsidR="0066793F" w:rsidRPr="00813FFA">
        <w:rPr>
          <w:rFonts w:ascii="Times New Roman" w:hAnsi="Times New Roman"/>
          <w:color w:val="000000" w:themeColor="text1"/>
          <w:sz w:val="28"/>
          <w:szCs w:val="28"/>
          <w:lang w:val="en-US"/>
        </w:rPr>
        <w:t>R</w:t>
      </w:r>
      <w:r w:rsidR="0066793F" w:rsidRPr="00F62136">
        <w:rPr>
          <w:rFonts w:ascii="Times New Roman" w:hAnsi="Times New Roman"/>
          <w:color w:val="000000" w:themeColor="text1"/>
          <w:sz w:val="28"/>
          <w:szCs w:val="28"/>
          <w:lang w:val="ru-RU"/>
        </w:rPr>
        <w:t>.</w:t>
      </w:r>
      <w:r w:rsidRPr="00CC7883">
        <w:rPr>
          <w:rFonts w:ascii="Times New Roman" w:hAnsi="Times New Roman" w:cs="Times New Roman"/>
          <w:color w:val="000000" w:themeColor="text1"/>
          <w:sz w:val="28"/>
          <w:szCs w:val="28"/>
        </w:rPr>
        <w:t xml:space="preserve"> – до 19,4–34,6 % проти 10,1–18,</w:t>
      </w:r>
      <w:r w:rsidR="005B16DD" w:rsidRPr="00CC7883">
        <w:rPr>
          <w:rFonts w:ascii="Times New Roman" w:hAnsi="Times New Roman" w:cs="Times New Roman"/>
          <w:color w:val="000000" w:themeColor="text1"/>
          <w:sz w:val="28"/>
          <w:szCs w:val="28"/>
        </w:rPr>
        <w:t>5 % у контролі [9</w:t>
      </w:r>
      <w:r w:rsidR="00EC1E77" w:rsidRPr="00F62136">
        <w:rPr>
          <w:rFonts w:ascii="Times New Roman" w:hAnsi="Times New Roman" w:cs="Times New Roman"/>
          <w:color w:val="000000" w:themeColor="text1"/>
          <w:sz w:val="28"/>
          <w:szCs w:val="28"/>
          <w:lang w:val="ru-RU"/>
        </w:rPr>
        <w:t>,</w:t>
      </w:r>
      <w:r w:rsidRPr="00CC7883">
        <w:rPr>
          <w:rFonts w:ascii="Times New Roman" w:hAnsi="Times New Roman" w:cs="Times New Roman"/>
          <w:color w:val="000000" w:themeColor="text1"/>
          <w:sz w:val="28"/>
          <w:szCs w:val="28"/>
        </w:rPr>
        <w:t xml:space="preserve"> </w:t>
      </w:r>
      <w:r w:rsidR="005B16DD" w:rsidRPr="00CC7883">
        <w:rPr>
          <w:rFonts w:ascii="Times New Roman" w:hAnsi="Times New Roman" w:cs="Times New Roman"/>
          <w:color w:val="000000" w:themeColor="text1"/>
          <w:sz w:val="28"/>
          <w:szCs w:val="28"/>
        </w:rPr>
        <w:t>2</w:t>
      </w:r>
      <w:r w:rsidR="005A0087" w:rsidRPr="00CC7883">
        <w:rPr>
          <w:rFonts w:ascii="Times New Roman" w:hAnsi="Times New Roman" w:cs="Times New Roman"/>
          <w:color w:val="000000" w:themeColor="text1"/>
          <w:sz w:val="28"/>
          <w:szCs w:val="28"/>
        </w:rPr>
        <w:t>4</w:t>
      </w:r>
      <w:r w:rsidR="002D22A1" w:rsidRPr="00CC7883">
        <w:rPr>
          <w:rFonts w:ascii="Times New Roman" w:hAnsi="Times New Roman" w:cs="Times New Roman"/>
          <w:color w:val="000000" w:themeColor="text1"/>
          <w:sz w:val="28"/>
          <w:szCs w:val="28"/>
        </w:rPr>
        <w:t>8</w:t>
      </w:r>
      <w:r w:rsidRPr="00CC7883">
        <w:rPr>
          <w:rFonts w:ascii="Times New Roman" w:hAnsi="Times New Roman" w:cs="Times New Roman"/>
          <w:color w:val="000000" w:themeColor="text1"/>
          <w:sz w:val="28"/>
          <w:szCs w:val="28"/>
        </w:rPr>
        <w:t>].</w:t>
      </w:r>
      <w:bookmarkStart w:id="16" w:name="_Hlk157356754"/>
    </w:p>
    <w:bookmarkEnd w:id="16"/>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u w:val="single"/>
        </w:rPr>
        <w:t>Інтенсивність транспірації у рослин in vitro</w:t>
      </w:r>
      <w:r w:rsidR="002102AF" w:rsidRPr="00CC7883">
        <w:rPr>
          <w:rFonts w:ascii="Times New Roman" w:hAnsi="Times New Roman" w:cs="Times New Roman"/>
          <w:i/>
          <w:color w:val="000000" w:themeColor="text1"/>
          <w:sz w:val="28"/>
          <w:szCs w:val="28"/>
          <w:u w:val="single"/>
        </w:rPr>
        <w:t xml:space="preserve"> </w:t>
      </w:r>
      <w:r w:rsidRPr="00CC7883">
        <w:rPr>
          <w:rFonts w:ascii="Times New Roman" w:hAnsi="Times New Roman" w:cs="Times New Roman"/>
          <w:iCs/>
          <w:color w:val="000000" w:themeColor="text1"/>
          <w:sz w:val="28"/>
          <w:szCs w:val="28"/>
        </w:rPr>
        <w:t xml:space="preserve">визначається як випаровування води з клітин і тканин за одиницю часу. У мікроклональних рослин, що культивуються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iCs/>
          <w:color w:val="000000" w:themeColor="text1"/>
          <w:sz w:val="28"/>
          <w:szCs w:val="28"/>
        </w:rPr>
        <w:t>, цей процес є складнішим, оскільки рослини знаходяться в штучному середовищі і позбавлені деяких механізмів, які забезпечують нормальну транспірацію в природних умовах. Інтенсивність транспірації залежить від багатьох факторів, серед яких вологість поживного середовища, рівень освітлення, склад середовища та інші факто</w:t>
      </w:r>
      <w:r w:rsidR="005B16DD" w:rsidRPr="00CC7883">
        <w:rPr>
          <w:rFonts w:ascii="Times New Roman" w:hAnsi="Times New Roman" w:cs="Times New Roman"/>
          <w:iCs/>
          <w:color w:val="000000" w:themeColor="text1"/>
          <w:sz w:val="28"/>
          <w:szCs w:val="28"/>
        </w:rPr>
        <w:t>ри [42</w:t>
      </w:r>
      <w:r w:rsidR="00EC1E77" w:rsidRPr="00F62136">
        <w:rPr>
          <w:rFonts w:ascii="Times New Roman" w:hAnsi="Times New Roman" w:cs="Times New Roman"/>
          <w:iCs/>
          <w:color w:val="000000" w:themeColor="text1"/>
          <w:sz w:val="28"/>
          <w:szCs w:val="28"/>
          <w:lang w:val="ru-RU"/>
        </w:rPr>
        <w:t>,</w:t>
      </w:r>
      <w:r w:rsidRPr="00CC7883">
        <w:rPr>
          <w:rFonts w:ascii="Times New Roman" w:hAnsi="Times New Roman" w:cs="Times New Roman"/>
          <w:iCs/>
          <w:color w:val="000000" w:themeColor="text1"/>
          <w:sz w:val="28"/>
          <w:szCs w:val="28"/>
        </w:rPr>
        <w:t xml:space="preserve"> </w:t>
      </w:r>
      <w:r w:rsidR="005B16DD" w:rsidRPr="00CC7883">
        <w:rPr>
          <w:rFonts w:ascii="Times New Roman" w:hAnsi="Times New Roman" w:cs="Times New Roman"/>
          <w:color w:val="000000" w:themeColor="text1"/>
          <w:sz w:val="28"/>
          <w:szCs w:val="28"/>
        </w:rPr>
        <w:t>84</w:t>
      </w:r>
      <w:r w:rsidRPr="00CC7883">
        <w:rPr>
          <w:rFonts w:ascii="Times New Roman" w:hAnsi="Times New Roman" w:cs="Times New Roman"/>
          <w:iCs/>
          <w:color w:val="000000" w:themeColor="text1"/>
          <w:sz w:val="28"/>
          <w:szCs w:val="28"/>
        </w:rPr>
        <w:t xml:space="preserve">]. Контроль цього показника є важливим для забезпечення оптимальних умов росту та розвитку рослин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iCs/>
          <w:color w:val="000000" w:themeColor="text1"/>
          <w:sz w:val="28"/>
          <w:szCs w:val="28"/>
        </w:rPr>
        <w:t xml:space="preserve">, оскільки від нього залежить доступність води та поживних речовин для клітин і тканин. Крім того, інтенсивність транспірації впливає на здатність рослин адаптуватися до неконтрольованих умов. Висока транспірація у рослин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iCs/>
          <w:color w:val="000000" w:themeColor="text1"/>
          <w:sz w:val="28"/>
          <w:szCs w:val="28"/>
        </w:rPr>
        <w:t xml:space="preserve"> може призводити до значної втрати води, що створює стрес для тканин та знижує їх приживлюваність і здатність до виживання після перенесення у природне середовище </w:t>
      </w:r>
      <w:r w:rsidRPr="00CC7883">
        <w:rPr>
          <w:rFonts w:ascii="Times New Roman" w:hAnsi="Times New Roman" w:cs="Times New Roman"/>
          <w:color w:val="000000" w:themeColor="text1"/>
          <w:sz w:val="28"/>
          <w:szCs w:val="28"/>
        </w:rPr>
        <w:t>[</w:t>
      </w:r>
      <w:r w:rsidR="005B16DD" w:rsidRPr="00CC7883">
        <w:rPr>
          <w:rFonts w:ascii="Times New Roman" w:hAnsi="Times New Roman" w:cs="Times New Roman"/>
          <w:color w:val="000000" w:themeColor="text1"/>
          <w:sz w:val="28"/>
          <w:szCs w:val="28"/>
        </w:rPr>
        <w:t>46</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Для регуляції процесу транспірації вітанії снодійної (</w:t>
      </w:r>
      <w:r w:rsidRPr="00CC7883">
        <w:rPr>
          <w:rFonts w:ascii="Times New Roman" w:hAnsi="Times New Roman" w:cs="Times New Roman"/>
          <w:i/>
          <w:iCs/>
          <w:color w:val="000000" w:themeColor="text1"/>
          <w:sz w:val="28"/>
          <w:szCs w:val="28"/>
        </w:rPr>
        <w:t>Withania</w:t>
      </w:r>
      <w:r w:rsidR="0066793F">
        <w:rPr>
          <w:rFonts w:ascii="Times New Roman" w:hAnsi="Times New Roman" w:cs="Times New Roman"/>
          <w:i/>
          <w:iCs/>
          <w:color w:val="000000" w:themeColor="text1"/>
          <w:sz w:val="28"/>
          <w:szCs w:val="28"/>
        </w:rPr>
        <w:t xml:space="preserve"> </w:t>
      </w:r>
      <w:r w:rsidRPr="00CC7883">
        <w:rPr>
          <w:rFonts w:ascii="Times New Roman" w:hAnsi="Times New Roman" w:cs="Times New Roman"/>
          <w:i/>
          <w:iCs/>
          <w:color w:val="000000" w:themeColor="text1"/>
          <w:sz w:val="28"/>
          <w:szCs w:val="28"/>
        </w:rPr>
        <w:t>somnifera</w:t>
      </w:r>
      <w:r w:rsidR="00691AA2"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(L.) Dunal), тирлич</w:t>
      </w:r>
      <w:r w:rsidR="001213D6">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жовтого (</w:t>
      </w:r>
      <w:r w:rsidRPr="00CC7883">
        <w:rPr>
          <w:rFonts w:ascii="Times New Roman" w:hAnsi="Times New Roman" w:cs="Times New Roman"/>
          <w:i/>
          <w:iCs/>
          <w:color w:val="000000" w:themeColor="text1"/>
          <w:sz w:val="28"/>
          <w:szCs w:val="28"/>
        </w:rPr>
        <w:t>Gentiana</w:t>
      </w:r>
      <w:r w:rsidR="004B244E" w:rsidRPr="00F62136">
        <w:rPr>
          <w:rFonts w:ascii="Times New Roman" w:hAnsi="Times New Roman" w:cs="Times New Roman"/>
          <w:i/>
          <w:iCs/>
          <w:color w:val="000000" w:themeColor="text1"/>
          <w:sz w:val="28"/>
          <w:szCs w:val="28"/>
        </w:rPr>
        <w:t xml:space="preserve"> </w:t>
      </w:r>
      <w:r w:rsidRPr="00CC7883">
        <w:rPr>
          <w:rFonts w:ascii="Times New Roman" w:hAnsi="Times New Roman" w:cs="Times New Roman"/>
          <w:i/>
          <w:iCs/>
          <w:color w:val="000000" w:themeColor="text1"/>
          <w:sz w:val="28"/>
          <w:szCs w:val="28"/>
        </w:rPr>
        <w:t>lutea</w:t>
      </w:r>
      <w:r w:rsidR="00691AA2"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L.), рослин роду хризантеми (</w:t>
      </w:r>
      <w:r w:rsidRPr="00CC7883">
        <w:rPr>
          <w:rFonts w:ascii="Times New Roman" w:hAnsi="Times New Roman" w:cs="Times New Roman"/>
          <w:i/>
          <w:iCs/>
          <w:color w:val="000000" w:themeColor="text1"/>
          <w:sz w:val="28"/>
          <w:szCs w:val="28"/>
        </w:rPr>
        <w:t>Chrysanthemum</w:t>
      </w:r>
      <w:r w:rsidR="004B244E" w:rsidRPr="00F62136">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spp</w:t>
      </w:r>
      <w:r w:rsidRPr="00CC7883">
        <w:rPr>
          <w:rFonts w:ascii="Times New Roman" w:hAnsi="Times New Roman" w:cs="Times New Roman"/>
          <w:i/>
          <w:iCs/>
          <w:color w:val="000000" w:themeColor="text1"/>
          <w:sz w:val="28"/>
          <w:szCs w:val="28"/>
        </w:rPr>
        <w:t>.</w:t>
      </w:r>
      <w:r w:rsidRPr="00CC7883">
        <w:rPr>
          <w:rFonts w:ascii="Times New Roman" w:hAnsi="Times New Roman" w:cs="Times New Roman"/>
          <w:color w:val="000000" w:themeColor="text1"/>
          <w:sz w:val="28"/>
          <w:szCs w:val="28"/>
        </w:rPr>
        <w:t>), рису посівного (</w:t>
      </w:r>
      <w:r w:rsidRPr="00CC7883">
        <w:rPr>
          <w:rFonts w:ascii="Times New Roman" w:hAnsi="Times New Roman" w:cs="Times New Roman"/>
          <w:i/>
          <w:iCs/>
          <w:color w:val="000000" w:themeColor="text1"/>
          <w:sz w:val="28"/>
          <w:szCs w:val="28"/>
        </w:rPr>
        <w:t xml:space="preserve">Oryza sativa </w:t>
      </w:r>
      <w:r w:rsidRPr="00CC7883">
        <w:rPr>
          <w:rFonts w:ascii="Times New Roman" w:hAnsi="Times New Roman" w:cs="Times New Roman"/>
          <w:color w:val="000000" w:themeColor="text1"/>
          <w:sz w:val="28"/>
          <w:szCs w:val="28"/>
        </w:rPr>
        <w:t>L.) застосовували світлодіоди червоно</w:t>
      </w:r>
      <w:r w:rsidR="001213D6">
        <w:rPr>
          <w:rFonts w:ascii="Times New Roman" w:hAnsi="Times New Roman" w:cs="Times New Roman"/>
          <w:color w:val="000000" w:themeColor="text1"/>
          <w:sz w:val="28"/>
          <w:szCs w:val="28"/>
        </w:rPr>
        <w:t>го</w:t>
      </w:r>
      <w:r w:rsidRPr="00CC7883">
        <w:rPr>
          <w:rFonts w:ascii="Times New Roman" w:hAnsi="Times New Roman" w:cs="Times New Roman"/>
          <w:color w:val="000000" w:themeColor="text1"/>
          <w:sz w:val="28"/>
          <w:szCs w:val="28"/>
        </w:rPr>
        <w:t>, синього і зеленого спектрів у різних співвідношеннях, а також поєднання люмінесцентного холодного білого світла з фітолампами. Ефективними виявилися спектральні комбінації з підвищеною часткою синього та зеленого світла, які знижували випаровування води, тоді як збільшення частки червоного світла підвищувало температуру листкової пластинк</w:t>
      </w:r>
      <w:r w:rsidR="005A0087" w:rsidRPr="00CC7883">
        <w:rPr>
          <w:rFonts w:ascii="Times New Roman" w:hAnsi="Times New Roman" w:cs="Times New Roman"/>
          <w:color w:val="000000" w:themeColor="text1"/>
          <w:sz w:val="28"/>
          <w:szCs w:val="28"/>
        </w:rPr>
        <w:t>и та посилювало транспірацію [159</w:t>
      </w:r>
      <w:r w:rsidR="00EC1E77" w:rsidRPr="00F62136">
        <w:rPr>
          <w:rFonts w:ascii="Times New Roman" w:hAnsi="Times New Roman" w:cs="Times New Roman"/>
          <w:color w:val="000000" w:themeColor="text1"/>
          <w:sz w:val="28"/>
          <w:szCs w:val="28"/>
        </w:rPr>
        <w:t>,</w:t>
      </w:r>
      <w:r w:rsidR="005B16DD" w:rsidRPr="00CC7883">
        <w:rPr>
          <w:rFonts w:ascii="Times New Roman" w:hAnsi="Times New Roman" w:cs="Times New Roman"/>
          <w:color w:val="000000" w:themeColor="text1"/>
          <w:sz w:val="28"/>
          <w:szCs w:val="28"/>
        </w:rPr>
        <w:t xml:space="preserve"> 13</w:t>
      </w:r>
      <w:r w:rsidR="00EC1E77" w:rsidRPr="00F62136">
        <w:rPr>
          <w:rFonts w:ascii="Times New Roman" w:hAnsi="Times New Roman" w:cs="Times New Roman"/>
          <w:color w:val="000000" w:themeColor="text1"/>
          <w:sz w:val="28"/>
          <w:szCs w:val="28"/>
        </w:rPr>
        <w:t>,</w:t>
      </w:r>
      <w:r w:rsidR="005B16DD" w:rsidRPr="00CC7883">
        <w:rPr>
          <w:rFonts w:ascii="Times New Roman" w:hAnsi="Times New Roman" w:cs="Times New Roman"/>
          <w:color w:val="000000" w:themeColor="text1"/>
          <w:sz w:val="28"/>
          <w:szCs w:val="28"/>
        </w:rPr>
        <w:t xml:space="preserve"> 37</w:t>
      </w:r>
      <w:r w:rsidR="00EC1E77" w:rsidRPr="00F62136">
        <w:rPr>
          <w:rFonts w:ascii="Times New Roman" w:hAnsi="Times New Roman" w:cs="Times New Roman"/>
          <w:color w:val="000000" w:themeColor="text1"/>
          <w:sz w:val="28"/>
          <w:szCs w:val="28"/>
        </w:rPr>
        <w:t>,</w:t>
      </w:r>
      <w:r w:rsidR="005B16DD" w:rsidRPr="00CC7883">
        <w:rPr>
          <w:rFonts w:ascii="Times New Roman" w:hAnsi="Times New Roman" w:cs="Times New Roman"/>
          <w:color w:val="000000" w:themeColor="text1"/>
          <w:sz w:val="28"/>
          <w:szCs w:val="28"/>
        </w:rPr>
        <w:t xml:space="preserve"> </w:t>
      </w:r>
      <w:r w:rsidR="005A0087" w:rsidRPr="00CC7883">
        <w:rPr>
          <w:rFonts w:ascii="Times New Roman" w:hAnsi="Times New Roman" w:cs="Times New Roman"/>
          <w:color w:val="000000" w:themeColor="text1"/>
          <w:sz w:val="28"/>
          <w:szCs w:val="28"/>
        </w:rPr>
        <w:t>94</w:t>
      </w:r>
      <w:r w:rsidR="00EC1E77"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20</w:t>
      </w:r>
      <w:r w:rsidR="005A0087" w:rsidRPr="00CC7883">
        <w:rPr>
          <w:rFonts w:ascii="Times New Roman" w:hAnsi="Times New Roman" w:cs="Times New Roman"/>
          <w:color w:val="000000" w:themeColor="text1"/>
          <w:sz w:val="28"/>
          <w:szCs w:val="28"/>
        </w:rPr>
        <w:t>5</w:t>
      </w:r>
      <w:r w:rsidRPr="00CC7883">
        <w:rPr>
          <w:rFonts w:ascii="Times New Roman" w:hAnsi="Times New Roman" w:cs="Times New Roman"/>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Додавання цукрів (сахарози та глюкози) у різних концентраціях до поживного середовища сприяло зниженню інтенсивності транспірації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xml:space="preserve"> у тритикалє (</w:t>
      </w:r>
      <w:r w:rsidRPr="00CC7883">
        <w:rPr>
          <w:rFonts w:ascii="Times New Roman" w:hAnsi="Times New Roman" w:cs="Times New Roman"/>
          <w:i/>
          <w:iCs/>
          <w:color w:val="000000" w:themeColor="text1"/>
          <w:sz w:val="28"/>
          <w:szCs w:val="28"/>
        </w:rPr>
        <w:t xml:space="preserve">Triticosecale </w:t>
      </w:r>
      <w:r w:rsidRPr="00CC7883">
        <w:rPr>
          <w:rFonts w:ascii="Times New Roman" w:hAnsi="Times New Roman" w:cs="Times New Roman"/>
          <w:color w:val="000000" w:themeColor="text1"/>
          <w:sz w:val="28"/>
          <w:szCs w:val="28"/>
        </w:rPr>
        <w:t>Wittm. ex A.</w:t>
      </w:r>
      <w:r w:rsidR="004B244E" w:rsidRPr="00F62136">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Camus</w:t>
      </w:r>
      <w:r w:rsidRPr="00CC7883">
        <w:rPr>
          <w:rFonts w:ascii="Times New Roman" w:hAnsi="Times New Roman" w:cs="Times New Roman"/>
          <w:i/>
          <w:iCs/>
          <w:color w:val="000000" w:themeColor="text1"/>
          <w:sz w:val="28"/>
          <w:szCs w:val="28"/>
        </w:rPr>
        <w:t>.</w:t>
      </w:r>
      <w:r w:rsidRPr="00CC7883">
        <w:rPr>
          <w:rFonts w:ascii="Times New Roman" w:hAnsi="Times New Roman" w:cs="Times New Roman"/>
          <w:color w:val="000000" w:themeColor="text1"/>
          <w:sz w:val="28"/>
          <w:szCs w:val="28"/>
        </w:rPr>
        <w:t xml:space="preserve">), еустоми великоквіткової </w:t>
      </w:r>
      <w:r w:rsidRPr="00CC7883">
        <w:rPr>
          <w:rFonts w:ascii="Times New Roman" w:hAnsi="Times New Roman" w:cs="Times New Roman"/>
          <w:color w:val="000000" w:themeColor="text1"/>
          <w:sz w:val="28"/>
          <w:szCs w:val="28"/>
        </w:rPr>
        <w:lastRenderedPageBreak/>
        <w:t>(</w:t>
      </w:r>
      <w:r w:rsidRPr="00CC7883">
        <w:rPr>
          <w:rFonts w:ascii="Times New Roman" w:hAnsi="Times New Roman" w:cs="Times New Roman"/>
          <w:i/>
          <w:color w:val="000000" w:themeColor="text1"/>
          <w:sz w:val="28"/>
          <w:szCs w:val="28"/>
        </w:rPr>
        <w:t>Eustoma grandiflorum</w:t>
      </w:r>
      <w:r w:rsidRPr="00CC7883">
        <w:rPr>
          <w:rFonts w:ascii="Times New Roman" w:hAnsi="Times New Roman" w:cs="Times New Roman"/>
          <w:color w:val="000000" w:themeColor="text1"/>
          <w:sz w:val="28"/>
          <w:szCs w:val="28"/>
        </w:rPr>
        <w:t xml:space="preserve"> (Raf.) Shinn.). Зокрема, у тритикалє внесення глюкози й сахарози (0,5 ммоль/л) у рідке середовище Хогланда зменшувало транспірацію до 0,15 та 0,17 ммоль·м⁻²</w:t>
      </w:r>
      <w:r w:rsidR="00E939FC"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с⁻¹. У еутосоми великоквіткової підвищення концентрації цукрів до 30 г/л також призводило до зниження інтенсивності транспірації – до 1,2 ммоль·м⁻²</w:t>
      </w:r>
      <w:r w:rsidR="00E939FC"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с⁻¹ при використанні сахарози та до 0,6 ммоль·м⁻²</w:t>
      </w:r>
      <w:r w:rsidR="00E939FC"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с⁻¹ при внесенні глюкози. Перенесення мікроклональних рослин із нижчим рівнем інтенсивності транспірації в умови </w:t>
      </w:r>
      <w:r w:rsidR="000553AD" w:rsidRPr="00CC7883">
        <w:rPr>
          <w:i/>
          <w:iCs/>
          <w:color w:val="000000" w:themeColor="text1"/>
          <w:sz w:val="28"/>
          <w:szCs w:val="28"/>
          <w:lang w:eastAsia="en-US"/>
        </w:rPr>
        <w:t>in vivo</w:t>
      </w:r>
      <w:r w:rsidRPr="00CC7883">
        <w:rPr>
          <w:rFonts w:ascii="Times New Roman" w:hAnsi="Times New Roman" w:cs="Times New Roman"/>
          <w:color w:val="000000" w:themeColor="text1"/>
          <w:sz w:val="28"/>
          <w:szCs w:val="28"/>
        </w:rPr>
        <w:t xml:space="preserve"> забезпечувало підвищення їх приживлюваності до 85,0–90,0 %</w:t>
      </w:r>
      <w:r w:rsidR="001B0041"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[25</w:t>
      </w:r>
      <w:r w:rsidR="002D22A1" w:rsidRPr="00CC7883">
        <w:rPr>
          <w:rFonts w:ascii="Times New Roman" w:hAnsi="Times New Roman" w:cs="Times New Roman"/>
          <w:color w:val="000000" w:themeColor="text1"/>
          <w:sz w:val="28"/>
          <w:szCs w:val="28"/>
        </w:rPr>
        <w:t>6</w:t>
      </w:r>
      <w:r w:rsidR="00EC1E77" w:rsidRPr="00F62136">
        <w:rPr>
          <w:rFonts w:ascii="Times New Roman" w:hAnsi="Times New Roman" w:cs="Times New Roman"/>
          <w:color w:val="000000" w:themeColor="text1"/>
          <w:sz w:val="28"/>
          <w:szCs w:val="28"/>
        </w:rPr>
        <w:t>,</w:t>
      </w:r>
      <w:r w:rsidR="005B16DD" w:rsidRPr="00CC7883">
        <w:rPr>
          <w:rFonts w:ascii="Times New Roman" w:hAnsi="Times New Roman" w:cs="Times New Roman"/>
          <w:color w:val="000000" w:themeColor="text1"/>
          <w:sz w:val="28"/>
          <w:szCs w:val="28"/>
        </w:rPr>
        <w:t xml:space="preserve"> 103</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Зниження вологості у культуральному посуді також впливало на інтенсивність транспірації у рослин картоплі (</w:t>
      </w:r>
      <w:r w:rsidRPr="00CC7883">
        <w:rPr>
          <w:rFonts w:ascii="Times New Roman" w:hAnsi="Times New Roman" w:cs="Times New Roman"/>
          <w:i/>
          <w:iCs/>
          <w:color w:val="000000" w:themeColor="text1"/>
          <w:sz w:val="28"/>
          <w:szCs w:val="28"/>
        </w:rPr>
        <w:t xml:space="preserve">Solanum tuberosum </w:t>
      </w:r>
      <w:r w:rsidRPr="00CC7883">
        <w:rPr>
          <w:rFonts w:ascii="Times New Roman" w:hAnsi="Times New Roman" w:cs="Times New Roman"/>
          <w:color w:val="000000" w:themeColor="text1"/>
          <w:sz w:val="28"/>
          <w:szCs w:val="28"/>
        </w:rPr>
        <w:t>L.) при культивуванн</w:t>
      </w:r>
      <w:r w:rsidR="006C32F6">
        <w:rPr>
          <w:rFonts w:ascii="Times New Roman" w:hAnsi="Times New Roman" w:cs="Times New Roman"/>
          <w:color w:val="000000" w:themeColor="text1"/>
          <w:sz w:val="28"/>
          <w:szCs w:val="28"/>
        </w:rPr>
        <w:t>і</w:t>
      </w:r>
      <w:r w:rsidRPr="00CC7883">
        <w:rPr>
          <w:rFonts w:ascii="Times New Roman" w:hAnsi="Times New Roman" w:cs="Times New Roman"/>
          <w:color w:val="000000" w:themeColor="text1"/>
          <w:sz w:val="28"/>
          <w:szCs w:val="28"/>
        </w:rPr>
        <w:t xml:space="preserve"> </w:t>
      </w:r>
      <w:r w:rsidR="00C85F8F"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Було встановлено, що при підтриманні волог</w:t>
      </w:r>
      <w:r w:rsidR="001213D6">
        <w:rPr>
          <w:rFonts w:ascii="Times New Roman" w:hAnsi="Times New Roman" w:cs="Times New Roman"/>
          <w:color w:val="000000" w:themeColor="text1"/>
          <w:sz w:val="28"/>
          <w:szCs w:val="28"/>
        </w:rPr>
        <w:t>ості</w:t>
      </w:r>
      <w:r w:rsidRPr="00CC7883">
        <w:rPr>
          <w:rFonts w:ascii="Times New Roman" w:hAnsi="Times New Roman" w:cs="Times New Roman"/>
          <w:color w:val="000000" w:themeColor="text1"/>
          <w:sz w:val="28"/>
          <w:szCs w:val="28"/>
        </w:rPr>
        <w:t xml:space="preserve"> на рівні 84,0 % цей показник дорівнював 5,0 мг/см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×год, а при підтриманні вологості на рівні 75,0 % – 1,7 мг/см</w:t>
      </w:r>
      <w:r w:rsidRPr="00CC7883">
        <w:rPr>
          <w:rFonts w:ascii="Times New Roman" w:hAnsi="Times New Roman" w:cs="Times New Roman"/>
          <w:color w:val="000000" w:themeColor="text1"/>
          <w:sz w:val="28"/>
          <w:szCs w:val="28"/>
          <w:vertAlign w:val="superscript"/>
        </w:rPr>
        <w:t>2</w:t>
      </w:r>
      <w:r w:rsidR="00E939FC"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год [24</w:t>
      </w:r>
      <w:r w:rsidR="002D22A1" w:rsidRPr="00CC7883">
        <w:rPr>
          <w:rFonts w:ascii="Times New Roman" w:hAnsi="Times New Roman" w:cs="Times New Roman"/>
          <w:color w:val="000000" w:themeColor="text1"/>
          <w:sz w:val="28"/>
          <w:szCs w:val="28"/>
        </w:rPr>
        <w:t>1</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Виноград</w:t>
      </w:r>
      <w:r w:rsidRPr="00CC7883">
        <w:rPr>
          <w:rFonts w:ascii="Times New Roman" w:hAnsi="Times New Roman" w:cs="Times New Roman"/>
          <w:color w:val="000000" w:themeColor="text1"/>
          <w:sz w:val="28"/>
          <w:szCs w:val="28"/>
        </w:rPr>
        <w:t xml:space="preserve">. Для зменшення інтенсивності транспірації мікроклонів винограду використовували антитранспіранти, абсцизову кислоту, ПЕГ. У роботі Н. М. Зеленянської наведено результати досліджень щодо використання антитранспірантів (Vapor Gard (1,5 %) та ЕПАА (0,4 %) для зменшення випаровування води з листків мікроклонів винограду. Їх застосування сприяло зниженню інтенсивності транспірації у мікроклонів підщепного сорту «Гарант» – до </w:t>
      </w:r>
      <w:r w:rsidRPr="00CC7883">
        <w:rPr>
          <w:rFonts w:ascii="Times New Roman" w:hAnsi="Times New Roman" w:cs="Times New Roman"/>
          <w:bCs/>
          <w:color w:val="000000" w:themeColor="text1"/>
          <w:sz w:val="28"/>
          <w:szCs w:val="28"/>
        </w:rPr>
        <w:t>5,0–7,7 г/м</w:t>
      </w:r>
      <w:r w:rsidRPr="00CC7883">
        <w:rPr>
          <w:rFonts w:ascii="Times New Roman" w:hAnsi="Times New Roman" w:cs="Times New Roman"/>
          <w:bCs/>
          <w:color w:val="000000" w:themeColor="text1"/>
          <w:sz w:val="28"/>
          <w:szCs w:val="28"/>
          <w:vertAlign w:val="superscript"/>
        </w:rPr>
        <w:t>2</w:t>
      </w:r>
      <w:r w:rsidRPr="00CC7883">
        <w:rPr>
          <w:rFonts w:ascii="Times New Roman" w:hAnsi="Times New Roman" w:cs="Times New Roman"/>
          <w:bCs/>
          <w:color w:val="000000" w:themeColor="text1"/>
          <w:sz w:val="28"/>
          <w:szCs w:val="28"/>
        </w:rPr>
        <w:t>×год (при 12,7 г/м</w:t>
      </w:r>
      <w:r w:rsidRPr="00CC7883">
        <w:rPr>
          <w:rFonts w:ascii="Times New Roman" w:hAnsi="Times New Roman" w:cs="Times New Roman"/>
          <w:bCs/>
          <w:color w:val="000000" w:themeColor="text1"/>
          <w:sz w:val="28"/>
          <w:szCs w:val="28"/>
          <w:vertAlign w:val="superscript"/>
        </w:rPr>
        <w:t>2</w:t>
      </w:r>
      <w:r w:rsidRPr="00CC7883">
        <w:rPr>
          <w:rFonts w:ascii="Times New Roman" w:hAnsi="Times New Roman" w:cs="Times New Roman"/>
          <w:bCs/>
          <w:color w:val="000000" w:themeColor="text1"/>
          <w:sz w:val="28"/>
          <w:szCs w:val="28"/>
        </w:rPr>
        <w:t>×год у контролі) через 30 хв.</w:t>
      </w:r>
      <w:r w:rsidRPr="00CC7883">
        <w:rPr>
          <w:rFonts w:ascii="Times New Roman" w:hAnsi="Times New Roman" w:cs="Times New Roman"/>
          <w:color w:val="000000" w:themeColor="text1"/>
          <w:sz w:val="28"/>
          <w:szCs w:val="28"/>
        </w:rPr>
        <w:t xml:space="preserve"> Після перенесення рослин у теплицю на цеолітовий субстрат рівень їх приживлюваності становив 55,0–77,0 %.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 xml:space="preserve">З метою зниження інтенсивності транспірації мікроклонів винограду </w:t>
      </w:r>
      <w:r w:rsidRPr="00CC7883">
        <w:rPr>
          <w:rFonts w:ascii="Times New Roman" w:hAnsi="Times New Roman" w:cs="Times New Roman"/>
          <w:bCs/>
          <w:i/>
          <w:color w:val="000000" w:themeColor="text1"/>
          <w:sz w:val="28"/>
          <w:szCs w:val="28"/>
        </w:rPr>
        <w:t>in vitro</w:t>
      </w:r>
      <w:r w:rsidRPr="00CC7883">
        <w:rPr>
          <w:rFonts w:ascii="Times New Roman" w:hAnsi="Times New Roman" w:cs="Times New Roman"/>
          <w:bCs/>
          <w:color w:val="000000" w:themeColor="text1"/>
          <w:sz w:val="28"/>
          <w:szCs w:val="28"/>
        </w:rPr>
        <w:t xml:space="preserve"> О. І. Гогулінська додавала до поживного середовища ПЕГ у концентрації 4–8 %, що забезпечувало зменшення цього показника у форми «Таїровський-1» на 21,7–43,1 % п</w:t>
      </w:r>
      <w:r w:rsidR="005B16DD" w:rsidRPr="00CC7883">
        <w:rPr>
          <w:rFonts w:ascii="Times New Roman" w:hAnsi="Times New Roman" w:cs="Times New Roman"/>
          <w:bCs/>
          <w:color w:val="000000" w:themeColor="text1"/>
          <w:sz w:val="28"/>
          <w:szCs w:val="28"/>
        </w:rPr>
        <w:t>орівняно з контролем без ПЕГ [17</w:t>
      </w:r>
      <w:r w:rsidR="00EC1E77" w:rsidRPr="00F62136">
        <w:rPr>
          <w:rFonts w:ascii="Times New Roman" w:hAnsi="Times New Roman" w:cs="Times New Roman"/>
          <w:bCs/>
          <w:color w:val="000000" w:themeColor="text1"/>
          <w:sz w:val="28"/>
          <w:szCs w:val="28"/>
        </w:rPr>
        <w:t>,</w:t>
      </w:r>
      <w:r w:rsidR="005B16DD" w:rsidRPr="00CC7883">
        <w:rPr>
          <w:rFonts w:ascii="Times New Roman" w:hAnsi="Times New Roman" w:cs="Times New Roman"/>
          <w:bCs/>
          <w:color w:val="000000" w:themeColor="text1"/>
          <w:sz w:val="28"/>
          <w:szCs w:val="28"/>
        </w:rPr>
        <w:t xml:space="preserve"> 108</w:t>
      </w:r>
      <w:r w:rsidR="00EC1E77" w:rsidRPr="00F62136">
        <w:rPr>
          <w:rFonts w:ascii="Times New Roman" w:hAnsi="Times New Roman" w:cs="Times New Roman"/>
          <w:bCs/>
          <w:color w:val="000000" w:themeColor="text1"/>
          <w:sz w:val="28"/>
          <w:szCs w:val="28"/>
        </w:rPr>
        <w:t>,</w:t>
      </w:r>
      <w:r w:rsidR="005B16DD" w:rsidRPr="00CC7883">
        <w:rPr>
          <w:rFonts w:ascii="Times New Roman" w:hAnsi="Times New Roman" w:cs="Times New Roman"/>
          <w:bCs/>
          <w:color w:val="000000" w:themeColor="text1"/>
          <w:sz w:val="28"/>
          <w:szCs w:val="28"/>
        </w:rPr>
        <w:t xml:space="preserve"> 9</w:t>
      </w:r>
      <w:r w:rsidRPr="00CC7883">
        <w:rPr>
          <w:rFonts w:ascii="Times New Roman" w:hAnsi="Times New Roman" w:cs="Times New Roman"/>
          <w:bCs/>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8"/>
        <w:jc w:val="both"/>
        <w:rPr>
          <w:rFonts w:ascii="Times New Roman" w:hAnsi="Times New Roman" w:cs="Times New Roman"/>
          <w:color w:val="000000" w:themeColor="text1"/>
          <w:sz w:val="28"/>
          <w:szCs w:val="28"/>
        </w:rPr>
      </w:pPr>
      <w:bookmarkStart w:id="17" w:name="_Hlk157356722"/>
      <w:r w:rsidRPr="00CC7883">
        <w:rPr>
          <w:rFonts w:ascii="Times New Roman" w:hAnsi="Times New Roman" w:cs="Times New Roman"/>
          <w:i/>
          <w:color w:val="000000" w:themeColor="text1"/>
          <w:sz w:val="28"/>
          <w:szCs w:val="28"/>
          <w:u w:val="single"/>
        </w:rPr>
        <w:t xml:space="preserve">Накопичення пігментів у тканинах рослин </w:t>
      </w:r>
      <w:bookmarkEnd w:id="17"/>
      <w:r w:rsidR="00C85F8F" w:rsidRPr="00CC7883">
        <w:rPr>
          <w:rFonts w:ascii="Times New Roman" w:hAnsi="Times New Roman" w:cs="Times New Roman"/>
          <w:i/>
          <w:iCs/>
          <w:color w:val="000000" w:themeColor="text1"/>
          <w:sz w:val="28"/>
          <w:szCs w:val="28"/>
          <w:u w:val="single"/>
        </w:rPr>
        <w:t>in vitro</w:t>
      </w:r>
      <w:r w:rsidRPr="00CC7883">
        <w:rPr>
          <w:rFonts w:ascii="Times New Roman" w:hAnsi="Times New Roman" w:cs="Times New Roman"/>
          <w:i/>
          <w:color w:val="000000" w:themeColor="text1"/>
          <w:sz w:val="28"/>
          <w:szCs w:val="28"/>
          <w:u w:val="single"/>
        </w:rPr>
        <w:t>.</w:t>
      </w:r>
      <w:r w:rsidR="002102AF" w:rsidRPr="0066793F">
        <w:rPr>
          <w:rFonts w:ascii="Times New Roman" w:hAnsi="Times New Roman" w:cs="Times New Roman"/>
          <w:i/>
          <w:color w:val="000000" w:themeColor="text1"/>
          <w:sz w:val="28"/>
          <w:szCs w:val="28"/>
        </w:rPr>
        <w:t xml:space="preserve"> </w:t>
      </w:r>
      <w:r w:rsidRPr="00CC7883">
        <w:rPr>
          <w:rFonts w:ascii="Times New Roman" w:hAnsi="Times New Roman" w:cs="Times New Roman"/>
          <w:bCs/>
          <w:iCs/>
          <w:color w:val="000000" w:themeColor="text1"/>
          <w:sz w:val="28"/>
          <w:szCs w:val="28"/>
        </w:rPr>
        <w:t xml:space="preserve">Хлорофіли </w:t>
      </w:r>
      <w:r w:rsidRPr="00CC7883">
        <w:rPr>
          <w:rFonts w:ascii="Times New Roman" w:hAnsi="Times New Roman" w:cs="Times New Roman"/>
          <w:bCs/>
          <w:i/>
          <w:iCs/>
          <w:color w:val="000000" w:themeColor="text1"/>
          <w:sz w:val="28"/>
          <w:szCs w:val="28"/>
        </w:rPr>
        <w:t>а</w:t>
      </w:r>
      <w:r w:rsidRPr="00CC7883">
        <w:rPr>
          <w:rFonts w:ascii="Times New Roman" w:hAnsi="Times New Roman" w:cs="Times New Roman"/>
          <w:bCs/>
          <w:iCs/>
          <w:color w:val="000000" w:themeColor="text1"/>
          <w:sz w:val="28"/>
          <w:szCs w:val="28"/>
        </w:rPr>
        <w:t xml:space="preserve"> і </w:t>
      </w:r>
      <w:r w:rsidRPr="00CC7883">
        <w:rPr>
          <w:rFonts w:ascii="Times New Roman" w:hAnsi="Times New Roman" w:cs="Times New Roman"/>
          <w:bCs/>
          <w:i/>
          <w:iCs/>
          <w:color w:val="000000" w:themeColor="text1"/>
          <w:sz w:val="28"/>
          <w:szCs w:val="28"/>
        </w:rPr>
        <w:t>b</w:t>
      </w:r>
      <w:r w:rsidRPr="00CC7883">
        <w:rPr>
          <w:rFonts w:ascii="Times New Roman" w:hAnsi="Times New Roman" w:cs="Times New Roman"/>
          <w:bCs/>
          <w:iCs/>
          <w:color w:val="000000" w:themeColor="text1"/>
          <w:sz w:val="28"/>
          <w:szCs w:val="28"/>
        </w:rPr>
        <w:t xml:space="preserve"> та каротиноїди відіграють важливу роль в адаптації мікроклональних рослин з умов </w:t>
      </w:r>
      <w:r w:rsidRPr="00CC7883">
        <w:rPr>
          <w:rFonts w:ascii="Times New Roman" w:hAnsi="Times New Roman" w:cs="Times New Roman"/>
          <w:bCs/>
          <w:i/>
          <w:iCs/>
          <w:color w:val="000000" w:themeColor="text1"/>
          <w:sz w:val="28"/>
          <w:szCs w:val="28"/>
        </w:rPr>
        <w:t>in vitro</w:t>
      </w:r>
      <w:r w:rsidRPr="00CC7883">
        <w:rPr>
          <w:rFonts w:ascii="Times New Roman" w:hAnsi="Times New Roman" w:cs="Times New Roman"/>
          <w:bCs/>
          <w:iCs/>
          <w:color w:val="000000" w:themeColor="text1"/>
          <w:sz w:val="28"/>
          <w:szCs w:val="28"/>
        </w:rPr>
        <w:t xml:space="preserve"> до </w:t>
      </w:r>
      <w:r w:rsidR="000553AD" w:rsidRPr="00CC7883">
        <w:rPr>
          <w:i/>
          <w:iCs/>
          <w:color w:val="000000" w:themeColor="text1"/>
          <w:sz w:val="28"/>
          <w:szCs w:val="28"/>
          <w:lang w:eastAsia="en-US"/>
        </w:rPr>
        <w:t>in vivo</w:t>
      </w:r>
      <w:r w:rsidRPr="00CC7883">
        <w:rPr>
          <w:rFonts w:ascii="Times New Roman" w:hAnsi="Times New Roman" w:cs="Times New Roman"/>
          <w:bCs/>
          <w:iCs/>
          <w:color w:val="000000" w:themeColor="text1"/>
          <w:sz w:val="28"/>
          <w:szCs w:val="28"/>
        </w:rPr>
        <w:t xml:space="preserve">, оскільки забезпечують ефективне функціонування </w:t>
      </w:r>
      <w:r w:rsidRPr="00CC7883">
        <w:rPr>
          <w:rFonts w:ascii="Times New Roman" w:hAnsi="Times New Roman" w:cs="Times New Roman"/>
          <w:bCs/>
          <w:iCs/>
          <w:color w:val="000000" w:themeColor="text1"/>
          <w:sz w:val="28"/>
          <w:szCs w:val="28"/>
        </w:rPr>
        <w:lastRenderedPageBreak/>
        <w:t xml:space="preserve">фотосинтетичного апарату. Хлорофіл </w:t>
      </w:r>
      <w:r w:rsidRPr="00CC7883">
        <w:rPr>
          <w:rFonts w:ascii="Times New Roman" w:hAnsi="Times New Roman" w:cs="Times New Roman"/>
          <w:bCs/>
          <w:i/>
          <w:iCs/>
          <w:color w:val="000000" w:themeColor="text1"/>
          <w:sz w:val="28"/>
          <w:szCs w:val="28"/>
        </w:rPr>
        <w:t>а</w:t>
      </w:r>
      <w:r w:rsidRPr="00CC7883">
        <w:rPr>
          <w:rFonts w:ascii="Times New Roman" w:hAnsi="Times New Roman" w:cs="Times New Roman"/>
          <w:bCs/>
          <w:iCs/>
          <w:color w:val="000000" w:themeColor="text1"/>
          <w:sz w:val="28"/>
          <w:szCs w:val="28"/>
        </w:rPr>
        <w:t xml:space="preserve"> є основним пігментом, що бере участь у первинних реакціях фотосинтезу, хлорофіл </w:t>
      </w:r>
      <w:r w:rsidRPr="00CC7883">
        <w:rPr>
          <w:rFonts w:ascii="Times New Roman" w:hAnsi="Times New Roman" w:cs="Times New Roman"/>
          <w:bCs/>
          <w:i/>
          <w:iCs/>
          <w:color w:val="000000" w:themeColor="text1"/>
          <w:sz w:val="28"/>
          <w:szCs w:val="28"/>
        </w:rPr>
        <w:t>b</w:t>
      </w:r>
      <w:r w:rsidRPr="00CC7883">
        <w:rPr>
          <w:rFonts w:ascii="Times New Roman" w:hAnsi="Times New Roman" w:cs="Times New Roman"/>
          <w:bCs/>
          <w:iCs/>
          <w:color w:val="000000" w:themeColor="text1"/>
          <w:sz w:val="28"/>
          <w:szCs w:val="28"/>
        </w:rPr>
        <w:t xml:space="preserve"> розширює спектр поглинання світла та підвищує ефективність фотосинтетичних процесів. Каротиноїди не тільки виконують світлозахисну функцію, але й беруть участь у формуванні антиоксидантного захисту. Оптимальне співвідношення цих пігментів у листках сприяє підвищенню стійкості рослин до стресових чинників під час акліматизації та забезпечує їх кращу приживлюваність у природних умовах </w:t>
      </w:r>
      <w:r w:rsidRPr="00CC7883">
        <w:rPr>
          <w:rFonts w:ascii="Times New Roman" w:hAnsi="Times New Roman" w:cs="Times New Roman"/>
          <w:color w:val="000000" w:themeColor="text1"/>
          <w:sz w:val="28"/>
          <w:szCs w:val="28"/>
        </w:rPr>
        <w:t>[23</w:t>
      </w:r>
      <w:r w:rsidR="002D22A1" w:rsidRPr="00CC7883">
        <w:rPr>
          <w:rFonts w:ascii="Times New Roman" w:hAnsi="Times New Roman" w:cs="Times New Roman"/>
          <w:color w:val="000000" w:themeColor="text1"/>
          <w:sz w:val="28"/>
          <w:szCs w:val="28"/>
        </w:rPr>
        <w:t>3</w:t>
      </w:r>
      <w:r w:rsidRPr="00CC7883">
        <w:rPr>
          <w:rFonts w:ascii="Times New Roman" w:hAnsi="Times New Roman" w:cs="Times New Roman"/>
          <w:color w:val="000000" w:themeColor="text1"/>
          <w:sz w:val="28"/>
          <w:szCs w:val="28"/>
        </w:rPr>
        <w:t>].</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Для інтенсивного синтезу пігментів у рослин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xml:space="preserve"> важливими є фітогормональний склад поживного середовища MS. За даними власного дослідження Nowakowska K. et al. показали, що додавання тідіазурону до поживного середовища при культивуванні рослин роду рододендрон (</w:t>
      </w:r>
      <w:r w:rsidRPr="00CC7883">
        <w:rPr>
          <w:rFonts w:ascii="Times New Roman" w:hAnsi="Times New Roman" w:cs="Times New Roman"/>
          <w:i/>
          <w:iCs/>
          <w:color w:val="000000" w:themeColor="text1"/>
          <w:sz w:val="28"/>
          <w:szCs w:val="28"/>
        </w:rPr>
        <w:t>Rhododendron</w:t>
      </w:r>
      <w:r w:rsidR="0066793F">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 xml:space="preserve">spp.) призводило до збільшення вмісту хлорофілів </w:t>
      </w:r>
      <w:r w:rsidRPr="00CC7883">
        <w:rPr>
          <w:rFonts w:ascii="Times New Roman" w:hAnsi="Times New Roman" w:cs="Times New Roman"/>
          <w:i/>
          <w:iCs/>
          <w:color w:val="000000" w:themeColor="text1"/>
          <w:sz w:val="28"/>
          <w:szCs w:val="28"/>
        </w:rPr>
        <w:t>а</w:t>
      </w:r>
      <w:r w:rsidRPr="00CC7883">
        <w:rPr>
          <w:rFonts w:ascii="Times New Roman" w:hAnsi="Times New Roman" w:cs="Times New Roman"/>
          <w:color w:val="000000" w:themeColor="text1"/>
          <w:sz w:val="28"/>
          <w:szCs w:val="28"/>
        </w:rPr>
        <w:t xml:space="preserve"> і </w:t>
      </w:r>
      <w:r w:rsidRPr="00CC7883">
        <w:rPr>
          <w:rFonts w:ascii="Times New Roman" w:hAnsi="Times New Roman" w:cs="Times New Roman"/>
          <w:i/>
          <w:iCs/>
          <w:color w:val="000000" w:themeColor="text1"/>
          <w:sz w:val="28"/>
          <w:szCs w:val="28"/>
        </w:rPr>
        <w:t>b</w:t>
      </w:r>
      <w:r w:rsidRPr="00CC7883">
        <w:rPr>
          <w:rFonts w:ascii="Times New Roman" w:hAnsi="Times New Roman" w:cs="Times New Roman"/>
          <w:color w:val="000000" w:themeColor="text1"/>
          <w:sz w:val="28"/>
          <w:szCs w:val="28"/>
        </w:rPr>
        <w:t xml:space="preserve"> на 18,2</w:t>
      </w:r>
      <w:r w:rsidR="00EC1E77">
        <w:rPr>
          <w:rFonts w:ascii="Times New Roman" w:hAnsi="Times New Roman" w:cs="Times New Roman"/>
          <w:color w:val="000000" w:themeColor="text1"/>
          <w:sz w:val="28"/>
          <w:szCs w:val="28"/>
          <w:lang w:val="en-US"/>
        </w:rPr>
        <w:t> </w:t>
      </w:r>
      <w:r w:rsidRPr="00CC7883">
        <w:rPr>
          <w:rFonts w:ascii="Times New Roman" w:hAnsi="Times New Roman" w:cs="Times New Roman"/>
          <w:color w:val="000000" w:themeColor="text1"/>
          <w:sz w:val="28"/>
          <w:szCs w:val="28"/>
        </w:rPr>
        <w:t>%, внесення зеатину та 2іp забезпечувало збільшення цього показника на 29,0–34,0 %. При цьому спостерігалося і підвищення вмісту каротиноїдів [19</w:t>
      </w:r>
      <w:r w:rsidR="005B16DD" w:rsidRPr="00CC7883">
        <w:rPr>
          <w:rFonts w:ascii="Times New Roman" w:hAnsi="Times New Roman" w:cs="Times New Roman"/>
          <w:color w:val="000000" w:themeColor="text1"/>
          <w:sz w:val="28"/>
          <w:szCs w:val="28"/>
        </w:rPr>
        <w:t>7</w:t>
      </w:r>
      <w:r w:rsidRPr="00CC7883">
        <w:rPr>
          <w:rFonts w:ascii="Times New Roman" w:hAnsi="Times New Roman" w:cs="Times New Roman"/>
          <w:color w:val="000000" w:themeColor="text1"/>
          <w:sz w:val="28"/>
          <w:szCs w:val="28"/>
        </w:rPr>
        <w:t>]. Водночас, за даними Pazurkiewicz-Kocot K. et al., при культивуванні кукурудзи звичайної (</w:t>
      </w:r>
      <w:r w:rsidRPr="00CC7883">
        <w:rPr>
          <w:rFonts w:ascii="Times New Roman" w:hAnsi="Times New Roman" w:cs="Times New Roman"/>
          <w:i/>
          <w:iCs/>
          <w:color w:val="000000" w:themeColor="text1"/>
          <w:sz w:val="28"/>
          <w:szCs w:val="28"/>
        </w:rPr>
        <w:t>Zea</w:t>
      </w:r>
      <w:r w:rsidR="009105D8" w:rsidRPr="00F62136">
        <w:rPr>
          <w:rFonts w:ascii="Times New Roman" w:hAnsi="Times New Roman" w:cs="Times New Roman"/>
          <w:i/>
          <w:iCs/>
          <w:color w:val="000000" w:themeColor="text1"/>
          <w:sz w:val="28"/>
          <w:szCs w:val="28"/>
        </w:rPr>
        <w:t xml:space="preserve"> </w:t>
      </w:r>
      <w:r w:rsidRPr="00CC7883">
        <w:rPr>
          <w:rFonts w:ascii="Times New Roman" w:hAnsi="Times New Roman" w:cs="Times New Roman"/>
          <w:i/>
          <w:iCs/>
          <w:color w:val="000000" w:themeColor="text1"/>
          <w:sz w:val="28"/>
          <w:szCs w:val="28"/>
        </w:rPr>
        <w:t>mays</w:t>
      </w:r>
      <w:r w:rsidR="0066793F">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 xml:space="preserve">L.) внесення кінетину до поживного середовища призводило до зменшення вмісту хлорофілу </w:t>
      </w:r>
      <w:r w:rsidRPr="00CC7883">
        <w:rPr>
          <w:rFonts w:ascii="Times New Roman" w:hAnsi="Times New Roman" w:cs="Times New Roman"/>
          <w:i/>
          <w:iCs/>
          <w:color w:val="000000" w:themeColor="text1"/>
          <w:sz w:val="28"/>
          <w:szCs w:val="28"/>
        </w:rPr>
        <w:t>a</w:t>
      </w:r>
      <w:r w:rsidRPr="00CC7883">
        <w:rPr>
          <w:rFonts w:ascii="Times New Roman" w:hAnsi="Times New Roman" w:cs="Times New Roman"/>
          <w:color w:val="000000" w:themeColor="text1"/>
          <w:sz w:val="28"/>
          <w:szCs w:val="28"/>
        </w:rPr>
        <w:t xml:space="preserve"> в середньому на 5,0–25,0 %, що підкреслює специфічний вплив регуляторів росту залежно від виду рослини [20</w:t>
      </w:r>
      <w:r w:rsidR="005B16DD" w:rsidRPr="00CC7883">
        <w:rPr>
          <w:rFonts w:ascii="Times New Roman" w:hAnsi="Times New Roman" w:cs="Times New Roman"/>
          <w:color w:val="000000" w:themeColor="text1"/>
          <w:sz w:val="28"/>
          <w:szCs w:val="28"/>
        </w:rPr>
        <w:t>2</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Крім того, Martins J. P. R. et al. та Reisdörfer-Schorr M. et al. показали, що внесення цукрів до середовища MS також впливає на синтез пігментів – наприклад, додавання 30 г/л сахарози збільшувало вміст хлорофілів </w:t>
      </w:r>
      <w:r w:rsidRPr="00CC7883">
        <w:rPr>
          <w:rFonts w:ascii="Times New Roman" w:hAnsi="Times New Roman" w:cs="Times New Roman"/>
          <w:i/>
          <w:iCs/>
          <w:color w:val="000000" w:themeColor="text1"/>
          <w:sz w:val="28"/>
          <w:szCs w:val="28"/>
        </w:rPr>
        <w:t>а</w:t>
      </w:r>
      <w:r w:rsidRPr="00CC7883">
        <w:rPr>
          <w:rFonts w:ascii="Times New Roman" w:hAnsi="Times New Roman" w:cs="Times New Roman"/>
          <w:color w:val="000000" w:themeColor="text1"/>
          <w:sz w:val="28"/>
          <w:szCs w:val="28"/>
        </w:rPr>
        <w:t xml:space="preserve"> і </w:t>
      </w:r>
      <w:r w:rsidRPr="00CC7883">
        <w:rPr>
          <w:rFonts w:ascii="Times New Roman" w:hAnsi="Times New Roman" w:cs="Times New Roman"/>
          <w:i/>
          <w:iCs/>
          <w:color w:val="000000" w:themeColor="text1"/>
          <w:sz w:val="28"/>
          <w:szCs w:val="28"/>
        </w:rPr>
        <w:t>b</w:t>
      </w:r>
      <w:r w:rsidRPr="00CC7883">
        <w:rPr>
          <w:rFonts w:ascii="Times New Roman" w:hAnsi="Times New Roman" w:cs="Times New Roman"/>
          <w:color w:val="000000" w:themeColor="text1"/>
          <w:sz w:val="28"/>
          <w:szCs w:val="28"/>
        </w:rPr>
        <w:t xml:space="preserve"> до 24,0 і 9,0 мг/г вологої маси у більбергії зебрової (</w:t>
      </w:r>
      <w:r w:rsidRPr="00CC7883">
        <w:rPr>
          <w:rFonts w:ascii="Times New Roman" w:hAnsi="Times New Roman" w:cs="Times New Roman"/>
          <w:i/>
          <w:iCs/>
          <w:color w:val="000000" w:themeColor="text1"/>
          <w:sz w:val="28"/>
          <w:szCs w:val="28"/>
        </w:rPr>
        <w:t xml:space="preserve">Billbergia zebrina </w:t>
      </w:r>
      <w:r w:rsidRPr="00CC7883">
        <w:rPr>
          <w:rFonts w:ascii="Times New Roman" w:hAnsi="Times New Roman" w:cs="Times New Roman"/>
          <w:color w:val="000000" w:themeColor="text1"/>
          <w:sz w:val="28"/>
          <w:szCs w:val="28"/>
        </w:rPr>
        <w:t>(Herb.) Lindl</w:t>
      </w:r>
      <w:r w:rsidRPr="00CC7883">
        <w:rPr>
          <w:rFonts w:ascii="Times New Roman" w:hAnsi="Times New Roman" w:cs="Times New Roman"/>
          <w:i/>
          <w:iCs/>
          <w:color w:val="000000" w:themeColor="text1"/>
          <w:sz w:val="28"/>
          <w:szCs w:val="28"/>
        </w:rPr>
        <w:t>.</w:t>
      </w:r>
      <w:r w:rsidRPr="00CC7883">
        <w:rPr>
          <w:rFonts w:ascii="Times New Roman" w:hAnsi="Times New Roman" w:cs="Times New Roman"/>
          <w:color w:val="000000" w:themeColor="text1"/>
          <w:sz w:val="28"/>
          <w:szCs w:val="28"/>
        </w:rPr>
        <w:t>) та евкаліпту сольового (</w:t>
      </w:r>
      <w:r w:rsidRPr="00CC7883">
        <w:rPr>
          <w:rFonts w:ascii="Times New Roman" w:hAnsi="Times New Roman" w:cs="Times New Roman"/>
          <w:i/>
          <w:iCs/>
          <w:color w:val="000000" w:themeColor="text1"/>
          <w:sz w:val="28"/>
          <w:szCs w:val="28"/>
        </w:rPr>
        <w:t>Eucalyptus saligna</w:t>
      </w:r>
      <w:r w:rsidR="0066793F">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Sm.), підвищення концентрації сахарози до 60 г/л зменшувало вміст цих пігментів до 16 і 7 мг/г вологої маси [17</w:t>
      </w:r>
      <w:r w:rsidR="005B16DD" w:rsidRPr="00CC7883">
        <w:rPr>
          <w:rFonts w:ascii="Times New Roman" w:hAnsi="Times New Roman" w:cs="Times New Roman"/>
          <w:color w:val="000000" w:themeColor="text1"/>
          <w:sz w:val="28"/>
          <w:szCs w:val="28"/>
        </w:rPr>
        <w:t>7</w:t>
      </w:r>
      <w:r w:rsidR="00EC1E77"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2</w:t>
      </w:r>
      <w:r w:rsidR="005B16DD" w:rsidRPr="00CC7883">
        <w:rPr>
          <w:rFonts w:ascii="Times New Roman" w:hAnsi="Times New Roman" w:cs="Times New Roman"/>
          <w:color w:val="000000" w:themeColor="text1"/>
          <w:sz w:val="28"/>
          <w:szCs w:val="28"/>
        </w:rPr>
        <w:t>1</w:t>
      </w:r>
      <w:r w:rsidR="002D22A1" w:rsidRPr="00CC7883">
        <w:rPr>
          <w:rFonts w:ascii="Times New Roman" w:hAnsi="Times New Roman" w:cs="Times New Roman"/>
          <w:color w:val="000000" w:themeColor="text1"/>
          <w:sz w:val="28"/>
          <w:szCs w:val="28"/>
        </w:rPr>
        <w:t>9</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b/>
          <w:bCs/>
          <w:color w:val="000000" w:themeColor="text1"/>
          <w:sz w:val="28"/>
          <w:szCs w:val="28"/>
        </w:rPr>
      </w:pPr>
      <w:r w:rsidRPr="00CC7883">
        <w:rPr>
          <w:rFonts w:ascii="Times New Roman" w:hAnsi="Times New Roman" w:cs="Times New Roman"/>
          <w:color w:val="000000" w:themeColor="text1"/>
          <w:sz w:val="28"/>
          <w:szCs w:val="28"/>
        </w:rPr>
        <w:t xml:space="preserve">Дослідження Silva M. M. et al., Shin K. S. et al. та Marín-Martínez L. A. et al. показали, що тип освітлення та спектральний склад світла суттєво впливають на синтез пігментів у рослин </w:t>
      </w:r>
      <w:r w:rsidRPr="00CC7883">
        <w:rPr>
          <w:rFonts w:ascii="Times New Roman" w:hAnsi="Times New Roman" w:cs="Times New Roman"/>
          <w:i/>
          <w:iCs/>
          <w:color w:val="000000" w:themeColor="text1"/>
          <w:sz w:val="28"/>
          <w:szCs w:val="28"/>
        </w:rPr>
        <w:t>in</w:t>
      </w:r>
      <w:r w:rsidR="0066793F">
        <w:t> </w:t>
      </w:r>
      <w:r w:rsidRPr="00CC7883">
        <w:rPr>
          <w:rFonts w:ascii="Times New Roman" w:hAnsi="Times New Roman" w:cs="Times New Roman"/>
          <w:i/>
          <w:iCs/>
          <w:color w:val="000000" w:themeColor="text1"/>
          <w:sz w:val="28"/>
          <w:szCs w:val="28"/>
        </w:rPr>
        <w:t>vitro</w:t>
      </w:r>
      <w:r w:rsidRPr="00CC7883">
        <w:rPr>
          <w:rFonts w:ascii="Times New Roman" w:hAnsi="Times New Roman" w:cs="Times New Roman"/>
          <w:color w:val="000000" w:themeColor="text1"/>
          <w:sz w:val="28"/>
          <w:szCs w:val="28"/>
        </w:rPr>
        <w:t xml:space="preserve">. Зокрема, концентрація </w:t>
      </w:r>
      <w:r w:rsidRPr="00CC7883">
        <w:rPr>
          <w:rFonts w:ascii="Times New Roman" w:hAnsi="Times New Roman" w:cs="Times New Roman"/>
          <w:color w:val="000000" w:themeColor="text1"/>
          <w:sz w:val="28"/>
          <w:szCs w:val="28"/>
        </w:rPr>
        <w:lastRenderedPageBreak/>
        <w:t>хлорофілів та каротиноїдів у листках саджанців цукрової тростини (</w:t>
      </w:r>
      <w:r w:rsidRPr="00CC7883">
        <w:rPr>
          <w:rFonts w:ascii="Times New Roman" w:hAnsi="Times New Roman" w:cs="Times New Roman"/>
          <w:i/>
          <w:iCs/>
          <w:color w:val="000000" w:themeColor="text1"/>
          <w:sz w:val="28"/>
          <w:szCs w:val="28"/>
        </w:rPr>
        <w:t>Saccharum officinarum</w:t>
      </w:r>
      <w:r w:rsidRPr="00CC7883">
        <w:rPr>
          <w:rFonts w:ascii="Times New Roman" w:hAnsi="Times New Roman" w:cs="Times New Roman"/>
          <w:color w:val="000000" w:themeColor="text1"/>
          <w:sz w:val="28"/>
          <w:szCs w:val="28"/>
        </w:rPr>
        <w:t xml:space="preserve"> L.) та рослин роду доритенопсис (</w:t>
      </w:r>
      <w:r w:rsidRPr="00CC7883">
        <w:rPr>
          <w:rFonts w:ascii="Times New Roman" w:hAnsi="Times New Roman" w:cs="Times New Roman"/>
          <w:i/>
          <w:iCs/>
          <w:color w:val="000000" w:themeColor="text1"/>
          <w:sz w:val="28"/>
          <w:szCs w:val="28"/>
        </w:rPr>
        <w:t xml:space="preserve">Doritaenopsis spp. </w:t>
      </w:r>
      <w:r w:rsidRPr="00CC7883">
        <w:rPr>
          <w:rFonts w:ascii="Times New Roman" w:hAnsi="Times New Roman" w:cs="Times New Roman"/>
          <w:iCs/>
          <w:color w:val="000000" w:themeColor="text1"/>
          <w:sz w:val="28"/>
          <w:szCs w:val="28"/>
        </w:rPr>
        <w:t>Guillaumin</w:t>
      </w:r>
      <w:r w:rsidRPr="00CC7883">
        <w:rPr>
          <w:rFonts w:ascii="Times New Roman" w:hAnsi="Times New Roman" w:cs="Times New Roman"/>
          <w:color w:val="000000" w:themeColor="text1"/>
          <w:sz w:val="28"/>
          <w:szCs w:val="28"/>
        </w:rPr>
        <w:t>) варіювала залежно від спектру світла, причому найвищий вміст хлорофілів спостерігався після впливу білого світла – 0,82–0,90 мг/г вологої маси [17</w:t>
      </w:r>
      <w:r w:rsidR="00554845" w:rsidRPr="00CC7883">
        <w:rPr>
          <w:rFonts w:ascii="Times New Roman" w:hAnsi="Times New Roman" w:cs="Times New Roman"/>
          <w:color w:val="000000" w:themeColor="text1"/>
          <w:sz w:val="28"/>
          <w:szCs w:val="28"/>
        </w:rPr>
        <w:t>4</w:t>
      </w:r>
      <w:r w:rsidR="00EC1E77"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2</w:t>
      </w:r>
      <w:r w:rsidR="00554845" w:rsidRPr="00CC7883">
        <w:rPr>
          <w:rFonts w:ascii="Times New Roman" w:hAnsi="Times New Roman" w:cs="Times New Roman"/>
          <w:color w:val="000000" w:themeColor="text1"/>
          <w:sz w:val="28"/>
          <w:szCs w:val="28"/>
        </w:rPr>
        <w:t>2</w:t>
      </w:r>
      <w:r w:rsidR="002D22A1" w:rsidRPr="00CC7883">
        <w:rPr>
          <w:rFonts w:ascii="Times New Roman" w:hAnsi="Times New Roman" w:cs="Times New Roman"/>
          <w:color w:val="000000" w:themeColor="text1"/>
          <w:sz w:val="28"/>
          <w:szCs w:val="28"/>
        </w:rPr>
        <w:t>7</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bCs/>
          <w:i/>
          <w:iCs/>
          <w:color w:val="000000" w:themeColor="text1"/>
          <w:sz w:val="28"/>
          <w:szCs w:val="28"/>
        </w:rPr>
        <w:t>Виноград</w:t>
      </w:r>
      <w:r w:rsidRPr="00CC7883">
        <w:rPr>
          <w:rFonts w:ascii="Times New Roman" w:hAnsi="Times New Roman" w:cs="Times New Roman"/>
          <w:color w:val="000000" w:themeColor="text1"/>
          <w:sz w:val="28"/>
          <w:szCs w:val="28"/>
        </w:rPr>
        <w:t xml:space="preserve">. Синтез пігментного комплексу винограду в культурі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значною мірою визначається складом поживного середовища. Дослідження показали, що використання середовищ GH</w:t>
      </w:r>
      <w:r w:rsidR="005B16DD" w:rsidRPr="00CC7883">
        <w:rPr>
          <w:rFonts w:ascii="Times New Roman" w:hAnsi="Times New Roman" w:cs="Times New Roman"/>
          <w:color w:val="000000" w:themeColor="text1"/>
          <w:sz w:val="28"/>
          <w:szCs w:val="28"/>
        </w:rPr>
        <w:t>C (Galzy, Haffner і Compan) [121</w:t>
      </w:r>
      <w:r w:rsidRPr="00CC7883">
        <w:rPr>
          <w:rFonts w:ascii="Times New Roman" w:hAnsi="Times New Roman" w:cs="Times New Roman"/>
          <w:color w:val="000000" w:themeColor="text1"/>
          <w:sz w:val="28"/>
          <w:szCs w:val="28"/>
        </w:rPr>
        <w:t>], RAZ (Roubelakis-Angelakis і Ziva</w:t>
      </w:r>
      <w:r w:rsidR="005B16DD" w:rsidRPr="00CC7883">
        <w:rPr>
          <w:rFonts w:ascii="Times New Roman" w:hAnsi="Times New Roman" w:cs="Times New Roman"/>
          <w:color w:val="000000" w:themeColor="text1"/>
          <w:sz w:val="28"/>
          <w:szCs w:val="28"/>
        </w:rPr>
        <w:t>novitc) [2</w:t>
      </w:r>
      <w:r w:rsidR="00554845" w:rsidRPr="00CC7883">
        <w:rPr>
          <w:rFonts w:ascii="Times New Roman" w:hAnsi="Times New Roman" w:cs="Times New Roman"/>
          <w:color w:val="000000" w:themeColor="text1"/>
          <w:sz w:val="28"/>
          <w:szCs w:val="28"/>
        </w:rPr>
        <w:t>1</w:t>
      </w:r>
      <w:r w:rsidR="002D22A1" w:rsidRPr="00CC7883">
        <w:rPr>
          <w:rFonts w:ascii="Times New Roman" w:hAnsi="Times New Roman" w:cs="Times New Roman"/>
          <w:color w:val="000000" w:themeColor="text1"/>
          <w:sz w:val="28"/>
          <w:szCs w:val="28"/>
        </w:rPr>
        <w:t>7</w:t>
      </w:r>
      <w:r w:rsidRPr="00CC7883">
        <w:rPr>
          <w:rFonts w:ascii="Times New Roman" w:hAnsi="Times New Roman" w:cs="Times New Roman"/>
          <w:color w:val="000000" w:themeColor="text1"/>
          <w:sz w:val="28"/>
          <w:szCs w:val="28"/>
        </w:rPr>
        <w:t>], C2d (Chee і Pool) [1</w:t>
      </w:r>
      <w:r w:rsidR="00554845" w:rsidRPr="00CC7883">
        <w:rPr>
          <w:rFonts w:ascii="Times New Roman" w:hAnsi="Times New Roman" w:cs="Times New Roman"/>
          <w:color w:val="000000" w:themeColor="text1"/>
          <w:sz w:val="28"/>
          <w:szCs w:val="28"/>
        </w:rPr>
        <w:t>03] та DSD1 (Silva і Doazan) [2</w:t>
      </w:r>
      <w:r w:rsidR="002D22A1" w:rsidRPr="00CC7883">
        <w:rPr>
          <w:rFonts w:ascii="Times New Roman" w:hAnsi="Times New Roman" w:cs="Times New Roman"/>
          <w:color w:val="000000" w:themeColor="text1"/>
          <w:sz w:val="28"/>
          <w:szCs w:val="28"/>
        </w:rPr>
        <w:t>30</w:t>
      </w:r>
      <w:r w:rsidRPr="00CC7883">
        <w:rPr>
          <w:rFonts w:ascii="Times New Roman" w:hAnsi="Times New Roman" w:cs="Times New Roman"/>
          <w:color w:val="000000" w:themeColor="text1"/>
          <w:sz w:val="28"/>
          <w:szCs w:val="28"/>
        </w:rPr>
        <w:t xml:space="preserve">], які містили 20 г/л сахарози та 7 г/л агару і не містили регулятори росту, сприяло не тільки росту рослин, але й оптимізувало умови для накопичення хлорофілів та каротиноїдів у тканинах </w:t>
      </w:r>
      <w:r w:rsidR="005B16DD" w:rsidRPr="00CC7883">
        <w:rPr>
          <w:rFonts w:ascii="Times New Roman" w:hAnsi="Times New Roman" w:cs="Times New Roman"/>
          <w:color w:val="000000" w:themeColor="text1"/>
          <w:sz w:val="28"/>
          <w:szCs w:val="28"/>
        </w:rPr>
        <w:t>мікроклонів [93</w:t>
      </w:r>
      <w:r w:rsidRPr="00CC7883">
        <w:rPr>
          <w:rFonts w:ascii="Times New Roman" w:hAnsi="Times New Roman" w:cs="Times New Roman"/>
          <w:color w:val="000000" w:themeColor="text1"/>
          <w:sz w:val="28"/>
          <w:szCs w:val="28"/>
        </w:rPr>
        <w:t>]. Проте робота Tarinejad A. &amp; Amiri S. на сорті винограду «Shahroudi» показала, що підвищення концентрації сахарози у середовищі до 60 та 90 г/л сприяло накопиченню у листках 0,456 мг/г та 0,494 мг/г вологої маси хлорофілу, що свідчить про значний вплив цього компонент</w:t>
      </w:r>
      <w:r w:rsidR="006404BF">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на синтез пігментів [24</w:t>
      </w:r>
      <w:r w:rsidR="002D22A1" w:rsidRPr="00CC7883">
        <w:rPr>
          <w:rFonts w:ascii="Times New Roman" w:hAnsi="Times New Roman" w:cs="Times New Roman"/>
          <w:color w:val="000000" w:themeColor="text1"/>
          <w:sz w:val="28"/>
          <w:szCs w:val="28"/>
        </w:rPr>
        <w:t>2</w:t>
      </w:r>
      <w:r w:rsidRPr="00CC7883">
        <w:rPr>
          <w:rFonts w:ascii="Times New Roman" w:hAnsi="Times New Roman" w:cs="Times New Roman"/>
          <w:color w:val="000000" w:themeColor="text1"/>
          <w:sz w:val="28"/>
          <w:szCs w:val="28"/>
        </w:rPr>
        <w:t xml:space="preserve">]. </w:t>
      </w:r>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Світловий режим культивування винограду </w:t>
      </w:r>
      <w:r w:rsidR="00C85F8F"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є ще одним фактором, що впливає на синтез пігментів у тканинах мікроклонів винограду. Зокрема, використання світлових діодів з певним спектром світла – червоним та синім</w:t>
      </w:r>
      <w:r w:rsidR="001213D6">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 сприяло накопиченню хлорофілів, </w:t>
      </w:r>
      <w:r w:rsidR="005E2823" w:rsidRPr="00CC7883">
        <w:rPr>
          <w:rFonts w:ascii="Times New Roman" w:hAnsi="Times New Roman" w:cs="Times New Roman"/>
          <w:color w:val="000000" w:themeColor="text1"/>
          <w:sz w:val="28"/>
          <w:szCs w:val="28"/>
        </w:rPr>
        <w:t>каротиноїдів</w:t>
      </w:r>
      <w:r w:rsidRPr="00CC7883">
        <w:rPr>
          <w:rFonts w:ascii="Times New Roman" w:hAnsi="Times New Roman" w:cs="Times New Roman"/>
          <w:color w:val="000000" w:themeColor="text1"/>
          <w:sz w:val="28"/>
          <w:szCs w:val="28"/>
        </w:rPr>
        <w:t xml:space="preserve"> та підвищенню фотосинтетичної активності у сортів винограду «Hybrid</w:t>
      </w:r>
      <w:r w:rsidR="009C098F"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Blanc», «Ryuukyuuganebu», «Kadainou R-1». Результати показали, що відносний індекс хлорофілу під впливом синього світла становив 25,0</w:t>
      </w:r>
      <w:r w:rsidRPr="00CC7883">
        <w:rPr>
          <w:rFonts w:ascii="Times New Roman" w:eastAsia="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33,0, що свідчить про нижчий рівень синтезу пігментів порівняно з червоним св</w:t>
      </w:r>
      <w:r w:rsidR="00554845" w:rsidRPr="00CC7883">
        <w:rPr>
          <w:rFonts w:ascii="Times New Roman" w:hAnsi="Times New Roman" w:cs="Times New Roman"/>
          <w:color w:val="000000" w:themeColor="text1"/>
          <w:sz w:val="28"/>
          <w:szCs w:val="28"/>
        </w:rPr>
        <w:t>ітлом, але вищий за контроль [2</w:t>
      </w:r>
      <w:r w:rsidR="002D22A1" w:rsidRPr="00CC7883">
        <w:rPr>
          <w:rFonts w:ascii="Times New Roman" w:hAnsi="Times New Roman" w:cs="Times New Roman"/>
          <w:color w:val="000000" w:themeColor="text1"/>
          <w:sz w:val="28"/>
          <w:szCs w:val="28"/>
        </w:rPr>
        <w:t>10</w:t>
      </w:r>
      <w:r w:rsidRPr="00CC7883">
        <w:rPr>
          <w:rFonts w:ascii="Times New Roman" w:hAnsi="Times New Roman" w:cs="Times New Roman"/>
          <w:color w:val="000000" w:themeColor="text1"/>
          <w:sz w:val="28"/>
          <w:szCs w:val="28"/>
        </w:rPr>
        <w:t>]. Wang S. et al. навпаки довели, що вміст хлорофілів під впливом синього та червоного світла у сортів винограду «Італія» і «Кишмиш Століття» зменшувався на 0,6–21,6 % порівняно з початковим значенням [2</w:t>
      </w:r>
      <w:r w:rsidR="00554845" w:rsidRPr="00CC7883">
        <w:rPr>
          <w:rFonts w:ascii="Times New Roman" w:hAnsi="Times New Roman" w:cs="Times New Roman"/>
          <w:color w:val="000000" w:themeColor="text1"/>
          <w:sz w:val="28"/>
          <w:szCs w:val="28"/>
        </w:rPr>
        <w:t>5</w:t>
      </w:r>
      <w:r w:rsidR="002D22A1" w:rsidRPr="00CC7883">
        <w:rPr>
          <w:rFonts w:ascii="Times New Roman" w:hAnsi="Times New Roman" w:cs="Times New Roman"/>
          <w:color w:val="000000" w:themeColor="text1"/>
          <w:sz w:val="28"/>
          <w:szCs w:val="28"/>
        </w:rPr>
        <w:t>7</w:t>
      </w:r>
      <w:r w:rsidRPr="00CC7883">
        <w:rPr>
          <w:rFonts w:ascii="Times New Roman" w:hAnsi="Times New Roman" w:cs="Times New Roman"/>
          <w:color w:val="000000" w:themeColor="text1"/>
          <w:sz w:val="28"/>
          <w:szCs w:val="28"/>
        </w:rPr>
        <w:t xml:space="preserve">]. </w:t>
      </w:r>
      <w:bookmarkStart w:id="18" w:name="_Hlk157356804"/>
    </w:p>
    <w:p w:rsidR="00B01A54" w:rsidRPr="00CC7883" w:rsidRDefault="00B01A54" w:rsidP="00047411">
      <w:pPr>
        <w:pStyle w:val="Standard"/>
        <w:widowControl w:val="0"/>
        <w:suppressAutoHyphens w:val="0"/>
        <w:spacing w:line="360" w:lineRule="auto"/>
        <w:ind w:firstLine="709"/>
        <w:jc w:val="both"/>
        <w:rPr>
          <w:rFonts w:ascii="Times New Roman" w:hAnsi="Times New Roman" w:cs="Times New Roman"/>
          <w:i/>
          <w:color w:val="000000" w:themeColor="text1"/>
          <w:sz w:val="28"/>
          <w:szCs w:val="28"/>
        </w:rPr>
      </w:pPr>
    </w:p>
    <w:p w:rsidR="00B01A54" w:rsidRPr="00CC7883" w:rsidRDefault="00B01A54" w:rsidP="00047411">
      <w:pPr>
        <w:widowControl w:val="0"/>
        <w:spacing w:after="0" w:line="360" w:lineRule="auto"/>
        <w:ind w:firstLine="709"/>
        <w:jc w:val="both"/>
        <w:outlineLvl w:val="1"/>
        <w:rPr>
          <w:rFonts w:ascii="Times New Roman" w:hAnsi="Times New Roman" w:cs="Times New Roman"/>
          <w:b/>
          <w:bCs/>
          <w:color w:val="000000" w:themeColor="text1"/>
          <w:sz w:val="28"/>
          <w:szCs w:val="28"/>
        </w:rPr>
      </w:pPr>
      <w:bookmarkStart w:id="19" w:name="_Toc220058921"/>
      <w:r w:rsidRPr="00CC7883">
        <w:rPr>
          <w:rFonts w:ascii="Times New Roman" w:hAnsi="Times New Roman" w:cs="Times New Roman"/>
          <w:b/>
          <w:bCs/>
          <w:color w:val="000000" w:themeColor="text1"/>
          <w:sz w:val="28"/>
          <w:szCs w:val="28"/>
        </w:rPr>
        <w:lastRenderedPageBreak/>
        <w:t xml:space="preserve">1.6. Особливості анатомічної будови листкових пластинок рослин в умовах </w:t>
      </w:r>
      <w:r w:rsidR="00C85F8F" w:rsidRPr="00CC7883">
        <w:rPr>
          <w:rFonts w:ascii="Times New Roman" w:hAnsi="Times New Roman" w:cs="Times New Roman"/>
          <w:b/>
          <w:i/>
          <w:iCs/>
          <w:color w:val="000000" w:themeColor="text1"/>
          <w:sz w:val="28"/>
          <w:szCs w:val="28"/>
        </w:rPr>
        <w:t>in vitro</w:t>
      </w:r>
      <w:bookmarkEnd w:id="19"/>
    </w:p>
    <w:p w:rsidR="00B01A54" w:rsidRPr="00CC7883" w:rsidRDefault="00B01A54" w:rsidP="00047411">
      <w:pPr>
        <w:widowControl w:val="0"/>
        <w:autoSpaceDN w:val="0"/>
        <w:spacing w:after="0" w:line="360" w:lineRule="auto"/>
        <w:ind w:firstLine="708"/>
        <w:jc w:val="both"/>
        <w:textAlignment w:val="baseline"/>
        <w:rPr>
          <w:rFonts w:ascii="Times New Roman" w:eastAsia="NSimSun" w:hAnsi="Times New Roman" w:cs="Times New Roman"/>
          <w:i/>
          <w:color w:val="000000" w:themeColor="text1"/>
          <w:kern w:val="3"/>
          <w:sz w:val="28"/>
          <w:szCs w:val="28"/>
        </w:rPr>
      </w:pPr>
    </w:p>
    <w:bookmarkEnd w:id="18"/>
    <w:p w:rsidR="00B01A54" w:rsidRPr="00CC7883" w:rsidRDefault="00B01A54"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Анатомія нижнього епідермісу листків мікроклонів у культурі </w:t>
      </w:r>
      <w:r w:rsidRPr="00CC7883">
        <w:rPr>
          <w:rFonts w:ascii="Times New Roman" w:eastAsia="NSimSun" w:hAnsi="Times New Roman" w:cs="Times New Roman"/>
          <w:i/>
          <w:iCs/>
          <w:color w:val="000000" w:themeColor="text1"/>
          <w:kern w:val="3"/>
          <w:sz w:val="28"/>
          <w:szCs w:val="28"/>
        </w:rPr>
        <w:t>in vitro</w:t>
      </w:r>
      <w:r w:rsidRPr="00CC7883">
        <w:rPr>
          <w:rFonts w:ascii="Times New Roman" w:eastAsia="NSimSun" w:hAnsi="Times New Roman" w:cs="Times New Roman"/>
          <w:color w:val="000000" w:themeColor="text1"/>
          <w:kern w:val="3"/>
          <w:sz w:val="28"/>
          <w:szCs w:val="28"/>
        </w:rPr>
        <w:t xml:space="preserve"> має важливе значення для розуміння процесу газообміну між рослиною та навколишн</w:t>
      </w:r>
      <w:r w:rsidR="005B16DD" w:rsidRPr="00CC7883">
        <w:rPr>
          <w:rFonts w:ascii="Times New Roman" w:eastAsia="NSimSun" w:hAnsi="Times New Roman" w:cs="Times New Roman"/>
          <w:color w:val="000000" w:themeColor="text1"/>
          <w:kern w:val="3"/>
          <w:sz w:val="28"/>
          <w:szCs w:val="28"/>
        </w:rPr>
        <w:t>ім середовищем через продихи [66</w:t>
      </w:r>
      <w:r w:rsidRPr="00CC7883">
        <w:rPr>
          <w:rFonts w:ascii="Times New Roman" w:eastAsia="NSimSun" w:hAnsi="Times New Roman" w:cs="Times New Roman"/>
          <w:color w:val="000000" w:themeColor="text1"/>
          <w:kern w:val="3"/>
          <w:sz w:val="28"/>
          <w:szCs w:val="28"/>
        </w:rPr>
        <w:t xml:space="preserve">]. Продихи рослин </w:t>
      </w:r>
      <w:r w:rsidRPr="00CC7883">
        <w:rPr>
          <w:rFonts w:ascii="Times New Roman" w:eastAsia="NSimSun" w:hAnsi="Times New Roman" w:cs="Times New Roman"/>
          <w:i/>
          <w:color w:val="000000" w:themeColor="text1"/>
          <w:kern w:val="3"/>
          <w:sz w:val="28"/>
          <w:szCs w:val="28"/>
        </w:rPr>
        <w:t>in</w:t>
      </w:r>
      <w:r w:rsidR="000553AD" w:rsidRPr="00CC7883">
        <w:rPr>
          <w:rFonts w:ascii="Times New Roman" w:eastAsia="NSimSun" w:hAnsi="Times New Roman" w:cs="Times New Roman"/>
          <w:i/>
          <w:color w:val="000000" w:themeColor="text1"/>
          <w:kern w:val="3"/>
          <w:sz w:val="28"/>
          <w:szCs w:val="28"/>
        </w:rPr>
        <w:t> </w:t>
      </w:r>
      <w:r w:rsidRPr="00CC7883">
        <w:rPr>
          <w:rFonts w:ascii="Times New Roman" w:eastAsia="NSimSun" w:hAnsi="Times New Roman" w:cs="Times New Roman"/>
          <w:i/>
          <w:color w:val="000000" w:themeColor="text1"/>
          <w:kern w:val="3"/>
          <w:sz w:val="28"/>
          <w:szCs w:val="28"/>
        </w:rPr>
        <w:t xml:space="preserve">vitro </w:t>
      </w:r>
      <w:r w:rsidRPr="00CC7883">
        <w:rPr>
          <w:rFonts w:ascii="Times New Roman" w:eastAsia="NSimSun" w:hAnsi="Times New Roman" w:cs="Times New Roman"/>
          <w:color w:val="000000" w:themeColor="text1"/>
          <w:kern w:val="3"/>
          <w:sz w:val="28"/>
          <w:szCs w:val="28"/>
        </w:rPr>
        <w:t xml:space="preserve">складаються з двох замикаючих клітин. Залежно від вологості та інших факторів, продихи відкриваються і закриваються, регулюючи рівень газообміну рослин із зовнішнім середовищем. Це допомагає рослинам зберігати вологу, необхідну для їх фізіологічних процесів </w:t>
      </w:r>
      <w:r w:rsidR="005B16DD" w:rsidRPr="00CC7883">
        <w:rPr>
          <w:rFonts w:ascii="Times New Roman" w:eastAsia="NSimSun" w:hAnsi="Times New Roman" w:cs="Times New Roman"/>
          <w:color w:val="000000" w:themeColor="text1"/>
          <w:kern w:val="3"/>
          <w:sz w:val="28"/>
          <w:szCs w:val="28"/>
        </w:rPr>
        <w:t>[66</w:t>
      </w:r>
      <w:r w:rsidRPr="00CC7883">
        <w:rPr>
          <w:rFonts w:ascii="Times New Roman" w:eastAsia="NSimSun" w:hAnsi="Times New Roman" w:cs="Times New Roman"/>
          <w:color w:val="000000" w:themeColor="text1"/>
          <w:kern w:val="3"/>
          <w:sz w:val="28"/>
          <w:szCs w:val="28"/>
        </w:rPr>
        <w:t xml:space="preserve">]. Під час культивування рослин </w:t>
      </w:r>
      <w:r w:rsidRPr="00CC7883">
        <w:rPr>
          <w:rFonts w:ascii="Times New Roman" w:eastAsia="NSimSun" w:hAnsi="Times New Roman" w:cs="Times New Roman"/>
          <w:i/>
          <w:iCs/>
          <w:color w:val="000000" w:themeColor="text1"/>
          <w:kern w:val="3"/>
          <w:sz w:val="28"/>
          <w:szCs w:val="28"/>
        </w:rPr>
        <w:t>in</w:t>
      </w:r>
      <w:r w:rsidR="000553AD" w:rsidRPr="00CC7883">
        <w:rPr>
          <w:rFonts w:ascii="Times New Roman" w:eastAsia="NSimSun" w:hAnsi="Times New Roman" w:cs="Times New Roman"/>
          <w:i/>
          <w:iCs/>
          <w:color w:val="000000" w:themeColor="text1"/>
          <w:kern w:val="3"/>
          <w:sz w:val="28"/>
          <w:szCs w:val="28"/>
        </w:rPr>
        <w:t> </w:t>
      </w:r>
      <w:r w:rsidRPr="00CC7883">
        <w:rPr>
          <w:rFonts w:ascii="Times New Roman" w:eastAsia="NSimSun" w:hAnsi="Times New Roman" w:cs="Times New Roman"/>
          <w:i/>
          <w:iCs/>
          <w:color w:val="000000" w:themeColor="text1"/>
          <w:kern w:val="3"/>
          <w:sz w:val="28"/>
          <w:szCs w:val="28"/>
        </w:rPr>
        <w:t>vitro</w:t>
      </w:r>
      <w:r w:rsidRPr="00CC7883">
        <w:rPr>
          <w:rFonts w:ascii="Times New Roman" w:eastAsia="NSimSun" w:hAnsi="Times New Roman" w:cs="Times New Roman"/>
          <w:color w:val="000000" w:themeColor="text1"/>
          <w:kern w:val="3"/>
          <w:sz w:val="28"/>
          <w:szCs w:val="28"/>
        </w:rPr>
        <w:t xml:space="preserve"> продихи стають менш активними та ефективними у газообміні з навколишнім середовищем, що при перенесенн</w:t>
      </w:r>
      <w:r w:rsidR="00787CE2">
        <w:rPr>
          <w:rFonts w:ascii="Times New Roman" w:eastAsia="NSimSun" w:hAnsi="Times New Roman" w:cs="Times New Roman"/>
          <w:color w:val="000000" w:themeColor="text1"/>
          <w:kern w:val="3"/>
          <w:sz w:val="28"/>
          <w:szCs w:val="28"/>
        </w:rPr>
        <w:t>і</w:t>
      </w:r>
      <w:r w:rsidRPr="00CC7883">
        <w:rPr>
          <w:rFonts w:ascii="Times New Roman" w:eastAsia="NSimSun" w:hAnsi="Times New Roman" w:cs="Times New Roman"/>
          <w:color w:val="000000" w:themeColor="text1"/>
          <w:kern w:val="3"/>
          <w:sz w:val="28"/>
          <w:szCs w:val="28"/>
        </w:rPr>
        <w:t xml:space="preserve"> рослин в умови </w:t>
      </w:r>
      <w:r w:rsidR="000553AD" w:rsidRPr="00CC7883">
        <w:rPr>
          <w:rFonts w:ascii="Times New Roman" w:eastAsia="NSimSun" w:hAnsi="Times New Roman" w:cs="Times New Roman"/>
          <w:i/>
          <w:iCs/>
          <w:color w:val="000000" w:themeColor="text1"/>
          <w:kern w:val="3"/>
          <w:sz w:val="28"/>
          <w:szCs w:val="28"/>
        </w:rPr>
        <w:t>in vivo</w:t>
      </w:r>
      <w:r w:rsidRPr="00CC7883">
        <w:rPr>
          <w:rFonts w:ascii="Times New Roman" w:eastAsia="NSimSun" w:hAnsi="Times New Roman" w:cs="Times New Roman"/>
          <w:color w:val="000000" w:themeColor="text1"/>
          <w:kern w:val="3"/>
          <w:sz w:val="28"/>
          <w:szCs w:val="28"/>
        </w:rPr>
        <w:t xml:space="preserve"> може спричиняти надмірну втрату води та загибель значної частини мікроклонів. Тому важливо розробити технологічні прийоми, які регулюватимуть активність продихів, як у культурі </w:t>
      </w:r>
      <w:r w:rsidRPr="00CC7883">
        <w:rPr>
          <w:rFonts w:ascii="Times New Roman" w:eastAsia="NSimSun" w:hAnsi="Times New Roman" w:cs="Times New Roman"/>
          <w:i/>
          <w:iCs/>
          <w:color w:val="000000" w:themeColor="text1"/>
          <w:kern w:val="3"/>
          <w:sz w:val="28"/>
          <w:szCs w:val="28"/>
        </w:rPr>
        <w:t>in vitro</w:t>
      </w:r>
      <w:r w:rsidRPr="00CC7883">
        <w:rPr>
          <w:rFonts w:ascii="Times New Roman" w:eastAsia="NSimSun" w:hAnsi="Times New Roman" w:cs="Times New Roman"/>
          <w:color w:val="000000" w:themeColor="text1"/>
          <w:kern w:val="3"/>
          <w:sz w:val="28"/>
          <w:szCs w:val="28"/>
        </w:rPr>
        <w:t xml:space="preserve">, так і під час адаптації до умов </w:t>
      </w:r>
      <w:r w:rsidR="000553AD" w:rsidRPr="00CC7883">
        <w:rPr>
          <w:rFonts w:ascii="Times New Roman" w:eastAsia="NSimSun" w:hAnsi="Times New Roman" w:cs="Times New Roman"/>
          <w:i/>
          <w:iCs/>
          <w:color w:val="000000" w:themeColor="text1"/>
          <w:kern w:val="3"/>
          <w:sz w:val="28"/>
          <w:szCs w:val="28"/>
        </w:rPr>
        <w:t>in vivo</w:t>
      </w:r>
      <w:r w:rsidRPr="00CC7883">
        <w:rPr>
          <w:rFonts w:ascii="Times New Roman" w:eastAsia="NSimSun" w:hAnsi="Times New Roman" w:cs="Times New Roman"/>
          <w:color w:val="000000" w:themeColor="text1"/>
          <w:kern w:val="3"/>
          <w:sz w:val="28"/>
          <w:szCs w:val="28"/>
        </w:rPr>
        <w:t>.</w:t>
      </w:r>
    </w:p>
    <w:p w:rsidR="00B01A54" w:rsidRPr="00CC7883" w:rsidRDefault="00B01A54"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наукових працях Akita K. et al., Kottapalli J. et al., Li Y. et al. показано, що високі концентрації цукрів у поживному середовищі зменшують апертуру та провідність продихів, знижують транспірацію та порушують їх просторову організацію, обмежуючи газообмін. Тому для забезпечення оптимальної роботи продихового апарату </w:t>
      </w:r>
      <w:r w:rsidRPr="00CC7883">
        <w:rPr>
          <w:rFonts w:ascii="Times New Roman" w:eastAsia="NSimSun" w:hAnsi="Times New Roman" w:cs="Times New Roman"/>
          <w:i/>
          <w:iCs/>
          <w:color w:val="000000" w:themeColor="text1"/>
          <w:kern w:val="3"/>
          <w:sz w:val="28"/>
          <w:szCs w:val="28"/>
        </w:rPr>
        <w:t>in vitro</w:t>
      </w:r>
      <w:r w:rsidRPr="00CC7883">
        <w:rPr>
          <w:rFonts w:ascii="Times New Roman" w:eastAsia="NSimSun" w:hAnsi="Times New Roman" w:cs="Times New Roman"/>
          <w:color w:val="000000" w:themeColor="text1"/>
          <w:kern w:val="3"/>
          <w:sz w:val="28"/>
          <w:szCs w:val="28"/>
        </w:rPr>
        <w:t xml:space="preserve"> доцільно використовувати поживні середовища MS із низьким вмістом цукру. Зокрема, у дослідженнях на </w:t>
      </w:r>
      <w:r w:rsidRPr="00CC7883">
        <w:rPr>
          <w:rFonts w:ascii="Times New Roman" w:eastAsia="NSimSun" w:hAnsi="Times New Roman" w:cs="Times New Roman"/>
          <w:i/>
          <w:iCs/>
          <w:color w:val="000000" w:themeColor="text1"/>
          <w:kern w:val="3"/>
          <w:sz w:val="28"/>
          <w:szCs w:val="28"/>
        </w:rPr>
        <w:t>Arabidopsis thaliana</w:t>
      </w:r>
      <w:r w:rsidRPr="00CC7883">
        <w:rPr>
          <w:rFonts w:ascii="Times New Roman" w:eastAsia="NSimSun" w:hAnsi="Times New Roman" w:cs="Times New Roman"/>
          <w:color w:val="000000" w:themeColor="text1"/>
          <w:kern w:val="3"/>
          <w:sz w:val="28"/>
          <w:szCs w:val="28"/>
        </w:rPr>
        <w:t xml:space="preserve"> (L.) Heynh., пшениці звичайній (</w:t>
      </w:r>
      <w:r w:rsidRPr="00CC7883">
        <w:rPr>
          <w:rFonts w:ascii="Times New Roman" w:eastAsia="NSimSun" w:hAnsi="Times New Roman" w:cs="Times New Roman"/>
          <w:i/>
          <w:iCs/>
          <w:color w:val="000000" w:themeColor="text1"/>
          <w:kern w:val="3"/>
          <w:sz w:val="28"/>
          <w:szCs w:val="28"/>
        </w:rPr>
        <w:t>Triticum aestivum</w:t>
      </w:r>
      <w:r w:rsidRPr="00CC7883">
        <w:rPr>
          <w:rFonts w:ascii="Times New Roman" w:eastAsia="NSimSun" w:hAnsi="Times New Roman" w:cs="Times New Roman"/>
          <w:color w:val="000000" w:themeColor="text1"/>
          <w:kern w:val="3"/>
          <w:sz w:val="28"/>
          <w:szCs w:val="28"/>
        </w:rPr>
        <w:t xml:space="preserve"> L.) та кавуні (</w:t>
      </w:r>
      <w:r w:rsidRPr="00CC7883">
        <w:rPr>
          <w:rFonts w:ascii="Times New Roman" w:eastAsia="NSimSun" w:hAnsi="Times New Roman" w:cs="Times New Roman"/>
          <w:i/>
          <w:iCs/>
          <w:color w:val="000000" w:themeColor="text1"/>
          <w:kern w:val="3"/>
          <w:sz w:val="28"/>
          <w:szCs w:val="28"/>
        </w:rPr>
        <w:t>Citrullus lanatus</w:t>
      </w:r>
      <w:r w:rsidRPr="00CC7883">
        <w:rPr>
          <w:rFonts w:ascii="Times New Roman" w:eastAsia="NSimSun" w:hAnsi="Times New Roman" w:cs="Times New Roman"/>
          <w:color w:val="000000" w:themeColor="text1"/>
          <w:kern w:val="3"/>
          <w:sz w:val="28"/>
          <w:szCs w:val="28"/>
        </w:rPr>
        <w:t xml:space="preserve"> (Thunb.) Matsum. &amp; Nakai) встановлено, що високі концентрації сахарози (34–68 г/л), глюкози (18–36 г/л) та фруктози (18–36 г/л) зменшували розмір продихових щілин (апертуру) на 26,0–54,0 % порівняно з контролем. Одночасно знижувалися провідність продихів і інтенсивність транспірації на 27,0–49,0 %, а також спостерігалося збільшення угруповань продихів (пари, трійки, четвірки та групи з 5–12 шт.) </w:t>
      </w:r>
      <w:r w:rsidR="005E11E7">
        <w:rPr>
          <w:rFonts w:ascii="Times New Roman" w:eastAsia="NSimSun" w:hAnsi="Times New Roman" w:cs="Times New Roman"/>
          <w:color w:val="000000" w:themeColor="text1"/>
          <w:kern w:val="3"/>
          <w:sz w:val="28"/>
          <w:szCs w:val="28"/>
        </w:rPr>
        <w:t>порівняно</w:t>
      </w:r>
      <w:r w:rsidRPr="00CC7883">
        <w:rPr>
          <w:rFonts w:ascii="Times New Roman" w:eastAsia="NSimSun" w:hAnsi="Times New Roman" w:cs="Times New Roman"/>
          <w:color w:val="000000" w:themeColor="text1"/>
          <w:kern w:val="3"/>
          <w:sz w:val="28"/>
          <w:szCs w:val="28"/>
        </w:rPr>
        <w:t xml:space="preserve"> з рослинами </w:t>
      </w:r>
      <w:r w:rsidR="005B16DD" w:rsidRPr="00CC7883">
        <w:rPr>
          <w:rFonts w:ascii="Times New Roman" w:eastAsia="NSimSun" w:hAnsi="Times New Roman" w:cs="Times New Roman"/>
          <w:color w:val="000000" w:themeColor="text1"/>
          <w:kern w:val="3"/>
          <w:sz w:val="28"/>
          <w:szCs w:val="28"/>
        </w:rPr>
        <w:t>на середовищі без цукру [77</w:t>
      </w:r>
      <w:r w:rsidR="00EC1E77" w:rsidRPr="00F62136">
        <w:rPr>
          <w:rFonts w:ascii="Times New Roman" w:eastAsia="NSimSun" w:hAnsi="Times New Roman" w:cs="Times New Roman"/>
          <w:color w:val="000000" w:themeColor="text1"/>
          <w:kern w:val="3"/>
          <w:sz w:val="28"/>
          <w:szCs w:val="28"/>
        </w:rPr>
        <w:t>,</w:t>
      </w:r>
      <w:r w:rsidR="00CF2A17" w:rsidRPr="00CC7883">
        <w:rPr>
          <w:rFonts w:ascii="Times New Roman" w:eastAsia="NSimSun" w:hAnsi="Times New Roman" w:cs="Times New Roman"/>
          <w:color w:val="000000" w:themeColor="text1"/>
          <w:kern w:val="3"/>
          <w:sz w:val="28"/>
          <w:szCs w:val="28"/>
        </w:rPr>
        <w:t xml:space="preserve"> 149</w:t>
      </w:r>
      <w:r w:rsidR="00EC1E77" w:rsidRPr="00F62136">
        <w:rPr>
          <w:rFonts w:ascii="Times New Roman" w:eastAsia="NSimSun" w:hAnsi="Times New Roman" w:cs="Times New Roman"/>
          <w:color w:val="000000" w:themeColor="text1"/>
          <w:kern w:val="3"/>
          <w:sz w:val="28"/>
          <w:szCs w:val="28"/>
        </w:rPr>
        <w:t>,</w:t>
      </w:r>
      <w:r w:rsidR="005227A7" w:rsidRPr="00CC7883">
        <w:rPr>
          <w:rFonts w:ascii="Times New Roman" w:eastAsia="NSimSun" w:hAnsi="Times New Roman" w:cs="Times New Roman"/>
          <w:color w:val="000000" w:themeColor="text1"/>
          <w:kern w:val="3"/>
          <w:sz w:val="28"/>
          <w:szCs w:val="28"/>
        </w:rPr>
        <w:t xml:space="preserve"> 16</w:t>
      </w:r>
      <w:r w:rsidR="00CF2A17" w:rsidRPr="00CC7883">
        <w:rPr>
          <w:rFonts w:ascii="Times New Roman" w:eastAsia="NSimSun" w:hAnsi="Times New Roman" w:cs="Times New Roman"/>
          <w:color w:val="000000" w:themeColor="text1"/>
          <w:kern w:val="3"/>
          <w:sz w:val="28"/>
          <w:szCs w:val="28"/>
        </w:rPr>
        <w:t>4</w:t>
      </w:r>
      <w:r w:rsidRPr="00CC7883">
        <w:rPr>
          <w:rFonts w:ascii="Times New Roman" w:eastAsia="NSimSun" w:hAnsi="Times New Roman" w:cs="Times New Roman"/>
          <w:color w:val="000000" w:themeColor="text1"/>
          <w:kern w:val="3"/>
          <w:sz w:val="28"/>
          <w:szCs w:val="28"/>
        </w:rPr>
        <w:t xml:space="preserve">]. </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lastRenderedPageBreak/>
        <w:t>На функціонування продихів значний вплив мають фітогормони, які додають до поживного середовища. Зокрема, цитокініни, такі як 6-БАП і кінетин, стимулюють поділ клітин і розвиток листків, що призвод</w:t>
      </w:r>
      <w:r w:rsidR="00787CE2">
        <w:rPr>
          <w:rFonts w:ascii="Times New Roman" w:eastAsia="NSimSun" w:hAnsi="Times New Roman" w:cs="Times New Roman"/>
          <w:color w:val="000000" w:themeColor="text1"/>
          <w:kern w:val="3"/>
          <w:sz w:val="28"/>
          <w:szCs w:val="28"/>
        </w:rPr>
        <w:t>и</w:t>
      </w:r>
      <w:r w:rsidRPr="00CC7883">
        <w:rPr>
          <w:rFonts w:ascii="Times New Roman" w:eastAsia="NSimSun" w:hAnsi="Times New Roman" w:cs="Times New Roman"/>
          <w:color w:val="000000" w:themeColor="text1"/>
          <w:kern w:val="3"/>
          <w:sz w:val="28"/>
          <w:szCs w:val="28"/>
        </w:rPr>
        <w:t>ть до збільшення кількості та розміру продихів. Так, Mani M. &amp; Shekhawat M. S. на прикладі культивування пасифлори смердючої (</w:t>
      </w:r>
      <w:r w:rsidRPr="00CC7883">
        <w:rPr>
          <w:rFonts w:ascii="Times New Roman" w:eastAsia="NSimSun" w:hAnsi="Times New Roman" w:cs="Times New Roman"/>
          <w:i/>
          <w:iCs/>
          <w:color w:val="000000" w:themeColor="text1"/>
          <w:kern w:val="3"/>
          <w:sz w:val="28"/>
          <w:szCs w:val="28"/>
        </w:rPr>
        <w:t>Passiflora foetida</w:t>
      </w:r>
      <w:r w:rsidRPr="00CC7883">
        <w:rPr>
          <w:rFonts w:ascii="Times New Roman" w:eastAsia="NSimSun" w:hAnsi="Times New Roman" w:cs="Times New Roman"/>
          <w:color w:val="000000" w:themeColor="text1"/>
          <w:kern w:val="3"/>
          <w:sz w:val="28"/>
          <w:szCs w:val="28"/>
        </w:rPr>
        <w:t xml:space="preserve"> L.) показали, що внесення 6-БАП та кінетину у концентрації 0,5 мг/л на етапі субкультивування сприяло утворенню більшої кількості пагонів. Проте після перенесення рослин з культури </w:t>
      </w:r>
      <w:r w:rsidRPr="00CC7883">
        <w:rPr>
          <w:rFonts w:ascii="Times New Roman" w:eastAsia="NSimSun" w:hAnsi="Times New Roman" w:cs="Times New Roman"/>
          <w:i/>
          <w:iCs/>
          <w:color w:val="000000" w:themeColor="text1"/>
          <w:kern w:val="3"/>
          <w:sz w:val="28"/>
          <w:szCs w:val="28"/>
        </w:rPr>
        <w:t>in</w:t>
      </w:r>
      <w:r w:rsidR="00894C28" w:rsidRPr="00CC7883">
        <w:rPr>
          <w:rFonts w:ascii="Times New Roman" w:eastAsia="NSimSun" w:hAnsi="Times New Roman" w:cs="Times New Roman"/>
          <w:i/>
          <w:iCs/>
          <w:color w:val="000000" w:themeColor="text1"/>
          <w:kern w:val="3"/>
          <w:sz w:val="28"/>
          <w:szCs w:val="28"/>
        </w:rPr>
        <w:t> </w:t>
      </w:r>
      <w:r w:rsidRPr="00CC7883">
        <w:rPr>
          <w:rFonts w:ascii="Times New Roman" w:eastAsia="NSimSun" w:hAnsi="Times New Roman" w:cs="Times New Roman"/>
          <w:i/>
          <w:iCs/>
          <w:color w:val="000000" w:themeColor="text1"/>
          <w:kern w:val="3"/>
          <w:sz w:val="28"/>
          <w:szCs w:val="28"/>
        </w:rPr>
        <w:t>vitro</w:t>
      </w:r>
      <w:r w:rsidRPr="00CC7883">
        <w:rPr>
          <w:rFonts w:ascii="Times New Roman" w:eastAsia="NSimSun" w:hAnsi="Times New Roman" w:cs="Times New Roman"/>
          <w:color w:val="000000" w:themeColor="text1"/>
          <w:kern w:val="3"/>
          <w:sz w:val="28"/>
          <w:szCs w:val="28"/>
        </w:rPr>
        <w:t xml:space="preserve"> в умови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NSimSun" w:hAnsi="Times New Roman" w:cs="Times New Roman"/>
          <w:color w:val="000000" w:themeColor="text1"/>
          <w:kern w:val="3"/>
          <w:sz w:val="28"/>
          <w:szCs w:val="28"/>
        </w:rPr>
        <w:t xml:space="preserve"> спостерігалося зниження індексу продихів (з 23,2 ± 0,15 % (контроль) до 21,0 ± 0,19 %), що пов’язують із перебудовою листкової пластинки в процесі адаптації. У природних умовах збільшувалася щільність продихів, кількість жилкових (з 10,0 ± 0,14 до 15,6 ± 0,24 шт./мм²) та кінцевих відгалужень (з 1,6 ± 0,14 до 5,0 ± 0,20 шт./мм²), а також суттєво зростала густота трихом, що розглядається як адаптивна реакція рослин до</w:t>
      </w:r>
      <w:r w:rsidR="005227A7" w:rsidRPr="00CC7883">
        <w:rPr>
          <w:rFonts w:ascii="Times New Roman" w:eastAsia="NSimSun" w:hAnsi="Times New Roman" w:cs="Times New Roman"/>
          <w:color w:val="000000" w:themeColor="text1"/>
          <w:kern w:val="3"/>
          <w:sz w:val="28"/>
          <w:szCs w:val="28"/>
        </w:rPr>
        <w:t xml:space="preserve"> природних умов вирощування [17</w:t>
      </w:r>
      <w:r w:rsidR="00CF2A17" w:rsidRPr="00CC7883">
        <w:rPr>
          <w:rFonts w:ascii="Times New Roman" w:eastAsia="NSimSun" w:hAnsi="Times New Roman" w:cs="Times New Roman"/>
          <w:color w:val="000000" w:themeColor="text1"/>
          <w:kern w:val="3"/>
          <w:sz w:val="28"/>
          <w:szCs w:val="28"/>
        </w:rPr>
        <w:t>1</w:t>
      </w:r>
      <w:r w:rsidRPr="00CC7883">
        <w:rPr>
          <w:rFonts w:ascii="Times New Roman" w:eastAsia="NSimSun" w:hAnsi="Times New Roman" w:cs="Times New Roman"/>
          <w:color w:val="000000" w:themeColor="text1"/>
          <w:kern w:val="3"/>
          <w:sz w:val="28"/>
          <w:szCs w:val="28"/>
        </w:rPr>
        <w:t>]. Franks P. J. &amp; Farquhar G. D. і Leckie C. P. et al. вказують на позитивний вплив щодо функціонування продихового апарату абсцизової кислоти. Її додавали до поживного середовища, на якому культивували традесканцію віргінську (</w:t>
      </w:r>
      <w:r w:rsidRPr="00CC7883">
        <w:rPr>
          <w:rFonts w:ascii="Times New Roman" w:eastAsia="NSimSun" w:hAnsi="Times New Roman" w:cs="Times New Roman"/>
          <w:i/>
          <w:iCs/>
          <w:color w:val="000000" w:themeColor="text1"/>
          <w:kern w:val="3"/>
          <w:sz w:val="28"/>
          <w:szCs w:val="28"/>
        </w:rPr>
        <w:t>Tradescantia virginiana</w:t>
      </w:r>
      <w:r w:rsidRPr="00CC7883">
        <w:rPr>
          <w:rFonts w:ascii="Times New Roman" w:eastAsia="NSimSun" w:hAnsi="Times New Roman" w:cs="Times New Roman"/>
          <w:color w:val="000000" w:themeColor="text1"/>
          <w:kern w:val="3"/>
          <w:sz w:val="28"/>
          <w:szCs w:val="28"/>
        </w:rPr>
        <w:t xml:space="preserve"> L.) та біб кінський (</w:t>
      </w:r>
      <w:r w:rsidRPr="00CC7883">
        <w:rPr>
          <w:rFonts w:ascii="Times New Roman" w:eastAsia="NSimSun" w:hAnsi="Times New Roman" w:cs="Times New Roman"/>
          <w:i/>
          <w:iCs/>
          <w:color w:val="000000" w:themeColor="text1"/>
          <w:kern w:val="3"/>
          <w:sz w:val="28"/>
          <w:szCs w:val="28"/>
        </w:rPr>
        <w:t>Vicia faba</w:t>
      </w:r>
      <w:r w:rsidRPr="00CC7883">
        <w:rPr>
          <w:rFonts w:ascii="Times New Roman" w:eastAsia="NSimSun" w:hAnsi="Times New Roman" w:cs="Times New Roman"/>
          <w:color w:val="000000" w:themeColor="text1"/>
          <w:kern w:val="3"/>
          <w:sz w:val="28"/>
          <w:szCs w:val="28"/>
        </w:rPr>
        <w:t xml:space="preserve"> L.)</w:t>
      </w:r>
      <w:r w:rsidR="00787CE2">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w:t>
      </w:r>
      <w:r w:rsidR="00787CE2">
        <w:rPr>
          <w:rFonts w:ascii="Times New Roman" w:eastAsia="NSimSun" w:hAnsi="Times New Roman" w:cs="Times New Roman"/>
          <w:color w:val="000000" w:themeColor="text1"/>
          <w:kern w:val="3"/>
          <w:sz w:val="28"/>
          <w:szCs w:val="28"/>
        </w:rPr>
        <w:t>Вони</w:t>
      </w:r>
      <w:r w:rsidRPr="00CC7883">
        <w:rPr>
          <w:rFonts w:ascii="Times New Roman" w:eastAsia="NSimSun" w:hAnsi="Times New Roman" w:cs="Times New Roman"/>
          <w:color w:val="000000" w:themeColor="text1"/>
          <w:kern w:val="3"/>
          <w:sz w:val="28"/>
          <w:szCs w:val="28"/>
        </w:rPr>
        <w:t xml:space="preserve"> встановили, що вона сприяє збільшенню ширини продихових щілин до 20,0</w:t>
      </w:r>
      <w:r w:rsidRPr="00CC7883">
        <w:rPr>
          <w:rFonts w:ascii="Times New Roman" w:eastAsia="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25,0 мкм та площі продихів до 120,0</w:t>
      </w:r>
      <w:r w:rsidRPr="00CC7883">
        <w:rPr>
          <w:rFonts w:ascii="Times New Roman" w:eastAsia="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200,0 мкм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[11</w:t>
      </w:r>
      <w:r w:rsidR="005B16DD" w:rsidRPr="00CC7883">
        <w:rPr>
          <w:rFonts w:ascii="Times New Roman" w:eastAsia="NSimSun" w:hAnsi="Times New Roman" w:cs="Times New Roman"/>
          <w:color w:val="000000" w:themeColor="text1"/>
          <w:kern w:val="3"/>
          <w:sz w:val="28"/>
          <w:szCs w:val="28"/>
        </w:rPr>
        <w:t>7</w:t>
      </w:r>
      <w:r w:rsidR="00EC1E77" w:rsidRPr="00F62136">
        <w:rPr>
          <w:rFonts w:ascii="Times New Roman" w:eastAsia="NSimSun" w:hAnsi="Times New Roman" w:cs="Times New Roman"/>
          <w:color w:val="000000" w:themeColor="text1"/>
          <w:kern w:val="3"/>
          <w:sz w:val="28"/>
          <w:szCs w:val="28"/>
          <w:lang w:val="ru-RU"/>
        </w:rPr>
        <w:t>,</w:t>
      </w:r>
      <w:r w:rsidR="005B16DD" w:rsidRPr="00CC7883">
        <w:rPr>
          <w:rFonts w:ascii="Times New Roman" w:eastAsia="NSimSun" w:hAnsi="Times New Roman" w:cs="Times New Roman"/>
          <w:color w:val="000000" w:themeColor="text1"/>
          <w:kern w:val="3"/>
          <w:sz w:val="28"/>
          <w:szCs w:val="28"/>
        </w:rPr>
        <w:t xml:space="preserve"> 1</w:t>
      </w:r>
      <w:r w:rsidR="00CF2A17" w:rsidRPr="00CC7883">
        <w:rPr>
          <w:rFonts w:ascii="Times New Roman" w:eastAsia="NSimSun" w:hAnsi="Times New Roman" w:cs="Times New Roman"/>
          <w:color w:val="000000" w:themeColor="text1"/>
          <w:kern w:val="3"/>
          <w:sz w:val="28"/>
          <w:szCs w:val="28"/>
        </w:rPr>
        <w:t>58</w:t>
      </w:r>
      <w:r w:rsidRPr="00CC7883">
        <w:rPr>
          <w:rFonts w:ascii="Times New Roman" w:eastAsia="NSimSun" w:hAnsi="Times New Roman" w:cs="Times New Roman"/>
          <w:color w:val="000000" w:themeColor="text1"/>
          <w:kern w:val="3"/>
          <w:sz w:val="28"/>
          <w:szCs w:val="28"/>
        </w:rPr>
        <w:t>].</w:t>
      </w:r>
    </w:p>
    <w:p w:rsidR="00B01A54" w:rsidRPr="00CC7883" w:rsidRDefault="00B01A54"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hAnsi="Times New Roman" w:cs="Times New Roman"/>
          <w:color w:val="000000" w:themeColor="text1"/>
          <w:sz w:val="28"/>
          <w:szCs w:val="28"/>
        </w:rPr>
        <w:t>У роботах Saeedi S. A. et al., Liu-Gitz L</w:t>
      </w:r>
      <w:r w:rsidR="005227A7" w:rsidRPr="00CC7883">
        <w:rPr>
          <w:rFonts w:ascii="Times New Roman" w:hAnsi="Times New Roman" w:cs="Times New Roman"/>
          <w:color w:val="000000" w:themeColor="text1"/>
          <w:sz w:val="28"/>
          <w:szCs w:val="28"/>
        </w:rPr>
        <w:t>. et al.</w:t>
      </w:r>
      <w:r w:rsidRPr="00CC7883">
        <w:rPr>
          <w:rFonts w:ascii="Times New Roman" w:hAnsi="Times New Roman" w:cs="Times New Roman"/>
          <w:color w:val="000000" w:themeColor="text1"/>
          <w:sz w:val="28"/>
          <w:szCs w:val="28"/>
        </w:rPr>
        <w:t xml:space="preserve"> та Silvestri</w:t>
      </w:r>
      <w:r w:rsidR="0066793F">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C.</w:t>
      </w:r>
      <w:r w:rsidR="005227A7" w:rsidRPr="00CC7883">
        <w:rPr>
          <w:rFonts w:ascii="Times New Roman" w:hAnsi="Times New Roman" w:cs="Times New Roman"/>
          <w:color w:val="000000" w:themeColor="text1"/>
          <w:sz w:val="28"/>
          <w:szCs w:val="28"/>
        </w:rPr>
        <w:t xml:space="preserve"> et al.</w:t>
      </w:r>
      <w:r w:rsidRPr="00CC7883">
        <w:rPr>
          <w:rFonts w:ascii="Times New Roman" w:hAnsi="Times New Roman" w:cs="Times New Roman"/>
          <w:color w:val="000000" w:themeColor="text1"/>
          <w:sz w:val="28"/>
          <w:szCs w:val="28"/>
        </w:rPr>
        <w:t xml:space="preserve"> показано позитивний вплив синього, червоного та білого спектрів світла на формування продихового апарату мікроклональних рослин. Зокрема, під час культивування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xml:space="preserve"> горіха волоського (</w:t>
      </w:r>
      <w:r w:rsidRPr="00CC7883">
        <w:rPr>
          <w:rFonts w:ascii="Times New Roman" w:hAnsi="Times New Roman" w:cs="Times New Roman"/>
          <w:i/>
          <w:color w:val="000000" w:themeColor="text1"/>
          <w:sz w:val="28"/>
          <w:szCs w:val="28"/>
        </w:rPr>
        <w:t>Juglans regia</w:t>
      </w:r>
      <w:r w:rsidRPr="00CC7883">
        <w:rPr>
          <w:rFonts w:ascii="Times New Roman" w:hAnsi="Times New Roman" w:cs="Times New Roman"/>
          <w:color w:val="000000" w:themeColor="text1"/>
          <w:sz w:val="28"/>
          <w:szCs w:val="28"/>
        </w:rPr>
        <w:t xml:space="preserve"> L.), сої культурної (</w:t>
      </w:r>
      <w:r w:rsidRPr="00CC7883">
        <w:rPr>
          <w:rFonts w:ascii="Times New Roman" w:hAnsi="Times New Roman" w:cs="Times New Roman"/>
          <w:i/>
          <w:color w:val="000000" w:themeColor="text1"/>
          <w:sz w:val="28"/>
          <w:szCs w:val="28"/>
        </w:rPr>
        <w:t>Glycine max</w:t>
      </w:r>
      <w:r w:rsidRPr="00CC7883">
        <w:rPr>
          <w:rFonts w:ascii="Times New Roman" w:hAnsi="Times New Roman" w:cs="Times New Roman"/>
          <w:color w:val="000000" w:themeColor="text1"/>
          <w:sz w:val="28"/>
          <w:szCs w:val="28"/>
        </w:rPr>
        <w:t xml:space="preserve"> (L.) Merr.) та ліщини звичайної (</w:t>
      </w:r>
      <w:r w:rsidRPr="00CC7883">
        <w:rPr>
          <w:rFonts w:ascii="Times New Roman" w:hAnsi="Times New Roman" w:cs="Times New Roman"/>
          <w:i/>
          <w:color w:val="000000" w:themeColor="text1"/>
          <w:sz w:val="28"/>
          <w:szCs w:val="28"/>
        </w:rPr>
        <w:t>Corylus avellana</w:t>
      </w:r>
      <w:r w:rsidRPr="00CC7883">
        <w:rPr>
          <w:rFonts w:ascii="Times New Roman" w:hAnsi="Times New Roman" w:cs="Times New Roman"/>
          <w:color w:val="000000" w:themeColor="text1"/>
          <w:sz w:val="28"/>
          <w:szCs w:val="28"/>
        </w:rPr>
        <w:t xml:space="preserve"> L.) максимальна щільність продихів (149,7–216,0 шт./мм²) формувалася під дією синього світла, тоді як найбільші за розмірами продихові клітини (до 38,9 мкм завдовжки) утворювалися під впливом білого та червоного світла</w:t>
      </w:r>
      <w:r w:rsidR="00CF2A17" w:rsidRPr="00CC7883">
        <w:rPr>
          <w:rFonts w:ascii="Times New Roman" w:eastAsia="NSimSun" w:hAnsi="Times New Roman" w:cs="Times New Roman"/>
          <w:color w:val="000000" w:themeColor="text1"/>
          <w:kern w:val="3"/>
          <w:sz w:val="28"/>
          <w:szCs w:val="28"/>
        </w:rPr>
        <w:t xml:space="preserve"> [2</w:t>
      </w:r>
      <w:r w:rsidR="002D22A1" w:rsidRPr="00CC7883">
        <w:rPr>
          <w:rFonts w:ascii="Times New Roman" w:eastAsia="NSimSun" w:hAnsi="Times New Roman" w:cs="Times New Roman"/>
          <w:color w:val="000000" w:themeColor="text1"/>
          <w:kern w:val="3"/>
          <w:sz w:val="28"/>
          <w:szCs w:val="28"/>
        </w:rPr>
        <w:t>20</w:t>
      </w:r>
      <w:r w:rsidR="00EC1E77" w:rsidRPr="00F62136">
        <w:rPr>
          <w:rFonts w:ascii="Times New Roman" w:eastAsia="NSimSun" w:hAnsi="Times New Roman" w:cs="Times New Roman"/>
          <w:color w:val="000000" w:themeColor="text1"/>
          <w:kern w:val="3"/>
          <w:sz w:val="28"/>
          <w:szCs w:val="28"/>
        </w:rPr>
        <w:t>,</w:t>
      </w:r>
      <w:r w:rsidR="005B16DD" w:rsidRPr="00CC7883">
        <w:rPr>
          <w:rFonts w:ascii="Times New Roman" w:eastAsia="NSimSun" w:hAnsi="Times New Roman" w:cs="Times New Roman"/>
          <w:color w:val="000000" w:themeColor="text1"/>
          <w:kern w:val="3"/>
          <w:sz w:val="28"/>
          <w:szCs w:val="28"/>
        </w:rPr>
        <w:t xml:space="preserve"> 1</w:t>
      </w:r>
      <w:r w:rsidR="00CF2A17" w:rsidRPr="00CC7883">
        <w:rPr>
          <w:rFonts w:ascii="Times New Roman" w:eastAsia="NSimSun" w:hAnsi="Times New Roman" w:cs="Times New Roman"/>
          <w:color w:val="000000" w:themeColor="text1"/>
          <w:kern w:val="3"/>
          <w:sz w:val="28"/>
          <w:szCs w:val="28"/>
        </w:rPr>
        <w:t>68</w:t>
      </w:r>
      <w:r w:rsidR="00EC1E77" w:rsidRPr="00F62136">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23</w:t>
      </w:r>
      <w:r w:rsidR="002D22A1" w:rsidRPr="00CC7883">
        <w:rPr>
          <w:rFonts w:ascii="Times New Roman" w:eastAsia="NSimSun" w:hAnsi="Times New Roman" w:cs="Times New Roman"/>
          <w:color w:val="000000" w:themeColor="text1"/>
          <w:kern w:val="3"/>
          <w:sz w:val="28"/>
          <w:szCs w:val="28"/>
        </w:rPr>
        <w:t>2</w:t>
      </w:r>
      <w:r w:rsidRPr="00CC7883">
        <w:rPr>
          <w:rFonts w:ascii="Times New Roman" w:eastAsia="NSimSun" w:hAnsi="Times New Roman" w:cs="Times New Roman"/>
          <w:color w:val="000000" w:themeColor="text1"/>
          <w:kern w:val="3"/>
          <w:sz w:val="28"/>
          <w:szCs w:val="28"/>
        </w:rPr>
        <w:t xml:space="preserve">]. </w:t>
      </w:r>
    </w:p>
    <w:p w:rsidR="00B01A54" w:rsidRPr="00CC7883" w:rsidRDefault="00B01A54" w:rsidP="00047411">
      <w:pPr>
        <w:widowControl w:val="0"/>
        <w:autoSpaceDN w:val="0"/>
        <w:spacing w:after="0" w:line="360" w:lineRule="auto"/>
        <w:ind w:firstLine="709"/>
        <w:jc w:val="both"/>
        <w:textAlignment w:val="baseline"/>
        <w:rPr>
          <w:rFonts w:ascii="Times New Roman" w:hAnsi="Times New Roman" w:cs="Times New Roman"/>
          <w:color w:val="000000" w:themeColor="text1"/>
          <w:sz w:val="28"/>
          <w:szCs w:val="28"/>
        </w:rPr>
      </w:pPr>
      <w:r w:rsidRPr="00CC7883">
        <w:rPr>
          <w:rFonts w:ascii="Times New Roman" w:eastAsia="NSimSun" w:hAnsi="Times New Roman" w:cs="Times New Roman"/>
          <w:bCs/>
          <w:i/>
          <w:iCs/>
          <w:color w:val="000000" w:themeColor="text1"/>
          <w:kern w:val="3"/>
          <w:sz w:val="28"/>
          <w:szCs w:val="28"/>
        </w:rPr>
        <w:t>Виноград</w:t>
      </w:r>
      <w:r w:rsidRPr="00CC7883">
        <w:rPr>
          <w:rFonts w:ascii="Times New Roman" w:eastAsia="NSimSun" w:hAnsi="Times New Roman" w:cs="Times New Roman"/>
          <w:color w:val="000000" w:themeColor="text1"/>
          <w:kern w:val="3"/>
          <w:sz w:val="28"/>
          <w:szCs w:val="28"/>
        </w:rPr>
        <w:t xml:space="preserve">. Наукових праць щодо досліджень нижнього епідермісу </w:t>
      </w:r>
      <w:r w:rsidRPr="00CC7883">
        <w:rPr>
          <w:rFonts w:ascii="Times New Roman" w:eastAsia="NSimSun" w:hAnsi="Times New Roman" w:cs="Times New Roman"/>
          <w:color w:val="000000" w:themeColor="text1"/>
          <w:kern w:val="3"/>
          <w:sz w:val="28"/>
          <w:szCs w:val="28"/>
        </w:rPr>
        <w:lastRenderedPageBreak/>
        <w:t xml:space="preserve">листків рослин винограду в культурі </w:t>
      </w:r>
      <w:r w:rsidR="00C85F8F" w:rsidRPr="00CC7883">
        <w:rPr>
          <w:rFonts w:ascii="Times New Roman" w:hAnsi="Times New Roman" w:cs="Times New Roman"/>
          <w:i/>
          <w:iCs/>
          <w:color w:val="000000" w:themeColor="text1"/>
          <w:sz w:val="28"/>
          <w:szCs w:val="28"/>
        </w:rPr>
        <w:t>in vitro</w:t>
      </w:r>
      <w:r w:rsidR="00C85F8F"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дуже мало. Poudel</w:t>
      </w:r>
      <w:r w:rsidR="00C85F8F"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P. R. </w:t>
      </w:r>
      <w:r w:rsidR="00E528E0" w:rsidRPr="00CC7883">
        <w:rPr>
          <w:rFonts w:ascii="Times New Roman" w:eastAsia="Times New Roman" w:hAnsi="Times New Roman" w:cs="Times New Roman"/>
          <w:color w:val="000000" w:themeColor="text1"/>
          <w:sz w:val="28"/>
          <w:szCs w:val="28"/>
        </w:rPr>
        <w:t>et al.</w:t>
      </w:r>
      <w:r w:rsidRPr="00CC7883">
        <w:rPr>
          <w:rFonts w:ascii="Times New Roman" w:eastAsia="NSimSun" w:hAnsi="Times New Roman" w:cs="Times New Roman"/>
          <w:color w:val="000000" w:themeColor="text1"/>
          <w:kern w:val="3"/>
          <w:sz w:val="28"/>
          <w:szCs w:val="28"/>
        </w:rPr>
        <w:t xml:space="preserve"> вивчали вплив спектрального складу світла на формування продихового апарату нижнього епідермісу листків мікроклонів винограду сортів «Hybrid</w:t>
      </w:r>
      <w:r w:rsidR="008323EC"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Blanc», «Ryuukyuuganebu», «Kadainou</w:t>
      </w:r>
      <w:r w:rsidR="009C098F"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R-1». Було встановлено, що під впливом синього спектру світла у всіх сортів на 1 мм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утворювалась найбільша кількість продихів – 308,6, 245,7 і 278,1 шт. з найбільшою довжиною і шириною продихових клітин – 27,8×22,4 мкм і 23,5×16,0 мкм, при 24,5×16,1 мк</w:t>
      </w:r>
      <w:r w:rsidR="00CF2A17" w:rsidRPr="00CC7883">
        <w:rPr>
          <w:rFonts w:ascii="Times New Roman" w:eastAsia="NSimSun" w:hAnsi="Times New Roman" w:cs="Times New Roman"/>
          <w:color w:val="000000" w:themeColor="text1"/>
          <w:kern w:val="3"/>
          <w:sz w:val="28"/>
          <w:szCs w:val="28"/>
        </w:rPr>
        <w:t>м і 22,6×11,3 мкм у контролі [2</w:t>
      </w:r>
      <w:r w:rsidR="002D22A1" w:rsidRPr="00CC7883">
        <w:rPr>
          <w:rFonts w:ascii="Times New Roman" w:eastAsia="NSimSun" w:hAnsi="Times New Roman" w:cs="Times New Roman"/>
          <w:color w:val="000000" w:themeColor="text1"/>
          <w:kern w:val="3"/>
          <w:sz w:val="28"/>
          <w:szCs w:val="28"/>
        </w:rPr>
        <w:t>10</w:t>
      </w:r>
      <w:r w:rsidRPr="00CC7883">
        <w:rPr>
          <w:rFonts w:ascii="Times New Roman" w:eastAsia="NSimSun" w:hAnsi="Times New Roman" w:cs="Times New Roman"/>
          <w:color w:val="000000" w:themeColor="text1"/>
          <w:kern w:val="3"/>
          <w:sz w:val="28"/>
          <w:szCs w:val="28"/>
        </w:rPr>
        <w:t xml:space="preserve">]. </w:t>
      </w:r>
      <w:bookmarkEnd w:id="14"/>
    </w:p>
    <w:p w:rsidR="00B01A54" w:rsidRPr="00CC7883" w:rsidRDefault="00B01A54" w:rsidP="00047411">
      <w:pPr>
        <w:widowControl w:val="0"/>
        <w:rPr>
          <w:rFonts w:ascii="Times New Roman" w:eastAsia="Calibri" w:hAnsi="Times New Roman" w:cs="Times New Roman"/>
          <w:color w:val="000000" w:themeColor="text1"/>
          <w:sz w:val="28"/>
        </w:rPr>
      </w:pPr>
    </w:p>
    <w:p w:rsidR="00B01A54" w:rsidRPr="00CC7883" w:rsidRDefault="00B01A54" w:rsidP="00047411">
      <w:pPr>
        <w:widowControl w:val="0"/>
        <w:spacing w:after="0" w:line="360" w:lineRule="auto"/>
        <w:ind w:firstLine="709"/>
        <w:outlineLvl w:val="1"/>
        <w:rPr>
          <w:rFonts w:ascii="Times New Roman" w:eastAsia="Calibri" w:hAnsi="Times New Roman" w:cs="Times New Roman"/>
          <w:b/>
          <w:bCs/>
          <w:color w:val="000000" w:themeColor="text1"/>
          <w:sz w:val="28"/>
        </w:rPr>
      </w:pPr>
      <w:bookmarkStart w:id="20" w:name="_Toc220058922"/>
      <w:r w:rsidRPr="00CC7883">
        <w:rPr>
          <w:rFonts w:ascii="Times New Roman" w:eastAsia="Calibri" w:hAnsi="Times New Roman" w:cs="Times New Roman"/>
          <w:b/>
          <w:bCs/>
          <w:color w:val="000000" w:themeColor="text1"/>
          <w:sz w:val="28"/>
        </w:rPr>
        <w:t>Висновки до розділу 1</w:t>
      </w:r>
      <w:bookmarkEnd w:id="20"/>
    </w:p>
    <w:p w:rsidR="00B01A54" w:rsidRPr="00CC7883" w:rsidRDefault="00B01A54" w:rsidP="00047411">
      <w:pPr>
        <w:widowControl w:val="0"/>
        <w:spacing w:after="0" w:line="360" w:lineRule="auto"/>
        <w:jc w:val="both"/>
        <w:rPr>
          <w:rFonts w:ascii="Times New Roman" w:eastAsia="Calibri" w:hAnsi="Times New Roman" w:cs="Times New Roman"/>
          <w:color w:val="000000" w:themeColor="text1"/>
          <w:sz w:val="28"/>
        </w:rPr>
      </w:pPr>
    </w:p>
    <w:p w:rsidR="00B01A54" w:rsidRPr="00CC7883" w:rsidRDefault="00B01A54" w:rsidP="00047411">
      <w:pPr>
        <w:widowControl w:val="0"/>
        <w:numPr>
          <w:ilvl w:val="0"/>
          <w:numId w:val="14"/>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Мікроклональне розмноження рослин є сучасною біотехнологічною основою отримання високоякісного садивного матеріалу, оскільки воно ґрунтується на тотіпотентності клітин, регенераційних процесах та апікальному домінуванні. Сьогодні відомо кілька підходів до мікророзмноження, які відрізняються між собою рівнем генетичної стабільності, технічною складністю та ефективністю, але всі вони забезпечують можливість швидкого розмноження цінних генотипів, збереження рідкісних видів, отримання оздоровленого матеріалу та організацію цілорічного процесу культивування рослин.</w:t>
      </w:r>
    </w:p>
    <w:p w:rsidR="00B01A54" w:rsidRPr="00CC7883" w:rsidRDefault="00B01A54" w:rsidP="00047411">
      <w:pPr>
        <w:widowControl w:val="0"/>
        <w:spacing w:after="0" w:line="360" w:lineRule="auto"/>
        <w:ind w:firstLine="708"/>
        <w:jc w:val="both"/>
        <w:rPr>
          <w:rFonts w:ascii="Times New Roman" w:eastAsia="Times New Roman" w:hAnsi="Times New Roman" w:cs="Times New Roman"/>
          <w:color w:val="000000" w:themeColor="text1"/>
          <w:lang w:eastAsia="ru-RU"/>
        </w:rPr>
      </w:pPr>
      <w:r w:rsidRPr="00CC7883">
        <w:rPr>
          <w:rFonts w:ascii="Times New Roman" w:eastAsia="Times New Roman" w:hAnsi="Times New Roman" w:cs="Times New Roman"/>
          <w:color w:val="000000" w:themeColor="text1"/>
          <w:sz w:val="28"/>
          <w:szCs w:val="28"/>
          <w:lang w:eastAsia="ru-RU"/>
        </w:rPr>
        <w:t xml:space="preserve">Аналіз літературних джерел свідчить, що ефективність введення рослин у культуру </w:t>
      </w:r>
      <w:r w:rsidR="00C85F8F"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xml:space="preserve"> значною мірою залежить від типу ініціальних експлантів, їх фізіологічного стану та дотримання оптимальних умов стерилізації. Найвищі показники приживлюваності та морфогенетичної активності, за даними різних авторів, характерні для верхівок пагонів і бічних бруньок. Для винограду найбільш прийнятними ініціальними експлантами є верхівки пагонів та одновічкові мікрочубуки, відібрані з певних вузлів пагону. Встановлено, що застосування ефективних схем поверхневої стерилізації у поєднанні з антибіотиками </w:t>
      </w:r>
      <w:r w:rsidR="002D226D">
        <w:rPr>
          <w:rFonts w:ascii="Times New Roman" w:eastAsia="Times New Roman" w:hAnsi="Times New Roman" w:cs="Times New Roman"/>
          <w:color w:val="000000" w:themeColor="text1"/>
          <w:sz w:val="28"/>
          <w:szCs w:val="28"/>
          <w:lang w:eastAsia="ru-RU"/>
        </w:rPr>
        <w:t>дає змогу</w:t>
      </w:r>
      <w:r w:rsidRPr="00CC7883">
        <w:rPr>
          <w:rFonts w:ascii="Times New Roman" w:eastAsia="Times New Roman" w:hAnsi="Times New Roman" w:cs="Times New Roman"/>
          <w:color w:val="000000" w:themeColor="text1"/>
          <w:sz w:val="28"/>
          <w:szCs w:val="28"/>
          <w:lang w:eastAsia="ru-RU"/>
        </w:rPr>
        <w:t xml:space="preserve"> істотно знизити рівень контамінації та забезпечити високу приживлюваність експлантів, що є визначальним для </w:t>
      </w:r>
      <w:r w:rsidRPr="00CC7883">
        <w:rPr>
          <w:rFonts w:ascii="Times New Roman" w:eastAsia="Times New Roman" w:hAnsi="Times New Roman" w:cs="Times New Roman"/>
          <w:color w:val="000000" w:themeColor="text1"/>
          <w:sz w:val="28"/>
          <w:szCs w:val="28"/>
          <w:lang w:eastAsia="ru-RU"/>
        </w:rPr>
        <w:lastRenderedPageBreak/>
        <w:t>подальшого успішного мікроклонального розмноження</w:t>
      </w:r>
      <w:r w:rsidRPr="00CC7883">
        <w:rPr>
          <w:rFonts w:ascii="Times New Roman" w:eastAsia="Times New Roman" w:hAnsi="Times New Roman" w:cs="Times New Roman"/>
          <w:color w:val="000000" w:themeColor="text1"/>
          <w:lang w:eastAsia="ru-RU"/>
        </w:rPr>
        <w:t>.</w:t>
      </w:r>
    </w:p>
    <w:p w:rsidR="00B01A54" w:rsidRPr="00CC7883" w:rsidRDefault="00B01A54" w:rsidP="00047411">
      <w:pPr>
        <w:widowControl w:val="0"/>
        <w:numPr>
          <w:ilvl w:val="0"/>
          <w:numId w:val="14"/>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Проліферація пазушних бруньок і формування пагонів із ініціальних експлантів є основними показниками ефективності мікроклонального розмноження рослин. Формування в умовах </w:t>
      </w:r>
      <w:r w:rsidR="00C85F8F"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xml:space="preserve"> рослин із рівномірно розвиненими пагонами, достатньою висотою, кількістю вузлів і листкових пластинок забезпечує їх високу приживлюваність після перенесення в умови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sz w:val="28"/>
          <w:szCs w:val="28"/>
          <w:lang w:eastAsia="ru-RU"/>
        </w:rPr>
        <w:t>. Інтенсивність зазначених процесів визначається складом поживного середовища та умовами культивування. Найбільш дієвими для стимулювання проліферації і росту пагонів мікроклонів є поживні середовища та їх модифікації, спрямовані на оптимізацію фітогормонального складу (концентрацій цитокінінів, ауксинів, гіберелінів) та вмісту додаткових біологічно активних компонентів (як приклад, кокосова вода, активоване вугілля, вода з низьким вмістом дейтерію та ін.). Такі модифікації можуть забезпечувати високий рівень проліферації (70,0–100,0 %) та інтенсифікацію ростових процесів, але їх ефективність залеж</w:t>
      </w:r>
      <w:r w:rsidR="0087473B">
        <w:rPr>
          <w:rFonts w:ascii="Times New Roman" w:eastAsia="Times New Roman" w:hAnsi="Times New Roman" w:cs="Times New Roman"/>
          <w:color w:val="000000" w:themeColor="text1"/>
          <w:sz w:val="28"/>
          <w:szCs w:val="28"/>
          <w:lang w:eastAsia="ru-RU"/>
        </w:rPr>
        <w:t>и</w:t>
      </w:r>
      <w:r w:rsidRPr="00CC7883">
        <w:rPr>
          <w:rFonts w:ascii="Times New Roman" w:eastAsia="Times New Roman" w:hAnsi="Times New Roman" w:cs="Times New Roman"/>
          <w:color w:val="000000" w:themeColor="text1"/>
          <w:sz w:val="28"/>
          <w:szCs w:val="28"/>
          <w:lang w:eastAsia="ru-RU"/>
        </w:rPr>
        <w:t>т</w:t>
      </w:r>
      <w:r w:rsidR="0087473B">
        <w:rPr>
          <w:rFonts w:ascii="Times New Roman" w:eastAsia="Times New Roman" w:hAnsi="Times New Roman" w:cs="Times New Roman"/>
          <w:color w:val="000000" w:themeColor="text1"/>
          <w:sz w:val="28"/>
          <w:szCs w:val="28"/>
          <w:lang w:eastAsia="ru-RU"/>
        </w:rPr>
        <w:t>ь</w:t>
      </w:r>
      <w:r w:rsidRPr="00CC7883">
        <w:rPr>
          <w:rFonts w:ascii="Times New Roman" w:eastAsia="Times New Roman" w:hAnsi="Times New Roman" w:cs="Times New Roman"/>
          <w:color w:val="000000" w:themeColor="text1"/>
          <w:sz w:val="28"/>
          <w:szCs w:val="28"/>
          <w:lang w:eastAsia="ru-RU"/>
        </w:rPr>
        <w:t xml:space="preserve"> від виду та сорту рослин.</w:t>
      </w:r>
    </w:p>
    <w:p w:rsidR="00B01A54" w:rsidRPr="00CC7883" w:rsidRDefault="00B01A54" w:rsidP="00047411">
      <w:pPr>
        <w:widowControl w:val="0"/>
        <w:spacing w:after="0" w:line="360" w:lineRule="auto"/>
        <w:ind w:firstLine="72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lang w:eastAsia="ru-RU"/>
        </w:rPr>
        <w:t>У мікроклональному розмноженні винограду для ранньої проліферації пазушних бруньок зазвичай використовують поживні середовища з підвищеним вмістом фітогормонів, зокрема цитокінінів та ауксинів, які стимулюють утворення пагонів із різних типів ініціальних експлантів. Але культивування ініціальних експлантів на таких поживних середовищах часто супроводжується калусоутворенням, вітрифікацією тканин і порушенням балансу між розвитком пагонів та кореневої системи</w:t>
      </w:r>
      <w:r w:rsidRPr="00CC7883">
        <w:rPr>
          <w:rFonts w:ascii="Times New Roman" w:eastAsia="Times New Roman" w:hAnsi="Times New Roman" w:cs="Times New Roman"/>
          <w:color w:val="000000" w:themeColor="text1"/>
          <w:sz w:val="28"/>
          <w:szCs w:val="28"/>
          <w:lang w:eastAsia="ru-RU"/>
        </w:rPr>
        <w:t>, що негативно впливає на подальшу стійкість рослин.</w:t>
      </w:r>
    </w:p>
    <w:p w:rsidR="00B01A54" w:rsidRPr="00CC7883" w:rsidRDefault="00B01A54" w:rsidP="00047411">
      <w:pPr>
        <w:widowControl w:val="0"/>
        <w:spacing w:after="0" w:line="360" w:lineRule="auto"/>
        <w:ind w:firstLine="72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Для покращення біометричних показників мікроклонів винограду використовують альтернативні компоненти поживних середовищ, зокрема кукурудзяний крохмаль, гуарову камедь, фітогелі, активоване вугілля та кокосову воду. Проте їх дія має видо- та сортоспецифічний характер і може проявлятися як у пригніченні росту, так і в надмірному обводненні тканин та посиленні ростових процесів, що зрештою призводить до зниження приживлюваності рослин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sz w:val="28"/>
          <w:szCs w:val="28"/>
          <w:lang w:eastAsia="ru-RU"/>
        </w:rPr>
        <w:t>.</w:t>
      </w:r>
    </w:p>
    <w:p w:rsidR="00B01A54" w:rsidRPr="00CC7883" w:rsidRDefault="00B01A54" w:rsidP="00047411">
      <w:pPr>
        <w:widowControl w:val="0"/>
        <w:spacing w:after="0" w:line="360" w:lineRule="auto"/>
        <w:ind w:firstLine="72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lastRenderedPageBreak/>
        <w:t>У зв’язку з цим перспективним для винограду є використання поживних середовищ зі зниженими концентраціями фітогормонів у поєднанні з компонентами, що забезпечують стабільний морфогенез. Пошук і застосування нових ефективних біологічно активних препаратів та компонентів для введення до складу поживних середовищ, які будуть компенсувати зменшення гормонального навантаження та забезпечувати умови для оптимального росту і функціонування мікроклонів з урахуванням сортових особливостей, є актуальним напрямом досліджень.</w:t>
      </w:r>
    </w:p>
    <w:p w:rsidR="00B01A54" w:rsidRPr="00CC7883" w:rsidRDefault="00B01A54" w:rsidP="00047411">
      <w:pPr>
        <w:widowControl w:val="0"/>
        <w:numPr>
          <w:ilvl w:val="0"/>
          <w:numId w:val="14"/>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Ефективність ризогенезу ініціальних експлантів та формування повноцінної кореневої системи мікроклональних рослин значною мірою визначає рівень їх приживлюваності на етапі подальшої адаптації до умов </w:t>
      </w:r>
      <w:r w:rsidRPr="00CC7883">
        <w:rPr>
          <w:rFonts w:ascii="Times New Roman" w:eastAsia="Times New Roman" w:hAnsi="Times New Roman" w:cs="Times New Roman"/>
          <w:i/>
          <w:color w:val="000000" w:themeColor="text1"/>
          <w:sz w:val="28"/>
          <w:szCs w:val="28"/>
          <w:lang w:eastAsia="ru-RU"/>
        </w:rPr>
        <w:t>in v</w:t>
      </w:r>
      <w:r w:rsidR="001213D6">
        <w:rPr>
          <w:rFonts w:ascii="Times New Roman" w:eastAsia="Times New Roman" w:hAnsi="Times New Roman" w:cs="Times New Roman"/>
          <w:i/>
          <w:color w:val="000000" w:themeColor="text1"/>
          <w:sz w:val="28"/>
          <w:szCs w:val="28"/>
          <w:lang w:val="en-US" w:eastAsia="ru-RU"/>
        </w:rPr>
        <w:t>iv</w:t>
      </w:r>
      <w:r w:rsidRPr="00CC7883">
        <w:rPr>
          <w:rFonts w:ascii="Times New Roman" w:eastAsia="Times New Roman" w:hAnsi="Times New Roman" w:cs="Times New Roman"/>
          <w:i/>
          <w:color w:val="000000" w:themeColor="text1"/>
          <w:sz w:val="28"/>
          <w:szCs w:val="28"/>
          <w:lang w:eastAsia="ru-RU"/>
        </w:rPr>
        <w:t>o</w:t>
      </w:r>
      <w:r w:rsidRPr="00CC7883">
        <w:rPr>
          <w:rFonts w:ascii="Times New Roman" w:eastAsia="Times New Roman" w:hAnsi="Times New Roman" w:cs="Times New Roman"/>
          <w:color w:val="000000" w:themeColor="text1"/>
          <w:sz w:val="28"/>
          <w:szCs w:val="28"/>
          <w:lang w:eastAsia="ru-RU"/>
        </w:rPr>
        <w:t xml:space="preserve">. Ефективність цього процесу визначається комплексом факторів, зокрема складом поживного середовища, типом та концентраціями регуляторів росту, фізико-хімічними властивостями субстратів, використанням біологічно активних домішок і фізичними параметрами. </w:t>
      </w:r>
    </w:p>
    <w:p w:rsidR="00B01A54" w:rsidRPr="00CC7883" w:rsidRDefault="00B01A54" w:rsidP="00047411">
      <w:pPr>
        <w:widowControl w:val="0"/>
        <w:spacing w:after="0" w:line="360" w:lineRule="auto"/>
        <w:ind w:firstLine="72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Більшість досліджень, проведених для винограду, підтверджує ключову роль ауксинів для стимулювання коренеутворення і насамперед ІМК, оскільки ефективність застосування ІОК та α-НОК суттєво залежить від виду і генотипу рослин та концентрації препаратів. Значний інтерес становить і використання природних біологічно активних компонентів (кокосова вода, рослинні екстракти та екстракти водоростей, пробіотики, мікоризоутворюючі мікроорганізми), які часто забезпечують високий рівень ризогенезу, розвиток кореневої системи та подальшу адаптацію рослин. Проте необхідно враховувати, що при застосуванні фітогормонів необхідно суворо дотримуватися точного дозування, умов освітлення та режиму зберігання, оскільки порушення цих параметрів знижує ефективність коренеутворення; на сучасному ринку представлено обмежений асортимент подібної продукції, при цьому багато з них характеризуються високою вартістю, що обмежує їх широке застосування. </w:t>
      </w:r>
    </w:p>
    <w:p w:rsidR="00B01A54" w:rsidRPr="00CC7883" w:rsidRDefault="00B01A54" w:rsidP="00047411">
      <w:pPr>
        <w:widowControl w:val="0"/>
        <w:spacing w:after="0" w:line="360" w:lineRule="auto"/>
        <w:ind w:firstLine="72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До більш дешевих і доступних компонентів поживного середовища </w:t>
      </w:r>
      <w:r w:rsidRPr="00CC7883">
        <w:rPr>
          <w:rFonts w:ascii="Times New Roman" w:eastAsia="Times New Roman" w:hAnsi="Times New Roman" w:cs="Times New Roman"/>
          <w:color w:val="000000" w:themeColor="text1"/>
          <w:sz w:val="28"/>
          <w:szCs w:val="28"/>
          <w:lang w:eastAsia="ru-RU"/>
        </w:rPr>
        <w:lastRenderedPageBreak/>
        <w:t xml:space="preserve">можна віднести інертні субстрати. У поєднанні з рідкими поживними середовищами, за рахунок </w:t>
      </w:r>
      <w:r w:rsidRPr="00CC7883">
        <w:rPr>
          <w:rFonts w:ascii="Times New Roman" w:eastAsia="Times New Roman" w:hAnsi="Times New Roman" w:cs="Times New Roman"/>
          <w:bCs/>
          <w:color w:val="000000" w:themeColor="text1"/>
          <w:sz w:val="28"/>
          <w:szCs w:val="28"/>
          <w:lang w:eastAsia="ru-RU"/>
        </w:rPr>
        <w:t>покращення аерації та зменшення світлопроникності субстрату,</w:t>
      </w:r>
      <w:r w:rsidRPr="00CC7883">
        <w:rPr>
          <w:rFonts w:ascii="Times New Roman" w:eastAsia="Times New Roman" w:hAnsi="Times New Roman" w:cs="Times New Roman"/>
          <w:color w:val="000000" w:themeColor="text1"/>
          <w:sz w:val="28"/>
          <w:szCs w:val="28"/>
          <w:lang w:eastAsia="ru-RU"/>
        </w:rPr>
        <w:t xml:space="preserve"> вони сприяють збільшенню кількості укорінених рослин та сприяють формуванню морфологічно повноцінних коренів. Але такий ефект не є універсальним для всіх культур, тому результати залишаються дискусійними. Для винограду такі дослідження не проводили.</w:t>
      </w:r>
    </w:p>
    <w:p w:rsidR="00B01A54" w:rsidRPr="00CC7883" w:rsidRDefault="00B01A54" w:rsidP="00047411">
      <w:pPr>
        <w:widowControl w:val="0"/>
        <w:numPr>
          <w:ilvl w:val="0"/>
          <w:numId w:val="14"/>
        </w:numPr>
        <w:spacing w:after="0" w:line="360" w:lineRule="auto"/>
        <w:ind w:left="0" w:firstLine="0"/>
        <w:contextualSpacing/>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Постасептична адаптація є </w:t>
      </w:r>
      <w:r w:rsidR="00356D07">
        <w:rPr>
          <w:rFonts w:ascii="Times New Roman" w:eastAsia="Calibri" w:hAnsi="Times New Roman" w:cs="Times New Roman"/>
          <w:color w:val="000000" w:themeColor="text1"/>
          <w:sz w:val="28"/>
          <w:szCs w:val="28"/>
        </w:rPr>
        <w:t>завершальним</w:t>
      </w:r>
      <w:r w:rsidRPr="00CC7883">
        <w:rPr>
          <w:rFonts w:ascii="Times New Roman" w:eastAsia="Calibri" w:hAnsi="Times New Roman" w:cs="Times New Roman"/>
          <w:color w:val="000000" w:themeColor="text1"/>
          <w:sz w:val="28"/>
          <w:szCs w:val="28"/>
        </w:rPr>
        <w:t xml:space="preserve"> і надзвичайно важливим етапом мікроклонального розмноження, від ефективності якого залежить приживлюваність рослин </w:t>
      </w:r>
      <w:r w:rsidR="001213D6">
        <w:rPr>
          <w:rFonts w:ascii="Times New Roman" w:eastAsia="Calibri" w:hAnsi="Times New Roman" w:cs="Times New Roman"/>
          <w:color w:val="000000" w:themeColor="text1"/>
          <w:sz w:val="28"/>
          <w:szCs w:val="28"/>
        </w:rPr>
        <w:t>під час</w:t>
      </w:r>
      <w:r w:rsidRPr="00CC7883">
        <w:rPr>
          <w:rFonts w:ascii="Times New Roman" w:eastAsia="Calibri" w:hAnsi="Times New Roman" w:cs="Times New Roman"/>
          <w:color w:val="000000" w:themeColor="text1"/>
          <w:sz w:val="28"/>
          <w:szCs w:val="28"/>
        </w:rPr>
        <w:t xml:space="preserve"> переведенн</w:t>
      </w:r>
      <w:r w:rsidR="001213D6">
        <w:rPr>
          <w:rFonts w:ascii="Times New Roman" w:eastAsia="Calibri" w:hAnsi="Times New Roman" w:cs="Times New Roman"/>
          <w:color w:val="000000" w:themeColor="text1"/>
          <w:sz w:val="28"/>
          <w:szCs w:val="28"/>
        </w:rPr>
        <w:t>я</w:t>
      </w:r>
      <w:r w:rsidRPr="00CC7883">
        <w:rPr>
          <w:rFonts w:ascii="Times New Roman" w:eastAsia="Calibri" w:hAnsi="Times New Roman" w:cs="Times New Roman"/>
          <w:color w:val="000000" w:themeColor="text1"/>
          <w:sz w:val="28"/>
          <w:szCs w:val="28"/>
        </w:rPr>
        <w:t xml:space="preserve"> з умов </w:t>
      </w:r>
      <w:r w:rsidRPr="00CC7883">
        <w:rPr>
          <w:rFonts w:ascii="Times New Roman" w:eastAsia="Calibri" w:hAnsi="Times New Roman" w:cs="Times New Roman"/>
          <w:i/>
          <w:color w:val="000000" w:themeColor="text1"/>
          <w:sz w:val="28"/>
          <w:szCs w:val="28"/>
        </w:rPr>
        <w:t>in</w:t>
      </w:r>
      <w:r w:rsidR="00894C28" w:rsidRPr="00CC7883">
        <w:rPr>
          <w:rFonts w:ascii="Times New Roman" w:eastAsia="Calibri" w:hAnsi="Times New Roman" w:cs="Times New Roman"/>
          <w:i/>
          <w:color w:val="000000" w:themeColor="text1"/>
          <w:sz w:val="28"/>
          <w:szCs w:val="28"/>
        </w:rPr>
        <w:t> </w:t>
      </w:r>
      <w:r w:rsidRPr="00CC7883">
        <w:rPr>
          <w:rFonts w:ascii="Times New Roman" w:eastAsia="Calibri" w:hAnsi="Times New Roman" w:cs="Times New Roman"/>
          <w:i/>
          <w:color w:val="000000" w:themeColor="text1"/>
          <w:sz w:val="28"/>
          <w:szCs w:val="28"/>
        </w:rPr>
        <w:t>vitro</w:t>
      </w:r>
      <w:r w:rsidRPr="00CC7883">
        <w:rPr>
          <w:rFonts w:ascii="Times New Roman" w:eastAsia="Calibri" w:hAnsi="Times New Roman" w:cs="Times New Roman"/>
          <w:color w:val="000000" w:themeColor="text1"/>
          <w:sz w:val="28"/>
          <w:szCs w:val="28"/>
        </w:rPr>
        <w:t xml:space="preserve"> до умов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Calibri" w:hAnsi="Times New Roman" w:cs="Times New Roman"/>
          <w:color w:val="000000" w:themeColor="text1"/>
          <w:sz w:val="28"/>
          <w:szCs w:val="28"/>
        </w:rPr>
        <w:t xml:space="preserve">. На цьому етапі найбільше проявляються негативні наслідки культивування рослин </w:t>
      </w:r>
      <w:r w:rsidRPr="00CC7883">
        <w:rPr>
          <w:rFonts w:ascii="Times New Roman" w:eastAsia="Calibri" w:hAnsi="Times New Roman" w:cs="Times New Roman"/>
          <w:i/>
          <w:color w:val="000000" w:themeColor="text1"/>
          <w:sz w:val="28"/>
          <w:szCs w:val="28"/>
        </w:rPr>
        <w:t>in vitro</w:t>
      </w:r>
      <w:r w:rsidRPr="00CC7883">
        <w:rPr>
          <w:rFonts w:ascii="Times New Roman" w:eastAsia="Calibri" w:hAnsi="Times New Roman" w:cs="Times New Roman"/>
          <w:color w:val="000000" w:themeColor="text1"/>
          <w:sz w:val="28"/>
          <w:szCs w:val="28"/>
        </w:rPr>
        <w:t xml:space="preserve"> – недорозвиненість анатомічно-морфологічних структур, слабка фотосинтетична активність, недостатньо розвинені корені та продиховий апарат, що підвищує ризик зневоднення та ураження патогенами. Аналіз літературних джерел показує, що успішність постасептичної адаптації визначається, здебільшого, зовнішніми факторами, серед яких: контроль вологості у культуральних єм</w:t>
      </w:r>
      <w:r w:rsidR="00404252" w:rsidRPr="00CC7883">
        <w:rPr>
          <w:rFonts w:ascii="Times New Roman" w:eastAsia="Calibri" w:hAnsi="Times New Roman" w:cs="Times New Roman"/>
          <w:color w:val="000000" w:themeColor="text1"/>
          <w:sz w:val="28"/>
          <w:szCs w:val="28"/>
        </w:rPr>
        <w:t>н</w:t>
      </w:r>
      <w:r w:rsidRPr="00CC7883">
        <w:rPr>
          <w:rFonts w:ascii="Times New Roman" w:eastAsia="Calibri" w:hAnsi="Times New Roman" w:cs="Times New Roman"/>
          <w:color w:val="000000" w:themeColor="text1"/>
          <w:sz w:val="28"/>
          <w:szCs w:val="28"/>
        </w:rPr>
        <w:t xml:space="preserve">остях на етапі передадаптації; оптимальний </w:t>
      </w:r>
      <w:r w:rsidR="00F668FB">
        <w:rPr>
          <w:rFonts w:ascii="Times New Roman" w:eastAsia="Calibri" w:hAnsi="Times New Roman" w:cs="Times New Roman"/>
          <w:color w:val="000000" w:themeColor="text1"/>
          <w:sz w:val="28"/>
          <w:szCs w:val="28"/>
        </w:rPr>
        <w:t>добір</w:t>
      </w:r>
      <w:r w:rsidRPr="00CC7883">
        <w:rPr>
          <w:rFonts w:ascii="Times New Roman" w:eastAsia="Calibri" w:hAnsi="Times New Roman" w:cs="Times New Roman"/>
          <w:color w:val="000000" w:themeColor="text1"/>
          <w:sz w:val="28"/>
          <w:szCs w:val="28"/>
        </w:rPr>
        <w:t xml:space="preserve"> субстратів і ґрунтосумішей (торф, перліт, </w:t>
      </w:r>
      <w:r w:rsidR="005A0410" w:rsidRPr="00CC7883">
        <w:rPr>
          <w:rFonts w:ascii="Times New Roman" w:hAnsi="Times New Roman" w:cs="Times New Roman"/>
          <w:color w:val="000000" w:themeColor="text1"/>
          <w:sz w:val="28"/>
          <w:szCs w:val="28"/>
        </w:rPr>
        <w:t>верм</w:t>
      </w:r>
      <w:r w:rsidR="005A0410">
        <w:rPr>
          <w:rFonts w:ascii="Times New Roman" w:hAnsi="Times New Roman" w:cs="Times New Roman"/>
          <w:color w:val="000000" w:themeColor="text1"/>
          <w:sz w:val="28"/>
          <w:szCs w:val="28"/>
        </w:rPr>
        <w:t>и</w:t>
      </w:r>
      <w:r w:rsidR="005A0410" w:rsidRPr="00CC7883">
        <w:rPr>
          <w:rFonts w:ascii="Times New Roman" w:hAnsi="Times New Roman" w:cs="Times New Roman"/>
          <w:color w:val="000000" w:themeColor="text1"/>
          <w:sz w:val="28"/>
          <w:szCs w:val="28"/>
        </w:rPr>
        <w:t>куліт</w:t>
      </w:r>
      <w:r w:rsidRPr="00CC7883">
        <w:rPr>
          <w:rFonts w:ascii="Times New Roman" w:eastAsia="Calibri" w:hAnsi="Times New Roman" w:cs="Times New Roman"/>
          <w:color w:val="000000" w:themeColor="text1"/>
          <w:sz w:val="28"/>
          <w:szCs w:val="28"/>
        </w:rPr>
        <w:t>, кокосовий субстрат, цеоліт, іонітн</w:t>
      </w:r>
      <w:r w:rsidR="00CA6F3C">
        <w:rPr>
          <w:rFonts w:ascii="Times New Roman" w:eastAsia="Calibri" w:hAnsi="Times New Roman" w:cs="Times New Roman"/>
          <w:color w:val="000000" w:themeColor="text1"/>
          <w:sz w:val="28"/>
          <w:szCs w:val="28"/>
        </w:rPr>
        <w:t>ий</w:t>
      </w:r>
      <w:r w:rsidRPr="00CC7883">
        <w:rPr>
          <w:rFonts w:ascii="Times New Roman" w:eastAsia="Calibri" w:hAnsi="Times New Roman" w:cs="Times New Roman"/>
          <w:color w:val="000000" w:themeColor="text1"/>
          <w:sz w:val="28"/>
          <w:szCs w:val="28"/>
        </w:rPr>
        <w:t xml:space="preserve"> субстрати та їх комбінації); поступова адаптація в касетах або горщиках під плівкою чи склом; обробка рослин біопрепаратами, мікоризою, фунгіцидами та антитранспірантами; а також регулювання освітлення, фотоперіоду, температури та вологості в теплицях або кліматичних камерах.</w:t>
      </w:r>
    </w:p>
    <w:p w:rsidR="00B01A54" w:rsidRPr="00CC7883" w:rsidRDefault="00B01A54" w:rsidP="00047411">
      <w:pPr>
        <w:widowControl w:val="0"/>
        <w:spacing w:after="0" w:line="360" w:lineRule="auto"/>
        <w:ind w:firstLine="720"/>
        <w:contextualSpacing/>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Для винограду більшість досліджень із адаптації мікроклонів спрямована на оптимізацію зовнішніх умов – </w:t>
      </w:r>
      <w:r w:rsidR="00F668FB">
        <w:rPr>
          <w:rFonts w:ascii="Times New Roman" w:eastAsia="Calibri" w:hAnsi="Times New Roman" w:cs="Times New Roman"/>
          <w:color w:val="000000" w:themeColor="text1"/>
          <w:sz w:val="28"/>
          <w:szCs w:val="28"/>
        </w:rPr>
        <w:t>добір</w:t>
      </w:r>
      <w:r w:rsidRPr="00CC7883">
        <w:rPr>
          <w:rFonts w:ascii="Times New Roman" w:eastAsia="Calibri" w:hAnsi="Times New Roman" w:cs="Times New Roman"/>
          <w:color w:val="000000" w:themeColor="text1"/>
          <w:sz w:val="28"/>
          <w:szCs w:val="28"/>
        </w:rPr>
        <w:t xml:space="preserve"> субстратів, контроль вологості, поступове відкривання покриття, регулювання мікроклімату та використання біопрепаратів, що не завжди </w:t>
      </w:r>
      <w:r w:rsidR="002D226D">
        <w:rPr>
          <w:rFonts w:ascii="Times New Roman" w:eastAsia="Calibri" w:hAnsi="Times New Roman" w:cs="Times New Roman"/>
          <w:color w:val="000000" w:themeColor="text1"/>
          <w:sz w:val="28"/>
          <w:szCs w:val="28"/>
        </w:rPr>
        <w:t>дає змогу</w:t>
      </w:r>
      <w:r w:rsidRPr="00CC7883">
        <w:rPr>
          <w:rFonts w:ascii="Times New Roman" w:eastAsia="Calibri" w:hAnsi="Times New Roman" w:cs="Times New Roman"/>
          <w:color w:val="000000" w:themeColor="text1"/>
          <w:sz w:val="28"/>
          <w:szCs w:val="28"/>
        </w:rPr>
        <w:t xml:space="preserve"> досягати високої приживлюваності рослин після перенесення з умов </w:t>
      </w:r>
      <w:r w:rsidRPr="00CC7883">
        <w:rPr>
          <w:rFonts w:ascii="Times New Roman" w:eastAsia="Calibri" w:hAnsi="Times New Roman" w:cs="Times New Roman"/>
          <w:i/>
          <w:iCs/>
          <w:color w:val="000000" w:themeColor="text1"/>
          <w:sz w:val="28"/>
          <w:szCs w:val="28"/>
        </w:rPr>
        <w:t>in</w:t>
      </w:r>
      <w:r w:rsidR="00894C28" w:rsidRPr="00CC7883">
        <w:rPr>
          <w:rFonts w:ascii="Times New Roman" w:eastAsia="Calibri" w:hAnsi="Times New Roman" w:cs="Times New Roman"/>
          <w:i/>
          <w:iCs/>
          <w:color w:val="000000" w:themeColor="text1"/>
          <w:sz w:val="28"/>
          <w:szCs w:val="28"/>
        </w:rPr>
        <w:t> </w:t>
      </w:r>
      <w:r w:rsidRPr="00CC7883">
        <w:rPr>
          <w:rFonts w:ascii="Times New Roman" w:eastAsia="Calibri" w:hAnsi="Times New Roman" w:cs="Times New Roman"/>
          <w:i/>
          <w:iCs/>
          <w:color w:val="000000" w:themeColor="text1"/>
          <w:sz w:val="28"/>
          <w:szCs w:val="28"/>
        </w:rPr>
        <w:t>vitro</w:t>
      </w:r>
      <w:r w:rsidRPr="00CC7883">
        <w:rPr>
          <w:rFonts w:ascii="Times New Roman" w:eastAsia="Calibri" w:hAnsi="Times New Roman" w:cs="Times New Roman"/>
          <w:color w:val="000000" w:themeColor="text1"/>
          <w:sz w:val="28"/>
          <w:szCs w:val="28"/>
        </w:rPr>
        <w:t xml:space="preserve"> у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Calibri" w:hAnsi="Times New Roman" w:cs="Times New Roman"/>
          <w:color w:val="000000" w:themeColor="text1"/>
          <w:sz w:val="28"/>
          <w:szCs w:val="28"/>
        </w:rPr>
        <w:t xml:space="preserve">. Разом із тим питання оптимізації фізіолого-біохімічного та анатомічного стану мікроклонів, що формується під час культивування </w:t>
      </w:r>
      <w:r w:rsidRPr="00CC7883">
        <w:rPr>
          <w:rFonts w:ascii="Times New Roman" w:eastAsia="Calibri" w:hAnsi="Times New Roman" w:cs="Times New Roman"/>
          <w:i/>
          <w:iCs/>
          <w:color w:val="000000" w:themeColor="text1"/>
          <w:sz w:val="28"/>
          <w:szCs w:val="28"/>
        </w:rPr>
        <w:t>in</w:t>
      </w:r>
      <w:r w:rsidR="00894C28" w:rsidRPr="00CC7883">
        <w:rPr>
          <w:rFonts w:ascii="Times New Roman" w:eastAsia="Calibri" w:hAnsi="Times New Roman" w:cs="Times New Roman"/>
          <w:i/>
          <w:iCs/>
          <w:color w:val="000000" w:themeColor="text1"/>
          <w:sz w:val="28"/>
          <w:szCs w:val="28"/>
        </w:rPr>
        <w:t> </w:t>
      </w:r>
      <w:r w:rsidRPr="00CC7883">
        <w:rPr>
          <w:rFonts w:ascii="Times New Roman" w:eastAsia="Calibri" w:hAnsi="Times New Roman" w:cs="Times New Roman"/>
          <w:i/>
          <w:iCs/>
          <w:color w:val="000000" w:themeColor="text1"/>
          <w:sz w:val="28"/>
          <w:szCs w:val="28"/>
        </w:rPr>
        <w:t>vitro</w:t>
      </w:r>
      <w:r w:rsidRPr="00CC7883">
        <w:rPr>
          <w:rFonts w:ascii="Times New Roman" w:eastAsia="Calibri" w:hAnsi="Times New Roman" w:cs="Times New Roman"/>
          <w:color w:val="000000" w:themeColor="text1"/>
          <w:sz w:val="28"/>
          <w:szCs w:val="28"/>
        </w:rPr>
        <w:t xml:space="preserve"> та суттєво впливає </w:t>
      </w:r>
      <w:r w:rsidRPr="00CC7883">
        <w:rPr>
          <w:rFonts w:ascii="Times New Roman" w:eastAsia="Calibri" w:hAnsi="Times New Roman" w:cs="Times New Roman"/>
          <w:color w:val="000000" w:themeColor="text1"/>
          <w:sz w:val="28"/>
          <w:szCs w:val="28"/>
        </w:rPr>
        <w:lastRenderedPageBreak/>
        <w:t>на їх здатність до адаптації, залишається недостатньо вивченим. Це обґрунтовує необхідність подальших досліджень, спрямованих на комплексне поєднання внутрішніх характеристик рослин із зовнішніми факторами адаптації.</w:t>
      </w:r>
    </w:p>
    <w:p w:rsidR="00B01A54" w:rsidRPr="00CC7883" w:rsidRDefault="00B01A54" w:rsidP="00047411">
      <w:pPr>
        <w:widowControl w:val="0"/>
        <w:numPr>
          <w:ilvl w:val="0"/>
          <w:numId w:val="15"/>
        </w:numPr>
        <w:tabs>
          <w:tab w:val="num" w:pos="0"/>
        </w:tabs>
        <w:spacing w:after="0" w:line="360" w:lineRule="auto"/>
        <w:ind w:left="0" w:firstLine="0"/>
        <w:contextualSpacing/>
        <w:jc w:val="both"/>
        <w:rPr>
          <w:rFonts w:ascii="Times New Roman" w:eastAsia="Times New Roman" w:hAnsi="Times New Roman" w:cs="Times New Roman"/>
          <w:color w:val="000000" w:themeColor="text1"/>
          <w:sz w:val="28"/>
          <w:szCs w:val="28"/>
          <w:lang w:eastAsia="ru-RU"/>
        </w:rPr>
      </w:pPr>
      <w:r w:rsidRPr="00CC7883">
        <w:rPr>
          <w:rFonts w:ascii="Times New Roman" w:eastAsia="Calibri" w:hAnsi="Times New Roman" w:cs="Times New Roman"/>
          <w:color w:val="000000" w:themeColor="text1"/>
          <w:sz w:val="28"/>
          <w:szCs w:val="28"/>
        </w:rPr>
        <w:t xml:space="preserve">На прикладі багатьох сільськогосподарських культур показано, що підвищення приживлюваності рослин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Calibri" w:hAnsi="Times New Roman" w:cs="Times New Roman"/>
          <w:color w:val="000000" w:themeColor="text1"/>
          <w:sz w:val="28"/>
          <w:szCs w:val="28"/>
        </w:rPr>
        <w:t xml:space="preserve"> залежить від фізіолого-біохімічного та анатомічного стану мікроклональних рослин. Тому ще на етапі культивування </w:t>
      </w:r>
      <w:r w:rsidR="00C85F8F" w:rsidRPr="00CC7883">
        <w:rPr>
          <w:rFonts w:ascii="Times New Roman" w:hAnsi="Times New Roman" w:cs="Times New Roman"/>
          <w:i/>
          <w:iCs/>
          <w:color w:val="000000" w:themeColor="text1"/>
          <w:sz w:val="28"/>
          <w:szCs w:val="28"/>
        </w:rPr>
        <w:t>in vitro</w:t>
      </w:r>
      <w:r w:rsidRPr="00CC7883">
        <w:rPr>
          <w:rFonts w:ascii="Times New Roman" w:eastAsia="Calibri" w:hAnsi="Times New Roman" w:cs="Times New Roman"/>
          <w:color w:val="000000" w:themeColor="text1"/>
          <w:sz w:val="28"/>
          <w:szCs w:val="28"/>
        </w:rPr>
        <w:t xml:space="preserve"> необхідно створювати такі умови, </w:t>
      </w:r>
      <w:r w:rsidRPr="00CC7883">
        <w:rPr>
          <w:rFonts w:ascii="Times New Roman" w:eastAsia="Times New Roman" w:hAnsi="Times New Roman" w:cs="Times New Roman"/>
          <w:color w:val="000000" w:themeColor="text1"/>
          <w:sz w:val="28"/>
          <w:szCs w:val="28"/>
          <w:lang w:eastAsia="ru-RU"/>
        </w:rPr>
        <w:t xml:space="preserve">які забезпечують у тканинах мікроклонів високу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вальну</w:t>
      </w:r>
      <w:r w:rsidRPr="00CC7883">
        <w:rPr>
          <w:rFonts w:ascii="Times New Roman" w:eastAsia="Times New Roman" w:hAnsi="Times New Roman" w:cs="Times New Roman"/>
          <w:color w:val="000000" w:themeColor="text1"/>
          <w:sz w:val="28"/>
          <w:szCs w:val="28"/>
          <w:lang w:eastAsia="ru-RU"/>
        </w:rPr>
        <w:t xml:space="preserve"> здатність, збалансований рівень загального обводнення та вміст сухих речовин, регульовану інтенсивність транспірації, накопичення фотосинтетичних пігментів і формування функціонально активного продихового апарату. Сукупність цих показників підвищує стійкість рослин до стресових чинників неконтрольованого середовища на етапі адаптації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sz w:val="28"/>
          <w:szCs w:val="28"/>
          <w:lang w:eastAsia="ru-RU"/>
        </w:rPr>
        <w:t>.</w:t>
      </w:r>
    </w:p>
    <w:p w:rsidR="00B01A54" w:rsidRPr="00CC7883" w:rsidRDefault="00B01A54" w:rsidP="00047411">
      <w:pPr>
        <w:widowControl w:val="0"/>
        <w:tabs>
          <w:tab w:val="num" w:pos="0"/>
        </w:tabs>
        <w:spacing w:after="0" w:line="360" w:lineRule="auto"/>
        <w:contextualSpacing/>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ab/>
        <w:t>Як правило, досягнення оптимального стану мікроклонів забезпечується шляхом оптимізації складу поживного середовища (введення вуглеводів, поліетиленгліколю, амінокислот, антиоксидантів, регуляторів росту), а також контролю параметрів освітлення, спектрального складу світла, температури, вологості повітря та вентиляції куль</w:t>
      </w:r>
      <w:r w:rsidR="00404252" w:rsidRPr="00CC7883">
        <w:rPr>
          <w:rFonts w:ascii="Times New Roman" w:eastAsia="Calibri" w:hAnsi="Times New Roman" w:cs="Times New Roman"/>
          <w:color w:val="000000" w:themeColor="text1"/>
          <w:sz w:val="28"/>
          <w:szCs w:val="28"/>
        </w:rPr>
        <w:t>туральних ємностей</w:t>
      </w:r>
      <w:r w:rsidRPr="00CC7883">
        <w:rPr>
          <w:rFonts w:ascii="Times New Roman" w:eastAsia="Calibri" w:hAnsi="Times New Roman" w:cs="Times New Roman"/>
          <w:color w:val="000000" w:themeColor="text1"/>
          <w:sz w:val="28"/>
          <w:szCs w:val="28"/>
        </w:rPr>
        <w:t>. Водночас, за даними літературних джерел, вплив зазначених факторів на перебіг основних фізіолого-біохімічних процесів у тканинах вегетативної маси та на формування морфо-анатомічної структури мікроклональних рослин є неоднозначним і не завжди позитивним, що зумовлено видовими, сортовими, генотиповими та клональними особливостями реакції рослин.</w:t>
      </w:r>
      <w:r w:rsidR="00D1494E" w:rsidRPr="00CC7883">
        <w:rPr>
          <w:rFonts w:ascii="Times New Roman" w:eastAsia="Calibri" w:hAnsi="Times New Roman" w:cs="Times New Roman"/>
          <w:color w:val="000000" w:themeColor="text1"/>
          <w:sz w:val="28"/>
          <w:szCs w:val="28"/>
        </w:rPr>
        <w:t xml:space="preserve"> </w:t>
      </w:r>
      <w:r w:rsidRPr="00CC7883">
        <w:rPr>
          <w:rFonts w:ascii="Times New Roman" w:eastAsia="Calibri" w:hAnsi="Times New Roman" w:cs="Times New Roman"/>
          <w:color w:val="000000" w:themeColor="text1"/>
          <w:sz w:val="28"/>
          <w:szCs w:val="28"/>
        </w:rPr>
        <w:t>Крім того, навіть у дослідженнях, де визначався комплекс відповідних показників, вони не завжди були спрямовані</w:t>
      </w:r>
      <w:r w:rsidR="0066793F">
        <w:rPr>
          <w:rFonts w:ascii="Times New Roman" w:eastAsia="Calibri" w:hAnsi="Times New Roman" w:cs="Times New Roman"/>
          <w:color w:val="000000" w:themeColor="text1"/>
          <w:sz w:val="28"/>
          <w:szCs w:val="28"/>
        </w:rPr>
        <w:t xml:space="preserve"> </w:t>
      </w:r>
      <w:r w:rsidRPr="00CC7883">
        <w:rPr>
          <w:rFonts w:ascii="Times New Roman" w:eastAsia="Calibri" w:hAnsi="Times New Roman" w:cs="Times New Roman"/>
          <w:color w:val="000000" w:themeColor="text1"/>
          <w:sz w:val="28"/>
          <w:szCs w:val="28"/>
        </w:rPr>
        <w:t xml:space="preserve">на оцінку адаптивності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Calibri" w:hAnsi="Times New Roman" w:cs="Times New Roman"/>
          <w:color w:val="000000" w:themeColor="text1"/>
          <w:sz w:val="28"/>
          <w:szCs w:val="28"/>
        </w:rPr>
        <w:t xml:space="preserve"> та їх подальшої приживлюваності. </w:t>
      </w:r>
    </w:p>
    <w:p w:rsidR="00B01A54" w:rsidRPr="00CC7883" w:rsidRDefault="00B01A54" w:rsidP="00047411">
      <w:pPr>
        <w:widowControl w:val="0"/>
        <w:tabs>
          <w:tab w:val="num" w:pos="0"/>
        </w:tabs>
        <w:spacing w:after="0" w:line="360" w:lineRule="auto"/>
        <w:contextualSpacing/>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ab/>
        <w:t>Стосовно винограду слід зазначити, що кількість наукових праць, присвячених вивченню фізіолого-біохімічних показників мікроклональних рослин, є вкрай обмеженою</w:t>
      </w:r>
      <w:r w:rsidR="003C3B27">
        <w:rPr>
          <w:rFonts w:ascii="Times New Roman" w:eastAsia="Calibri"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 xml:space="preserve"> </w:t>
      </w:r>
      <w:r w:rsidR="003C3B27">
        <w:rPr>
          <w:rFonts w:ascii="Times New Roman" w:eastAsia="Calibri" w:hAnsi="Times New Roman" w:cs="Times New Roman"/>
          <w:color w:val="000000" w:themeColor="text1"/>
          <w:sz w:val="28"/>
          <w:szCs w:val="28"/>
        </w:rPr>
        <w:t>Р</w:t>
      </w:r>
      <w:r w:rsidRPr="00CC7883">
        <w:rPr>
          <w:rFonts w:ascii="Times New Roman" w:eastAsia="Calibri" w:hAnsi="Times New Roman" w:cs="Times New Roman"/>
          <w:color w:val="000000" w:themeColor="text1"/>
          <w:sz w:val="28"/>
          <w:szCs w:val="28"/>
        </w:rPr>
        <w:t xml:space="preserve">оботи були зосереджені переважно на </w:t>
      </w:r>
      <w:r w:rsidRPr="00CC7883">
        <w:rPr>
          <w:rFonts w:ascii="Times New Roman" w:eastAsia="Calibri" w:hAnsi="Times New Roman" w:cs="Times New Roman"/>
          <w:color w:val="000000" w:themeColor="text1"/>
          <w:sz w:val="28"/>
          <w:szCs w:val="28"/>
        </w:rPr>
        <w:lastRenderedPageBreak/>
        <w:t xml:space="preserve">характеристиці водного режиму та вмісту сухих речовин у листках. Анатомічні особливості формування листкових пластинок у мікроклонів винограду практично не досліджені. У зв’язку з цим, визначення та цілеспрямоване формування комплексу фізіолого-біохімічних і анатомічних показників тканин надземної вегетативної маси мікроклональних рослин винограду на етапі культивування </w:t>
      </w:r>
      <w:r w:rsidRPr="00CC7883">
        <w:rPr>
          <w:rFonts w:ascii="Times New Roman" w:eastAsia="Calibri" w:hAnsi="Times New Roman" w:cs="Times New Roman"/>
          <w:i/>
          <w:iCs/>
          <w:color w:val="000000" w:themeColor="text1"/>
          <w:sz w:val="28"/>
          <w:szCs w:val="28"/>
        </w:rPr>
        <w:t>in vitro</w:t>
      </w:r>
      <w:r w:rsidRPr="00CC7883">
        <w:rPr>
          <w:rFonts w:ascii="Times New Roman" w:eastAsia="Calibri" w:hAnsi="Times New Roman" w:cs="Times New Roman"/>
          <w:color w:val="000000" w:themeColor="text1"/>
          <w:sz w:val="28"/>
          <w:szCs w:val="28"/>
        </w:rPr>
        <w:t xml:space="preserve"> є надзвичайно актуальним завданням сьогодення.</w:t>
      </w:r>
      <w:bookmarkEnd w:id="4"/>
    </w:p>
    <w:p w:rsidR="00B01A54" w:rsidRPr="00CC7883" w:rsidRDefault="00B01A54" w:rsidP="00047411">
      <w:pPr>
        <w:widowControl w:val="0"/>
        <w:tabs>
          <w:tab w:val="num" w:pos="0"/>
        </w:tabs>
        <w:spacing w:after="0" w:line="360" w:lineRule="auto"/>
        <w:contextualSpacing/>
        <w:jc w:val="both"/>
        <w:rPr>
          <w:rFonts w:ascii="Times New Roman" w:hAnsi="Times New Roman" w:cs="Times New Roman"/>
          <w:color w:val="000000" w:themeColor="text1"/>
          <w:sz w:val="28"/>
          <w:szCs w:val="28"/>
        </w:rPr>
        <w:sectPr w:rsidR="00B01A54" w:rsidRPr="00CC7883" w:rsidSect="005D03E5">
          <w:headerReference w:type="default" r:id="rId27"/>
          <w:headerReference w:type="first" r:id="rId28"/>
          <w:pgSz w:w="11905" w:h="16837"/>
          <w:pgMar w:top="1134" w:right="851" w:bottom="1134" w:left="1701" w:header="709" w:footer="709" w:gutter="0"/>
          <w:pgNumType w:start="2"/>
          <w:cols w:space="720"/>
          <w:titlePg/>
          <w:docGrid w:linePitch="326"/>
        </w:sectPr>
      </w:pPr>
    </w:p>
    <w:p w:rsidR="009B19E1" w:rsidRPr="00CC7883" w:rsidRDefault="009B19E1" w:rsidP="00047411">
      <w:pPr>
        <w:widowControl w:val="0"/>
        <w:spacing w:after="0" w:line="360" w:lineRule="auto"/>
        <w:jc w:val="center"/>
        <w:outlineLvl w:val="0"/>
        <w:rPr>
          <w:rFonts w:ascii="Times New Roman" w:hAnsi="Times New Roman" w:cs="Times New Roman"/>
          <w:b/>
          <w:bCs/>
          <w:color w:val="000000" w:themeColor="text1"/>
          <w:sz w:val="28"/>
          <w:szCs w:val="28"/>
        </w:rPr>
      </w:pPr>
      <w:bookmarkStart w:id="21" w:name="_Hlk169802086"/>
      <w:bookmarkStart w:id="22" w:name="_Toc220058923"/>
      <w:bookmarkEnd w:id="21"/>
      <w:r w:rsidRPr="00CC7883">
        <w:rPr>
          <w:rFonts w:ascii="Times New Roman" w:hAnsi="Times New Roman" w:cs="Times New Roman"/>
          <w:b/>
          <w:bCs/>
          <w:color w:val="000000" w:themeColor="text1"/>
          <w:sz w:val="28"/>
          <w:szCs w:val="28"/>
        </w:rPr>
        <w:lastRenderedPageBreak/>
        <w:t>РОЗДІЛ 2</w:t>
      </w:r>
      <w:bookmarkEnd w:id="22"/>
    </w:p>
    <w:p w:rsidR="009B19E1" w:rsidRPr="00CC7883" w:rsidRDefault="009B19E1" w:rsidP="00047411">
      <w:pPr>
        <w:widowControl w:val="0"/>
        <w:spacing w:after="0" w:line="360" w:lineRule="auto"/>
        <w:jc w:val="center"/>
        <w:outlineLvl w:val="0"/>
        <w:rPr>
          <w:rFonts w:ascii="Times New Roman" w:hAnsi="Times New Roman" w:cs="Times New Roman"/>
          <w:b/>
          <w:bCs/>
          <w:color w:val="000000" w:themeColor="text1"/>
          <w:sz w:val="28"/>
          <w:szCs w:val="28"/>
        </w:rPr>
      </w:pPr>
      <w:bookmarkStart w:id="23" w:name="_Toc220058924"/>
      <w:r w:rsidRPr="00CC7883">
        <w:rPr>
          <w:rFonts w:ascii="Times New Roman" w:hAnsi="Times New Roman" w:cs="Times New Roman"/>
          <w:b/>
          <w:bCs/>
          <w:color w:val="000000" w:themeColor="text1"/>
          <w:sz w:val="28"/>
          <w:szCs w:val="28"/>
        </w:rPr>
        <w:t>ОБ’ЄКТИ, МЕТОДИ ТА УМОВИ ПРОВЕДЕННЯ ДОСЛІДЖЕННЯ</w:t>
      </w:r>
      <w:bookmarkEnd w:id="23"/>
    </w:p>
    <w:p w:rsidR="009B19E1" w:rsidRPr="00CC7883" w:rsidRDefault="009B19E1" w:rsidP="00047411">
      <w:pPr>
        <w:widowControl w:val="0"/>
        <w:spacing w:after="0" w:line="360" w:lineRule="auto"/>
        <w:jc w:val="center"/>
        <w:rPr>
          <w:rFonts w:ascii="Times New Roman" w:hAnsi="Times New Roman" w:cs="Times New Roman"/>
          <w:b/>
          <w:bCs/>
          <w:color w:val="000000" w:themeColor="text1"/>
          <w:sz w:val="28"/>
          <w:szCs w:val="28"/>
        </w:rPr>
      </w:pPr>
    </w:p>
    <w:p w:rsidR="009B19E1" w:rsidRPr="00CC7883" w:rsidRDefault="009B19E1" w:rsidP="00047411">
      <w:pPr>
        <w:widowControl w:val="0"/>
        <w:spacing w:after="0" w:line="360" w:lineRule="auto"/>
        <w:ind w:firstLine="709"/>
        <w:jc w:val="both"/>
        <w:outlineLvl w:val="1"/>
        <w:rPr>
          <w:rFonts w:ascii="Times New Roman" w:hAnsi="Times New Roman" w:cs="Times New Roman"/>
          <w:b/>
          <w:bCs/>
          <w:color w:val="000000" w:themeColor="text1"/>
          <w:sz w:val="28"/>
          <w:szCs w:val="28"/>
        </w:rPr>
      </w:pPr>
      <w:bookmarkStart w:id="24" w:name="_Toc220058925"/>
      <w:r w:rsidRPr="00CC7883">
        <w:rPr>
          <w:rFonts w:ascii="Times New Roman" w:hAnsi="Times New Roman" w:cs="Times New Roman"/>
          <w:b/>
          <w:bCs/>
          <w:color w:val="000000" w:themeColor="text1"/>
          <w:sz w:val="28"/>
          <w:szCs w:val="28"/>
        </w:rPr>
        <w:t>2.1. Об’єкти та схеми дослідження</w:t>
      </w:r>
      <w:bookmarkEnd w:id="24"/>
    </w:p>
    <w:p w:rsidR="009B19E1" w:rsidRPr="00CC7883" w:rsidRDefault="009B19E1" w:rsidP="00047411">
      <w:pPr>
        <w:widowControl w:val="0"/>
        <w:spacing w:after="0" w:line="360" w:lineRule="auto"/>
        <w:jc w:val="both"/>
        <w:rPr>
          <w:rFonts w:ascii="Times New Roman" w:hAnsi="Times New Roman" w:cs="Times New Roman"/>
          <w:b/>
          <w:bCs/>
          <w:color w:val="000000" w:themeColor="text1"/>
          <w:sz w:val="28"/>
          <w:szCs w:val="28"/>
        </w:rPr>
      </w:pP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Робот</w:t>
      </w:r>
      <w:r w:rsidR="00675EF2">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 xml:space="preserve"> проводил</w:t>
      </w:r>
      <w:r w:rsidR="00675EF2">
        <w:rPr>
          <w:rFonts w:ascii="Times New Roman" w:hAnsi="Times New Roman" w:cs="Times New Roman"/>
          <w:color w:val="000000" w:themeColor="text1"/>
          <w:sz w:val="28"/>
          <w:szCs w:val="28"/>
        </w:rPr>
        <w:t>и</w:t>
      </w:r>
      <w:r w:rsidRPr="00CC7883">
        <w:rPr>
          <w:rFonts w:ascii="Times New Roman" w:hAnsi="Times New Roman" w:cs="Times New Roman"/>
          <w:color w:val="000000" w:themeColor="text1"/>
          <w:sz w:val="28"/>
          <w:szCs w:val="28"/>
        </w:rPr>
        <w:t xml:space="preserve"> у відділі розсадництва, розмноження та біотехнології винограду Національного наукового центру «Інститут виноградарства і виноробства ім. В.</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Є.</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Таїрова» НААН України протягом 2019–2022 рр.</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Матеріалом для дослідження були одновічкові, двовічкові мікрочубуки та мікроклони винограду сортів «Добриня», «Гарант», «Ярило» і «Загрей».</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u w:val="single"/>
        </w:rPr>
        <w:t>«Добриня»</w:t>
      </w:r>
      <w:r w:rsidRPr="00CC7883">
        <w:rPr>
          <w:rFonts w:ascii="Times New Roman" w:hAnsi="Times New Roman" w:cs="Times New Roman"/>
          <w:color w:val="000000" w:themeColor="text1"/>
          <w:sz w:val="28"/>
          <w:szCs w:val="28"/>
        </w:rPr>
        <w:t xml:space="preserve"> («Каберне Совіньйон» × «Рупестріс дю Ло») – підщепний сорт винограду, раннього строку дозрівання. Вегетаційний період, від початку розпускання бруньок до листопада становить 190 днів. Пагони сильнорослі. Ступінь визрівання пагонів до 95 %, порослеутворю</w:t>
      </w:r>
      <w:r w:rsidR="00675EF2">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а і пасинкоутворю</w:t>
      </w:r>
      <w:r w:rsidR="00675EF2">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а здатність слабка. Вихід стандартних чубуків складає 60 тис. шт./га. Здатність чубуків до укорінення – 70 %. Включений до Державного реєстру</w:t>
      </w:r>
      <w:r w:rsidR="00E528E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сортів рослин, придатних для поширення в Україні у 2007 році [2].</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u w:val="single"/>
        </w:rPr>
        <w:t>«Гарант»</w:t>
      </w:r>
      <w:r w:rsidRPr="00CC7883">
        <w:rPr>
          <w:rFonts w:ascii="Times New Roman" w:hAnsi="Times New Roman" w:cs="Times New Roman"/>
          <w:color w:val="000000" w:themeColor="text1"/>
          <w:sz w:val="28"/>
          <w:szCs w:val="28"/>
        </w:rPr>
        <w:t xml:space="preserve"> («Кречунел 2» × («Мцване» </w:t>
      </w:r>
      <w:r w:rsidR="00E921EA"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«Ріпаріа») + Ріхтер 99 + сіянець Ріпаріа Караджи) – підщепний сорт винограду раннього строку дозрівання. Вегетаційний період від початку розпускання бруньок до листопада становить 184 дні. Пагони сильнорослі, напіврозлогі. Ступінь визрівання пагонів до 85</w:t>
      </w:r>
      <w:r w:rsidR="00E528E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 </w:t>
      </w:r>
      <w:r w:rsidR="00675EF2" w:rsidRPr="00CC7883">
        <w:rPr>
          <w:rFonts w:ascii="Times New Roman" w:hAnsi="Times New Roman" w:cs="Times New Roman"/>
          <w:color w:val="000000" w:themeColor="text1"/>
          <w:sz w:val="28"/>
          <w:szCs w:val="28"/>
        </w:rPr>
        <w:t>порослеутворю</w:t>
      </w:r>
      <w:r w:rsidR="00675EF2">
        <w:rPr>
          <w:rFonts w:ascii="Times New Roman" w:hAnsi="Times New Roman" w:cs="Times New Roman"/>
          <w:color w:val="000000" w:themeColor="text1"/>
          <w:sz w:val="28"/>
          <w:szCs w:val="28"/>
        </w:rPr>
        <w:t>вальн</w:t>
      </w:r>
      <w:r w:rsidR="00675EF2" w:rsidRPr="00CC7883">
        <w:rPr>
          <w:rFonts w:ascii="Times New Roman" w:hAnsi="Times New Roman" w:cs="Times New Roman"/>
          <w:color w:val="000000" w:themeColor="text1"/>
          <w:sz w:val="28"/>
          <w:szCs w:val="28"/>
        </w:rPr>
        <w:t>а і пасинкоутворю</w:t>
      </w:r>
      <w:r w:rsidR="00675EF2">
        <w:rPr>
          <w:rFonts w:ascii="Times New Roman" w:hAnsi="Times New Roman" w:cs="Times New Roman"/>
          <w:color w:val="000000" w:themeColor="text1"/>
          <w:sz w:val="28"/>
          <w:szCs w:val="28"/>
        </w:rPr>
        <w:t>вальн</w:t>
      </w:r>
      <w:r w:rsidR="00675EF2" w:rsidRPr="00CC7883">
        <w:rPr>
          <w:rFonts w:ascii="Times New Roman" w:hAnsi="Times New Roman" w:cs="Times New Roman"/>
          <w:color w:val="000000" w:themeColor="text1"/>
          <w:sz w:val="28"/>
          <w:szCs w:val="28"/>
        </w:rPr>
        <w:t xml:space="preserve">а </w:t>
      </w:r>
      <w:r w:rsidRPr="00CC7883">
        <w:rPr>
          <w:rFonts w:ascii="Times New Roman" w:hAnsi="Times New Roman" w:cs="Times New Roman"/>
          <w:color w:val="000000" w:themeColor="text1"/>
          <w:sz w:val="28"/>
          <w:szCs w:val="28"/>
        </w:rPr>
        <w:t>здатність середня. Здатність чубуків до укорінення – 68</w:t>
      </w:r>
      <w:r w:rsidR="00E528E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Вихід стандартних чубуків складає 74 тис. шт./га. Включений до Державного реєстру сортів рослин, придатних для поширення в Україні у 2014 році [2].</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u w:val="single"/>
        </w:rPr>
        <w:t>«Ярило»</w:t>
      </w:r>
      <w:r w:rsidRPr="00CC7883">
        <w:rPr>
          <w:rFonts w:ascii="Times New Roman" w:hAnsi="Times New Roman" w:cs="Times New Roman"/>
          <w:color w:val="000000" w:themeColor="text1"/>
          <w:sz w:val="28"/>
          <w:szCs w:val="28"/>
        </w:rPr>
        <w:t xml:space="preserve"> («Гечеї заматош» × «Роднічок») – технічний сорт винограду, раннього строку дозрівання. Ріст кущів середньо-сильний, визрівання пагонів добре, зимостійкість середня. Сорт стійкий до грибних хвороб. Урожайність – 15,5 т/га. Середня маса грона 155 г, середня маса ягоди 1,7 г. Цукристість </w:t>
      </w:r>
      <w:r w:rsidRPr="00CC7883">
        <w:rPr>
          <w:rFonts w:ascii="Times New Roman" w:hAnsi="Times New Roman" w:cs="Times New Roman"/>
          <w:color w:val="000000" w:themeColor="text1"/>
          <w:sz w:val="28"/>
          <w:szCs w:val="28"/>
        </w:rPr>
        <w:lastRenderedPageBreak/>
        <w:t>соку ягід – 200 г/дм</w:t>
      </w:r>
      <w:r w:rsidRPr="00CC7883">
        <w:rPr>
          <w:rFonts w:ascii="Times New Roman" w:hAnsi="Times New Roman" w:cs="Times New Roman"/>
          <w:color w:val="000000" w:themeColor="text1"/>
          <w:sz w:val="28"/>
          <w:szCs w:val="28"/>
          <w:vertAlign w:val="superscript"/>
        </w:rPr>
        <w:t>3</w:t>
      </w:r>
      <w:r w:rsidRPr="00CC7883">
        <w:rPr>
          <w:rFonts w:ascii="Times New Roman" w:hAnsi="Times New Roman" w:cs="Times New Roman"/>
          <w:color w:val="000000" w:themeColor="text1"/>
          <w:sz w:val="28"/>
          <w:szCs w:val="28"/>
        </w:rPr>
        <w:t>, кислотність – 6,0 г/дм</w:t>
      </w:r>
      <w:r w:rsidRPr="00CC7883">
        <w:rPr>
          <w:rFonts w:ascii="Times New Roman" w:hAnsi="Times New Roman" w:cs="Times New Roman"/>
          <w:color w:val="000000" w:themeColor="text1"/>
          <w:sz w:val="28"/>
          <w:szCs w:val="28"/>
          <w:vertAlign w:val="superscript"/>
        </w:rPr>
        <w:t>3</w:t>
      </w:r>
      <w:r w:rsidRPr="00CC7883">
        <w:rPr>
          <w:rFonts w:ascii="Times New Roman" w:hAnsi="Times New Roman" w:cs="Times New Roman"/>
          <w:color w:val="000000" w:themeColor="text1"/>
          <w:sz w:val="28"/>
          <w:szCs w:val="28"/>
        </w:rPr>
        <w:t>. Дегустаційна оцінка сухого вина 7,95 бали. Включений до Державного реєстру сортів рослин, придатних для поширення в Україні у 2020 році [2].</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u w:val="single"/>
        </w:rPr>
        <w:t>«Загрей»</w:t>
      </w:r>
      <w:r w:rsidRPr="00CC7883">
        <w:rPr>
          <w:rFonts w:ascii="Times New Roman" w:hAnsi="Times New Roman" w:cs="Times New Roman"/>
          <w:color w:val="000000" w:themeColor="text1"/>
          <w:sz w:val="28"/>
          <w:szCs w:val="28"/>
        </w:rPr>
        <w:t xml:space="preserve"> («Овідіопольський» × «Мускат рожевий») – технічний сорт винограду, середньо-пізнього строку дозрівання. Ріст кущів середній, визрівання пагонів добре, зимостійкість і морозостійкість висока. Сорт стійкий до грибних хвороб. Урожайність – 13,0 т/га. Середня маса грона 170 г, середня маса ягоди 2,2 г. Цукристість соку ягід – 173 г/дм</w:t>
      </w:r>
      <w:r w:rsidRPr="00CC7883">
        <w:rPr>
          <w:rFonts w:ascii="Times New Roman" w:hAnsi="Times New Roman" w:cs="Times New Roman"/>
          <w:color w:val="000000" w:themeColor="text1"/>
          <w:sz w:val="28"/>
          <w:szCs w:val="28"/>
          <w:vertAlign w:val="superscript"/>
        </w:rPr>
        <w:t>3</w:t>
      </w:r>
      <w:r w:rsidRPr="00CC7883">
        <w:rPr>
          <w:rFonts w:ascii="Times New Roman" w:hAnsi="Times New Roman" w:cs="Times New Roman"/>
          <w:color w:val="000000" w:themeColor="text1"/>
          <w:sz w:val="28"/>
          <w:szCs w:val="28"/>
        </w:rPr>
        <w:t>, кислотність – 9,1 г/дм</w:t>
      </w:r>
      <w:r w:rsidRPr="00CC7883">
        <w:rPr>
          <w:rFonts w:ascii="Times New Roman" w:hAnsi="Times New Roman" w:cs="Times New Roman"/>
          <w:color w:val="000000" w:themeColor="text1"/>
          <w:sz w:val="28"/>
          <w:szCs w:val="28"/>
          <w:vertAlign w:val="superscript"/>
        </w:rPr>
        <w:t>3</w:t>
      </w:r>
      <w:r w:rsidRPr="00CC7883">
        <w:rPr>
          <w:rFonts w:ascii="Times New Roman" w:hAnsi="Times New Roman" w:cs="Times New Roman"/>
          <w:color w:val="000000" w:themeColor="text1"/>
          <w:sz w:val="28"/>
          <w:szCs w:val="28"/>
        </w:rPr>
        <w:t>. Дегустаційна оцінка сухого вина 7,8 бали. Включений до Державного реєстру сортів рослин, придатних для поширення в Україні у 2006 році [2].</w:t>
      </w: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Наукове дослідження </w:t>
      </w:r>
      <w:r w:rsidR="001E2C32">
        <w:rPr>
          <w:rFonts w:ascii="Times New Roman" w:hAnsi="Times New Roman" w:cs="Times New Roman"/>
          <w:color w:val="000000" w:themeColor="text1"/>
          <w:sz w:val="28"/>
          <w:szCs w:val="28"/>
        </w:rPr>
        <w:t>передбачало</w:t>
      </w:r>
      <w:r w:rsidRPr="00CC7883">
        <w:rPr>
          <w:rFonts w:ascii="Times New Roman" w:hAnsi="Times New Roman" w:cs="Times New Roman"/>
          <w:color w:val="000000" w:themeColor="text1"/>
          <w:sz w:val="28"/>
          <w:szCs w:val="28"/>
        </w:rPr>
        <w:t xml:space="preserve"> проведення двох дослідів, у яких вивчали вплив складу поживних середовищ (дослід 1) та мінеральних субстратів (дослід 2) на регенераційні та біометричні показники, фізіолого-біохімічний стан мікроклонів винограду на етапі передадаптації </w:t>
      </w:r>
      <w:r w:rsidR="00C85F8F" w:rsidRPr="00CC7883">
        <w:rPr>
          <w:rFonts w:ascii="Times New Roman" w:hAnsi="Times New Roman" w:cs="Times New Roman"/>
          <w:i/>
          <w:iCs/>
          <w:color w:val="000000" w:themeColor="text1"/>
          <w:sz w:val="28"/>
          <w:szCs w:val="28"/>
        </w:rPr>
        <w:t>in vitro</w:t>
      </w:r>
      <w:r w:rsidR="00C85F8F"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та приживлюваність рослин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Схема проведення дослідження:</w:t>
      </w:r>
    </w:p>
    <w:p w:rsidR="009B19E1" w:rsidRPr="00CC7883" w:rsidRDefault="009B19E1" w:rsidP="00047411">
      <w:pPr>
        <w:widowControl w:val="0"/>
        <w:spacing w:after="0" w:line="360" w:lineRule="auto"/>
        <w:jc w:val="both"/>
        <w:rPr>
          <w:rFonts w:ascii="Times New Roman" w:hAnsi="Times New Roman" w:cs="Times New Roman"/>
          <w:b/>
          <w:bCs/>
          <w:i/>
          <w:iCs/>
          <w:color w:val="000000" w:themeColor="text1"/>
          <w:sz w:val="28"/>
          <w:szCs w:val="28"/>
        </w:rPr>
      </w:pPr>
      <w:r w:rsidRPr="00CC7883">
        <w:rPr>
          <w:rFonts w:ascii="Times New Roman" w:hAnsi="Times New Roman" w:cs="Times New Roman"/>
          <w:i/>
          <w:iCs/>
          <w:color w:val="000000" w:themeColor="text1"/>
          <w:sz w:val="28"/>
          <w:szCs w:val="28"/>
        </w:rPr>
        <w:t xml:space="preserve">Дослід 1. </w:t>
      </w:r>
      <w:r w:rsidRPr="00CC7883">
        <w:rPr>
          <w:rFonts w:ascii="Times New Roman" w:hAnsi="Times New Roman" w:cs="Times New Roman"/>
          <w:b/>
          <w:bCs/>
          <w:i/>
          <w:iCs/>
          <w:color w:val="000000" w:themeColor="text1"/>
          <w:sz w:val="28"/>
          <w:szCs w:val="28"/>
        </w:rPr>
        <w:t>Визначення оптимального поживного середовища:</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1 (контроль 1) – MS + 0,3 мг/л ІОК, 0,2 мг/л </w:t>
      </w:r>
      <w:r w:rsidR="000650E1" w:rsidRPr="00CC7883">
        <w:rPr>
          <w:rFonts w:ascii="Times New Roman" w:hAnsi="Times New Roman" w:cs="Times New Roman"/>
          <w:color w:val="000000" w:themeColor="text1"/>
          <w:sz w:val="28"/>
          <w:szCs w:val="28"/>
        </w:rPr>
        <w:t>6-</w:t>
      </w:r>
      <w:r w:rsidRPr="00CC7883">
        <w:rPr>
          <w:rFonts w:ascii="Times New Roman" w:hAnsi="Times New Roman" w:cs="Times New Roman"/>
          <w:color w:val="000000" w:themeColor="text1"/>
          <w:sz w:val="28"/>
          <w:szCs w:val="28"/>
        </w:rPr>
        <w:t>БАП;</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2 (контроль 2) – MS + 0,6 мг/л ІОК, 0,5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3 – MS + 0,3 мг/л ІОК, 0,2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Радіфарм 2,5 мл/л;</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4 – MS + 0,6 мг/л ІОК, 0,5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Радіфарм 2,5 мл/л;</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5 – MS + 0,3 мг/л ІОК, 0,2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Clonex gel;</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6 – MS + 0,6 мг/л ІОК, 0,5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Clonex gel;</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7 – MS + 0,3 мг/л ІОК, 0,2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агроперліт (1:1);</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8 – MS + 0,6 мг/л ІОК, 0,5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агроперліт (1:1);</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9 – MS + 0,3 мг/л ІОК, 0,2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вермикуліт (1:1);</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10 – MS + 0,6 мг/л ІОК, 0,5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вермикуліт (1:1);</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11 – MS + 0,3 мг/л ІОК, 0,2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(агроперліт + вермикуліт) (1:1:1);</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 xml:space="preserve">Варіант 12 – MS + 0,6 мг/л ІОК, 0,5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(агроперліт + вермикуліт) (1:1:1).</w:t>
      </w:r>
    </w:p>
    <w:p w:rsidR="009B19E1" w:rsidRPr="00CC7883" w:rsidRDefault="009B19E1" w:rsidP="00047411">
      <w:pPr>
        <w:widowControl w:val="0"/>
        <w:spacing w:after="0" w:line="360" w:lineRule="auto"/>
        <w:jc w:val="both"/>
        <w:rPr>
          <w:rFonts w:ascii="Times New Roman" w:hAnsi="Times New Roman" w:cs="Times New Roman"/>
          <w:i/>
          <w:iCs/>
          <w:color w:val="000000" w:themeColor="text1"/>
          <w:sz w:val="28"/>
          <w:szCs w:val="28"/>
        </w:rPr>
      </w:pPr>
      <w:r w:rsidRPr="00CC7883">
        <w:rPr>
          <w:rFonts w:ascii="Times New Roman" w:hAnsi="Times New Roman" w:cs="Times New Roman"/>
          <w:i/>
          <w:iCs/>
          <w:color w:val="000000" w:themeColor="text1"/>
          <w:sz w:val="28"/>
          <w:szCs w:val="28"/>
        </w:rPr>
        <w:t xml:space="preserve">Дослід 2. </w:t>
      </w:r>
      <w:r w:rsidRPr="00CC7883">
        <w:rPr>
          <w:rFonts w:ascii="Times New Roman" w:hAnsi="Times New Roman" w:cs="Times New Roman"/>
          <w:b/>
          <w:bCs/>
          <w:i/>
          <w:iCs/>
          <w:color w:val="000000" w:themeColor="text1"/>
          <w:sz w:val="28"/>
          <w:szCs w:val="28"/>
        </w:rPr>
        <w:t>Визначення оптимального поживного мінерального субстрату</w:t>
      </w:r>
      <w:r w:rsidRPr="00CC7883">
        <w:rPr>
          <w:rFonts w:ascii="Times New Roman" w:hAnsi="Times New Roman" w:cs="Times New Roman"/>
          <w:i/>
          <w:iCs/>
          <w:color w:val="000000" w:themeColor="text1"/>
          <w:sz w:val="28"/>
          <w:szCs w:val="28"/>
        </w:rPr>
        <w:t>:</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1 (контроль 1) – MS + 0,3 мг/л ІОК, 0,2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Варіант 2 (контроль 2) – MS + 0,6 мг/л ІОК, 0,5 мг/л </w:t>
      </w:r>
      <w:r w:rsidR="000650E1"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Варіант 3 – Агроперліт;</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Варіант 4 – Вермикуліт;</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Варіант 5 – Агроперліт + вермикуліт (1:1).</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Контрольними варіантами у дослідах були стандартні поживні середовища MS із концентраціями фітогормонів 0,3 мг/л ІОК + 0,2 мг/л 6-БАП та 0,6 мг/л ІОК + 0,5 мг/л 6-БАП, без додавання біологічно активних препаратів і мінеральних субстратів</w:t>
      </w:r>
      <w:r w:rsidR="0060413B" w:rsidRPr="00CC7883">
        <w:rPr>
          <w:rFonts w:ascii="Times New Roman" w:hAnsi="Times New Roman" w:cs="Times New Roman"/>
          <w:color w:val="000000" w:themeColor="text1"/>
          <w:sz w:val="28"/>
          <w:szCs w:val="28"/>
        </w:rPr>
        <w:t xml:space="preserve"> (</w:t>
      </w:r>
      <w:r w:rsidR="00A84D08">
        <w:rPr>
          <w:rFonts w:ascii="Times New Roman" w:hAnsi="Times New Roman" w:cs="Times New Roman"/>
          <w:color w:val="000000" w:themeColor="text1"/>
          <w:sz w:val="28"/>
          <w:szCs w:val="28"/>
        </w:rPr>
        <w:t>д</w:t>
      </w:r>
      <w:r w:rsidR="0060413B" w:rsidRPr="00CC7883">
        <w:rPr>
          <w:rFonts w:ascii="Times New Roman" w:hAnsi="Times New Roman" w:cs="Times New Roman"/>
          <w:color w:val="000000" w:themeColor="text1"/>
          <w:sz w:val="28"/>
          <w:szCs w:val="28"/>
        </w:rPr>
        <w:t xml:space="preserve">одаток </w:t>
      </w:r>
      <w:r w:rsidR="00BF1869" w:rsidRPr="00CC7883">
        <w:rPr>
          <w:rFonts w:ascii="Times New Roman" w:hAnsi="Times New Roman" w:cs="Times New Roman"/>
          <w:color w:val="000000" w:themeColor="text1"/>
          <w:sz w:val="28"/>
          <w:szCs w:val="28"/>
        </w:rPr>
        <w:t>В</w:t>
      </w:r>
      <w:r w:rsidR="0060413B"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досліді 1, на агаризовані поживні середовища висаджували одновічкові ініціальні експланти винограду, у досліді 2 – на поживні мінеральні субстрати висаджували двовічкові ініціальні експланти винограду.</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Стандартне поживне середовище MS готували згідно з прописом, наведен</w:t>
      </w:r>
      <w:r w:rsidR="00DC0488">
        <w:rPr>
          <w:rFonts w:ascii="Times New Roman" w:hAnsi="Times New Roman" w:cs="Times New Roman"/>
          <w:color w:val="000000" w:themeColor="text1"/>
          <w:sz w:val="28"/>
          <w:szCs w:val="28"/>
        </w:rPr>
        <w:t>им</w:t>
      </w:r>
      <w:r w:rsidRPr="00CC7883">
        <w:rPr>
          <w:rFonts w:ascii="Times New Roman" w:hAnsi="Times New Roman" w:cs="Times New Roman"/>
          <w:color w:val="000000" w:themeColor="text1"/>
          <w:sz w:val="28"/>
          <w:szCs w:val="28"/>
        </w:rPr>
        <w:t xml:space="preserve"> у </w:t>
      </w:r>
      <w:r w:rsidR="00DC0488">
        <w:rPr>
          <w:rFonts w:ascii="Times New Roman" w:hAnsi="Times New Roman" w:cs="Times New Roman"/>
          <w:color w:val="000000" w:themeColor="text1"/>
          <w:sz w:val="28"/>
          <w:szCs w:val="28"/>
        </w:rPr>
        <w:t>д</w:t>
      </w:r>
      <w:r w:rsidRPr="00CC7883">
        <w:rPr>
          <w:rFonts w:ascii="Times New Roman" w:hAnsi="Times New Roman" w:cs="Times New Roman"/>
          <w:color w:val="000000" w:themeColor="text1"/>
          <w:sz w:val="28"/>
          <w:szCs w:val="28"/>
        </w:rPr>
        <w:t xml:space="preserve">одатку Г </w:t>
      </w:r>
      <w:r w:rsidR="00A50E9C" w:rsidRPr="00CC7883">
        <w:rPr>
          <w:rFonts w:ascii="Times New Roman" w:hAnsi="Times New Roman" w:cs="Times New Roman"/>
          <w:color w:val="000000" w:themeColor="text1"/>
          <w:sz w:val="28"/>
          <w:szCs w:val="28"/>
        </w:rPr>
        <w:t>[18</w:t>
      </w:r>
      <w:r w:rsidR="00FD6004" w:rsidRPr="00CC7883">
        <w:rPr>
          <w:rFonts w:ascii="Times New Roman" w:hAnsi="Times New Roman" w:cs="Times New Roman"/>
          <w:color w:val="000000" w:themeColor="text1"/>
          <w:sz w:val="28"/>
          <w:szCs w:val="28"/>
        </w:rPr>
        <w:t>8</w:t>
      </w:r>
      <w:r w:rsidRPr="00CC7883">
        <w:rPr>
          <w:rFonts w:ascii="Times New Roman" w:hAnsi="Times New Roman" w:cs="Times New Roman"/>
          <w:color w:val="000000" w:themeColor="text1"/>
          <w:sz w:val="28"/>
          <w:szCs w:val="28"/>
        </w:rPr>
        <w:t xml:space="preserve">]. Стандартне MS та модифіковані поживні середовища дослідних варіантів автоклавували за температури 120 </w:t>
      </w:r>
      <w:r w:rsidR="003435B4" w:rsidRPr="00CC7883">
        <w:rPr>
          <w:rFonts w:ascii="Times New Roman" w:hAnsi="Times New Roman" w:cs="Times New Roman"/>
          <w:color w:val="000000" w:themeColor="text1"/>
          <w:sz w:val="28"/>
          <w:szCs w:val="28"/>
        </w:rPr>
        <w:t>°С</w:t>
      </w:r>
      <w:r w:rsidRPr="00CC7883">
        <w:rPr>
          <w:rFonts w:ascii="Times New Roman" w:hAnsi="Times New Roman" w:cs="Times New Roman"/>
          <w:color w:val="000000" w:themeColor="text1"/>
          <w:sz w:val="28"/>
          <w:szCs w:val="28"/>
        </w:rPr>
        <w:t xml:space="preserve"> при 1 атм протягом 15 хв. </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Поживні середовища розливали у скляні єм</w:t>
      </w:r>
      <w:r w:rsidR="004978A5">
        <w:rPr>
          <w:rFonts w:ascii="Times New Roman" w:hAnsi="Times New Roman" w:cs="Times New Roman"/>
          <w:color w:val="000000" w:themeColor="text1"/>
          <w:sz w:val="28"/>
          <w:szCs w:val="28"/>
        </w:rPr>
        <w:t>н</w:t>
      </w:r>
      <w:r w:rsidRPr="00CC7883">
        <w:rPr>
          <w:rFonts w:ascii="Times New Roman" w:hAnsi="Times New Roman" w:cs="Times New Roman"/>
          <w:color w:val="000000" w:themeColor="text1"/>
          <w:sz w:val="28"/>
          <w:szCs w:val="28"/>
        </w:rPr>
        <w:t>ості діаметром 40 мм, висотою 150 мм. Об’єм поживного середовища дорівнював 20–25 мл.</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Після застигання поживного середовища, на основі агроперліту і вермикуліту або їх суміші, утворювалося двошарове середовище:</w:t>
      </w:r>
    </w:p>
    <w:p w:rsidR="009B19E1" w:rsidRPr="00CC7883" w:rsidRDefault="009B19E1" w:rsidP="00047411">
      <w:pPr>
        <w:widowControl w:val="0"/>
        <w:numPr>
          <w:ilvl w:val="0"/>
          <w:numId w:val="10"/>
        </w:numPr>
        <w:spacing w:after="0" w:line="360" w:lineRule="auto"/>
        <w:ind w:left="284" w:hanging="284"/>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верхній шар – агроперліт, просякнений агаровим середовищем, нижній – агарове середовище з вкрапленнями агроперліту (MS +</w:t>
      </w:r>
      <w:r w:rsidR="000847F0">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агроперліт);</w:t>
      </w:r>
    </w:p>
    <w:p w:rsidR="009B19E1" w:rsidRPr="00CC7883" w:rsidRDefault="009B19E1" w:rsidP="00047411">
      <w:pPr>
        <w:widowControl w:val="0"/>
        <w:numPr>
          <w:ilvl w:val="0"/>
          <w:numId w:val="10"/>
        </w:numPr>
        <w:spacing w:after="0" w:line="360" w:lineRule="auto"/>
        <w:ind w:left="284" w:hanging="284"/>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верхній шар – агарове середовище з вкрапленням вермикуліту, нижній – вермикуліт, просякнений агаровим середовищем (MS + вермикуліт);</w:t>
      </w:r>
    </w:p>
    <w:p w:rsidR="009B19E1" w:rsidRPr="00CC7883" w:rsidRDefault="009B19E1" w:rsidP="00047411">
      <w:pPr>
        <w:widowControl w:val="0"/>
        <w:numPr>
          <w:ilvl w:val="0"/>
          <w:numId w:val="10"/>
        </w:numPr>
        <w:spacing w:after="0" w:line="360" w:lineRule="auto"/>
        <w:ind w:left="284" w:hanging="284"/>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верхній шар – агроперліт, просякнений агаровим середовищем, нижній шар </w:t>
      </w:r>
      <w:r w:rsidR="00921370">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вермикуліт, просякнений агаровим середовищем (MS + агроперліт + вермикуліт).</w:t>
      </w: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Препарат Радіфарм додавали під час приготування поживного середовища MS у концентрації 2,5 мл/л.</w:t>
      </w: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Препарат Clonex gel використовували для обробки базальної частини ініціальних експлантів під час висаджування на поживне середовище MS.</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Поживні мінеральні субстрати розсипали у скляні єм</w:t>
      </w:r>
      <w:r w:rsidR="004978A5">
        <w:rPr>
          <w:rFonts w:ascii="Times New Roman" w:hAnsi="Times New Roman" w:cs="Times New Roman"/>
          <w:color w:val="000000" w:themeColor="text1"/>
          <w:sz w:val="28"/>
          <w:szCs w:val="28"/>
        </w:rPr>
        <w:t>н</w:t>
      </w:r>
      <w:r w:rsidRPr="00CC7883">
        <w:rPr>
          <w:rFonts w:ascii="Times New Roman" w:hAnsi="Times New Roman" w:cs="Times New Roman"/>
          <w:color w:val="000000" w:themeColor="text1"/>
          <w:sz w:val="28"/>
          <w:szCs w:val="28"/>
        </w:rPr>
        <w:t xml:space="preserve">ості діаметром 70 мм і висотою 95 мм. Об’єм поживного мінерального субстрату дорівнював 50 мл. Поживні мінеральні субстрати автоклавували за температури 120 </w:t>
      </w:r>
      <w:r w:rsidR="003435B4" w:rsidRPr="00CC7883">
        <w:rPr>
          <w:rFonts w:ascii="Times New Roman" w:hAnsi="Times New Roman" w:cs="Times New Roman"/>
          <w:color w:val="000000" w:themeColor="text1"/>
          <w:sz w:val="28"/>
          <w:szCs w:val="28"/>
        </w:rPr>
        <w:t>°С</w:t>
      </w:r>
      <w:r w:rsidRPr="00CC7883">
        <w:rPr>
          <w:rFonts w:ascii="Times New Roman" w:hAnsi="Times New Roman" w:cs="Times New Roman"/>
          <w:color w:val="000000" w:themeColor="text1"/>
          <w:sz w:val="28"/>
          <w:szCs w:val="28"/>
        </w:rPr>
        <w:t xml:space="preserve"> при 1 атм протягом 45 хв.</w:t>
      </w:r>
    </w:p>
    <w:p w:rsidR="009B19E1" w:rsidRPr="00CC7883" w:rsidRDefault="009B19E1" w:rsidP="00047411">
      <w:pPr>
        <w:widowControl w:val="0"/>
        <w:spacing w:after="0" w:line="360" w:lineRule="auto"/>
        <w:ind w:firstLine="708"/>
        <w:jc w:val="both"/>
        <w:rPr>
          <w:rFonts w:ascii="Times New Roman" w:hAnsi="Times New Roman" w:cs="Times New Roman"/>
          <w:b/>
          <w:bCs/>
          <w:color w:val="000000" w:themeColor="text1"/>
          <w:sz w:val="28"/>
          <w:szCs w:val="28"/>
        </w:rPr>
      </w:pPr>
    </w:p>
    <w:p w:rsidR="009B19E1" w:rsidRPr="00CC7883" w:rsidRDefault="009B19E1" w:rsidP="00047411">
      <w:pPr>
        <w:widowControl w:val="0"/>
        <w:spacing w:after="0" w:line="360" w:lineRule="auto"/>
        <w:ind w:firstLine="709"/>
        <w:jc w:val="both"/>
        <w:outlineLvl w:val="1"/>
        <w:rPr>
          <w:rFonts w:ascii="Times New Roman" w:hAnsi="Times New Roman" w:cs="Times New Roman"/>
          <w:b/>
          <w:bCs/>
          <w:color w:val="000000" w:themeColor="text1"/>
          <w:sz w:val="28"/>
          <w:szCs w:val="28"/>
        </w:rPr>
      </w:pPr>
      <w:bookmarkStart w:id="25" w:name="_Toc220058926"/>
      <w:r w:rsidRPr="00CC7883">
        <w:rPr>
          <w:rFonts w:ascii="Times New Roman" w:hAnsi="Times New Roman" w:cs="Times New Roman"/>
          <w:b/>
          <w:bCs/>
          <w:color w:val="000000" w:themeColor="text1"/>
          <w:sz w:val="28"/>
          <w:szCs w:val="28"/>
        </w:rPr>
        <w:t>2.2. Обліки, аналізи і методи дослідження</w:t>
      </w:r>
      <w:bookmarkEnd w:id="25"/>
    </w:p>
    <w:p w:rsidR="009B19E1" w:rsidRPr="00CC7883" w:rsidRDefault="009B19E1" w:rsidP="00047411">
      <w:pPr>
        <w:widowControl w:val="0"/>
        <w:spacing w:after="0" w:line="360" w:lineRule="auto"/>
        <w:jc w:val="both"/>
        <w:rPr>
          <w:rFonts w:ascii="Times New Roman" w:hAnsi="Times New Roman" w:cs="Times New Roman"/>
          <w:b/>
          <w:bCs/>
          <w:color w:val="000000" w:themeColor="text1"/>
          <w:sz w:val="28"/>
          <w:szCs w:val="28"/>
        </w:rPr>
      </w:pPr>
    </w:p>
    <w:p w:rsidR="009B19E1" w:rsidRPr="00CC7883" w:rsidRDefault="001E2C32" w:rsidP="00047411">
      <w:pPr>
        <w:widowControl w:val="0"/>
        <w:spacing w:after="0" w:line="360" w:lineRule="auto"/>
        <w:ind w:firstLine="708"/>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Під час</w:t>
      </w:r>
      <w:r w:rsidR="009B19E1" w:rsidRPr="00CC7883">
        <w:rPr>
          <w:rFonts w:ascii="Times New Roman" w:hAnsi="Times New Roman" w:cs="Times New Roman"/>
          <w:color w:val="000000" w:themeColor="text1"/>
          <w:sz w:val="28"/>
          <w:szCs w:val="28"/>
        </w:rPr>
        <w:t xml:space="preserve"> дослідження проводили </w:t>
      </w:r>
      <w:r>
        <w:rPr>
          <w:rFonts w:ascii="Times New Roman" w:hAnsi="Times New Roman" w:cs="Times New Roman"/>
          <w:color w:val="000000" w:themeColor="text1"/>
          <w:sz w:val="28"/>
          <w:szCs w:val="28"/>
        </w:rPr>
        <w:t>такі</w:t>
      </w:r>
      <w:r w:rsidR="009B19E1" w:rsidRPr="00CC7883">
        <w:rPr>
          <w:rFonts w:ascii="Times New Roman" w:hAnsi="Times New Roman" w:cs="Times New Roman"/>
          <w:color w:val="000000" w:themeColor="text1"/>
          <w:sz w:val="28"/>
          <w:szCs w:val="28"/>
        </w:rPr>
        <w:t xml:space="preserve"> визначення та обліки:</w:t>
      </w:r>
    </w:p>
    <w:p w:rsidR="009B19E1" w:rsidRPr="00CC7883" w:rsidRDefault="009B19E1" w:rsidP="00047411">
      <w:pPr>
        <w:pStyle w:val="a7"/>
        <w:widowControl w:val="0"/>
        <w:numPr>
          <w:ilvl w:val="0"/>
          <w:numId w:val="17"/>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Регенераційні показники: </w:t>
      </w:r>
    </w:p>
    <w:p w:rsidR="009B19E1" w:rsidRPr="00CC7883" w:rsidRDefault="009B19E1" w:rsidP="00047411">
      <w:pPr>
        <w:pStyle w:val="a7"/>
        <w:widowControl w:val="0"/>
        <w:numPr>
          <w:ilvl w:val="0"/>
          <w:numId w:val="18"/>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кількість вибракуваних експлантів, у яких спостерігали грибкове або бактеріальне зараження (%); </w:t>
      </w:r>
    </w:p>
    <w:p w:rsidR="009B19E1" w:rsidRPr="00CC7883" w:rsidRDefault="009B19E1" w:rsidP="00047411">
      <w:pPr>
        <w:pStyle w:val="a7"/>
        <w:widowControl w:val="0"/>
        <w:numPr>
          <w:ilvl w:val="0"/>
          <w:numId w:val="18"/>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приживлюваність експлантів</w:t>
      </w:r>
      <w:r w:rsidR="003756BF" w:rsidRPr="00CC7883">
        <w:rPr>
          <w:rFonts w:ascii="Times New Roman" w:hAnsi="Times New Roman" w:cs="Times New Roman"/>
          <w:color w:val="000000" w:themeColor="text1"/>
          <w:sz w:val="28"/>
          <w:szCs w:val="28"/>
        </w:rPr>
        <w:t xml:space="preserve"> (%) через 30 діб культивування;</w:t>
      </w:r>
    </w:p>
    <w:p w:rsidR="009B19E1" w:rsidRPr="00CC7883" w:rsidRDefault="009B19E1" w:rsidP="00047411">
      <w:pPr>
        <w:pStyle w:val="a7"/>
        <w:widowControl w:val="0"/>
        <w:numPr>
          <w:ilvl w:val="0"/>
          <w:numId w:val="18"/>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початок проліферації пазушних бруньок (діб); </w:t>
      </w:r>
    </w:p>
    <w:p w:rsidR="009B19E1" w:rsidRPr="00CC7883" w:rsidRDefault="009B19E1" w:rsidP="00047411">
      <w:pPr>
        <w:pStyle w:val="a7"/>
        <w:widowControl w:val="0"/>
        <w:numPr>
          <w:ilvl w:val="0"/>
          <w:numId w:val="18"/>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кількість експлантів із проліферацією пазушної бруньки (%);</w:t>
      </w:r>
    </w:p>
    <w:p w:rsidR="009B19E1" w:rsidRPr="00CC7883" w:rsidRDefault="009B19E1" w:rsidP="00047411">
      <w:pPr>
        <w:pStyle w:val="a7"/>
        <w:widowControl w:val="0"/>
        <w:numPr>
          <w:ilvl w:val="0"/>
          <w:numId w:val="18"/>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початок ризогенезу (діб);</w:t>
      </w:r>
    </w:p>
    <w:p w:rsidR="009B19E1" w:rsidRPr="00CC7883" w:rsidRDefault="009B19E1" w:rsidP="00047411">
      <w:pPr>
        <w:pStyle w:val="a7"/>
        <w:widowControl w:val="0"/>
        <w:numPr>
          <w:ilvl w:val="0"/>
          <w:numId w:val="18"/>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кількість експлантів із коренями (%);</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 Біометричні показники росту і розвитку мікроклонів винограду оцінювали через 60 діб культивування за:</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 xml:space="preserve">висотою рослин (см); </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кількістю листків (шт.);</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площею листків (см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площею листкової поверхні (см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/м);</w:t>
      </w:r>
    </w:p>
    <w:p w:rsidR="009B19E1" w:rsidRPr="00F62136"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облистяністю (</w:t>
      </w:r>
      <w:r w:rsidRPr="00CC7883">
        <w:rPr>
          <w:rFonts w:ascii="Times New Roman" w:eastAsia="Calibri" w:hAnsi="Times New Roman" w:cs="Times New Roman"/>
          <w:color w:val="000000" w:themeColor="text1"/>
          <w:sz w:val="28"/>
          <w:szCs w:val="28"/>
        </w:rPr>
        <w:t>дм</w:t>
      </w:r>
      <w:r w:rsidRPr="00CC7883">
        <w:rPr>
          <w:rFonts w:ascii="Times New Roman" w:eastAsia="Calibri" w:hAnsi="Times New Roman" w:cs="Times New Roman"/>
          <w:color w:val="000000" w:themeColor="text1"/>
          <w:sz w:val="28"/>
          <w:szCs w:val="28"/>
          <w:vertAlign w:val="superscript"/>
        </w:rPr>
        <w:t>2</w:t>
      </w:r>
      <w:r w:rsidRPr="00CC7883">
        <w:rPr>
          <w:rFonts w:ascii="Times New Roman" w:eastAsia="Calibri" w:hAnsi="Times New Roman" w:cs="Times New Roman"/>
          <w:color w:val="000000" w:themeColor="text1"/>
          <w:sz w:val="28"/>
          <w:szCs w:val="28"/>
        </w:rPr>
        <w:t>/м);</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кількістю коренів І та ІІ порядків (шт.);</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загальною довжиною коренів, довжиною одного кореня, у тому числі за градаціями (см);</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 xml:space="preserve">3. Фізіологічні і біохімічні показники листків та пагонів: </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у здатність через проміжки часу (5, 10, 15, 20, 30, 60</w:t>
      </w:r>
      <w:r w:rsidR="003435B4">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хв) (%) за методом «зав’ядання» за методом А. Арланда [</w:t>
      </w:r>
      <w:r w:rsidR="00A50E9C" w:rsidRPr="00CC7883">
        <w:rPr>
          <w:rFonts w:ascii="Times New Roman" w:hAnsi="Times New Roman" w:cs="Times New Roman"/>
          <w:color w:val="000000" w:themeColor="text1"/>
          <w:sz w:val="28"/>
          <w:szCs w:val="28"/>
        </w:rPr>
        <w:t>4</w:t>
      </w:r>
      <w:r w:rsidR="00FF750D" w:rsidRPr="00F62136">
        <w:rPr>
          <w:rFonts w:ascii="Times New Roman" w:hAnsi="Times New Roman" w:cs="Times New Roman"/>
          <w:color w:val="000000" w:themeColor="text1"/>
          <w:sz w:val="28"/>
          <w:szCs w:val="28"/>
          <w:lang w:val="ru-RU"/>
        </w:rPr>
        <w:t>,</w:t>
      </w:r>
      <w:r w:rsidR="00A50E9C" w:rsidRPr="00CC7883">
        <w:rPr>
          <w:rFonts w:ascii="Times New Roman" w:hAnsi="Times New Roman" w:cs="Times New Roman"/>
          <w:color w:val="000000" w:themeColor="text1"/>
          <w:sz w:val="28"/>
          <w:szCs w:val="28"/>
        </w:rPr>
        <w:t xml:space="preserve"> 70</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вміст води і сухих речовин (24 год) (%) ваговим методом [</w:t>
      </w:r>
      <w:r w:rsidR="00A50E9C" w:rsidRPr="00CC7883">
        <w:rPr>
          <w:rFonts w:ascii="Times New Roman" w:hAnsi="Times New Roman" w:cs="Times New Roman"/>
          <w:color w:val="000000" w:themeColor="text1"/>
          <w:sz w:val="28"/>
          <w:szCs w:val="28"/>
        </w:rPr>
        <w:t>58</w:t>
      </w:r>
      <w:r w:rsidR="00FF750D" w:rsidRPr="00F62136">
        <w:rPr>
          <w:rFonts w:ascii="Times New Roman" w:hAnsi="Times New Roman" w:cs="Times New Roman"/>
          <w:color w:val="000000" w:themeColor="text1"/>
          <w:sz w:val="28"/>
          <w:szCs w:val="28"/>
          <w:lang w:val="ru-RU"/>
        </w:rPr>
        <w:t>,</w:t>
      </w:r>
      <w:r w:rsidR="00A50E9C" w:rsidRPr="00CC7883">
        <w:rPr>
          <w:rFonts w:ascii="Times New Roman" w:hAnsi="Times New Roman" w:cs="Times New Roman"/>
          <w:color w:val="000000" w:themeColor="text1"/>
          <w:sz w:val="28"/>
          <w:szCs w:val="28"/>
        </w:rPr>
        <w:t xml:space="preserve"> 70</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 xml:space="preserve">вміст </w:t>
      </w:r>
      <w:r w:rsidR="00DE05AD" w:rsidRPr="00CC7883">
        <w:rPr>
          <w:rFonts w:ascii="Times New Roman" w:hAnsi="Times New Roman" w:cs="Times New Roman"/>
          <w:color w:val="000000" w:themeColor="text1"/>
          <w:sz w:val="28"/>
          <w:szCs w:val="28"/>
        </w:rPr>
        <w:t>легко</w:t>
      </w:r>
      <w:r w:rsidR="00DE05AD">
        <w:rPr>
          <w:rFonts w:ascii="Times New Roman" w:hAnsi="Times New Roman" w:cs="Times New Roman"/>
          <w:color w:val="000000" w:themeColor="text1"/>
          <w:sz w:val="28"/>
          <w:szCs w:val="28"/>
        </w:rPr>
        <w:t>у</w:t>
      </w:r>
      <w:r w:rsidR="00DE05AD" w:rsidRPr="00CC7883">
        <w:rPr>
          <w:rFonts w:ascii="Times New Roman" w:hAnsi="Times New Roman" w:cs="Times New Roman"/>
          <w:color w:val="000000" w:themeColor="text1"/>
          <w:sz w:val="28"/>
          <w:szCs w:val="28"/>
        </w:rPr>
        <w:t>трим</w:t>
      </w:r>
      <w:r w:rsidRPr="00CC7883">
        <w:rPr>
          <w:rFonts w:ascii="Times New Roman" w:hAnsi="Times New Roman" w:cs="Times New Roman"/>
          <w:color w:val="000000" w:themeColor="text1"/>
          <w:sz w:val="28"/>
          <w:szCs w:val="28"/>
        </w:rPr>
        <w:t>у</w:t>
      </w:r>
      <w:r w:rsidR="00DE05AD">
        <w:rPr>
          <w:rFonts w:ascii="Times New Roman" w:hAnsi="Times New Roman" w:cs="Times New Roman"/>
          <w:color w:val="000000" w:themeColor="text1"/>
          <w:sz w:val="28"/>
          <w:szCs w:val="28"/>
        </w:rPr>
        <w:t>ван</w:t>
      </w:r>
      <w:r w:rsidRPr="00CC7883">
        <w:rPr>
          <w:rFonts w:ascii="Times New Roman" w:hAnsi="Times New Roman" w:cs="Times New Roman"/>
          <w:color w:val="000000" w:themeColor="text1"/>
          <w:sz w:val="28"/>
          <w:szCs w:val="28"/>
        </w:rPr>
        <w:t>ої води (4 год) (%) [</w:t>
      </w:r>
      <w:r w:rsidR="00A50E9C" w:rsidRPr="00CC7883">
        <w:rPr>
          <w:rFonts w:ascii="Times New Roman" w:hAnsi="Times New Roman" w:cs="Times New Roman"/>
          <w:color w:val="000000" w:themeColor="text1"/>
          <w:sz w:val="28"/>
          <w:szCs w:val="28"/>
        </w:rPr>
        <w:t>70</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вміст пігментів (мг/г вологої маси) за методом Т. М. Годнєва [</w:t>
      </w:r>
      <w:r w:rsidR="00A50E9C" w:rsidRPr="00CC7883">
        <w:rPr>
          <w:rFonts w:ascii="Times New Roman" w:hAnsi="Times New Roman" w:cs="Times New Roman"/>
          <w:color w:val="000000" w:themeColor="text1"/>
          <w:sz w:val="28"/>
          <w:szCs w:val="28"/>
        </w:rPr>
        <w:t>50</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 xml:space="preserve">інтенсивність транспірації за методом </w:t>
      </w:r>
      <w:r w:rsidRPr="00CC7883">
        <w:rPr>
          <w:rFonts w:ascii="Times New Roman" w:hAnsi="Times New Roman" w:cs="Times New Roman"/>
          <w:bCs/>
          <w:color w:val="000000" w:themeColor="text1"/>
          <w:sz w:val="28"/>
          <w:szCs w:val="28"/>
        </w:rPr>
        <w:t>Л. І. Іванова</w:t>
      </w:r>
      <w:r w:rsidRPr="00CC7883">
        <w:rPr>
          <w:rFonts w:ascii="Times New Roman" w:hAnsi="Times New Roman" w:cs="Times New Roman"/>
          <w:color w:val="000000" w:themeColor="text1"/>
          <w:sz w:val="28"/>
          <w:szCs w:val="28"/>
        </w:rPr>
        <w:t xml:space="preserve"> за короткі проміжки часу (через 5, 10 хв) (г/м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×год) [</w:t>
      </w:r>
      <w:r w:rsidR="00A50E9C" w:rsidRPr="00CC7883">
        <w:rPr>
          <w:rFonts w:ascii="Times New Roman" w:hAnsi="Times New Roman" w:cs="Times New Roman"/>
          <w:color w:val="000000" w:themeColor="text1"/>
          <w:sz w:val="28"/>
          <w:szCs w:val="28"/>
        </w:rPr>
        <w:t>56</w:t>
      </w:r>
      <w:r w:rsidR="00FF750D" w:rsidRPr="00F62136">
        <w:rPr>
          <w:rFonts w:ascii="Times New Roman" w:hAnsi="Times New Roman" w:cs="Times New Roman"/>
          <w:color w:val="000000" w:themeColor="text1"/>
          <w:sz w:val="28"/>
          <w:szCs w:val="28"/>
          <w:lang w:val="ru-RU"/>
        </w:rPr>
        <w:t>,</w:t>
      </w:r>
      <w:r w:rsidR="00A50E9C" w:rsidRPr="00CC7883">
        <w:rPr>
          <w:rFonts w:ascii="Times New Roman" w:hAnsi="Times New Roman" w:cs="Times New Roman"/>
          <w:color w:val="000000" w:themeColor="text1"/>
          <w:sz w:val="28"/>
          <w:szCs w:val="28"/>
        </w:rPr>
        <w:t xml:space="preserve"> 70</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 Показники формування продихового апарату</w:t>
      </w:r>
      <w:r w:rsidR="000B09F8"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методом виготовлення ві</w:t>
      </w:r>
      <w:r w:rsidR="00A50E9C" w:rsidRPr="00CC7883">
        <w:rPr>
          <w:rFonts w:ascii="Times New Roman" w:hAnsi="Times New Roman" w:cs="Times New Roman"/>
          <w:color w:val="000000" w:themeColor="text1"/>
          <w:sz w:val="28"/>
          <w:szCs w:val="28"/>
        </w:rPr>
        <w:t>дбитків нижнього епідермісу [6</w:t>
      </w:r>
      <w:r w:rsidR="00FF750D" w:rsidRPr="00F62136">
        <w:rPr>
          <w:rFonts w:ascii="Times New Roman" w:hAnsi="Times New Roman" w:cs="Times New Roman"/>
          <w:color w:val="000000" w:themeColor="text1"/>
          <w:sz w:val="28"/>
          <w:szCs w:val="28"/>
          <w:lang w:val="ru-RU"/>
        </w:rPr>
        <w:t>,</w:t>
      </w:r>
      <w:r w:rsidR="000B09F8" w:rsidRPr="00CC7883">
        <w:rPr>
          <w:rFonts w:ascii="Times New Roman" w:hAnsi="Times New Roman" w:cs="Times New Roman"/>
          <w:color w:val="000000" w:themeColor="text1"/>
          <w:sz w:val="28"/>
          <w:szCs w:val="28"/>
        </w:rPr>
        <w:t xml:space="preserve"> </w:t>
      </w:r>
      <w:r w:rsidR="00A50E9C" w:rsidRPr="00CC7883">
        <w:rPr>
          <w:rFonts w:ascii="Times New Roman" w:hAnsi="Times New Roman" w:cs="Times New Roman"/>
          <w:color w:val="000000" w:themeColor="text1"/>
          <w:sz w:val="28"/>
          <w:szCs w:val="28"/>
        </w:rPr>
        <w:t>7</w:t>
      </w:r>
      <w:r w:rsidRPr="00CC7883">
        <w:rPr>
          <w:rFonts w:ascii="Times New Roman" w:hAnsi="Times New Roman" w:cs="Times New Roman"/>
          <w:color w:val="000000" w:themeColor="text1"/>
          <w:sz w:val="28"/>
          <w:szCs w:val="28"/>
        </w:rPr>
        <w:t>]</w:t>
      </w:r>
      <w:r w:rsidR="003E66CD">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При цьому визначали: </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кількість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(шт.) (збільшення ×20);</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кількість продихів на листковій пластинці (шт.);</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довжину продихів (мкм) (×40);</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ширину продихів (мкм) (×40);</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ширину продихової щілини (мкм);</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ширину замикаючої клітини (мкм) (×40);</w:t>
      </w:r>
    </w:p>
    <w:p w:rsidR="009B19E1" w:rsidRPr="00CC7883" w:rsidRDefault="009B19E1" w:rsidP="00047411">
      <w:pPr>
        <w:pStyle w:val="a7"/>
        <w:widowControl w:val="0"/>
        <w:numPr>
          <w:ilvl w:val="0"/>
          <w:numId w:val="18"/>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площу продихів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w:t>
      </w:r>
      <w:r w:rsidR="00E93536"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за формулою (2.1):</w:t>
      </w:r>
    </w:p>
    <w:p w:rsidR="009B19E1" w:rsidRPr="00CC7883" w:rsidRDefault="009B19E1" w:rsidP="00047411">
      <w:pPr>
        <w:pStyle w:val="a7"/>
        <w:widowControl w:val="0"/>
        <w:spacing w:after="0" w:line="360" w:lineRule="auto"/>
        <w:ind w:left="3540" w:firstLine="708"/>
        <w:jc w:val="center"/>
        <w:rPr>
          <w:rFonts w:ascii="Times New Roman" w:hAnsi="Times New Roman" w:cs="Times New Roman"/>
          <w:color w:val="000000" w:themeColor="text1"/>
          <w:sz w:val="28"/>
          <w:szCs w:val="28"/>
        </w:rPr>
      </w:pPr>
      <m:oMath>
        <m:r>
          <m:rPr>
            <m:sty m:val="p"/>
          </m:rPr>
          <w:rPr>
            <w:rFonts w:ascii="Cambria Math" w:hAnsi="Cambria Math" w:cs="Times New Roman"/>
            <w:color w:val="000000" w:themeColor="text1"/>
            <w:sz w:val="28"/>
            <w:szCs w:val="28"/>
          </w:rPr>
          <m:t>S=π×(</m:t>
        </m:r>
        <m:f>
          <m:fPr>
            <m:ctrlPr>
              <w:rPr>
                <w:rFonts w:ascii="Cambria Math" w:hAnsi="Cambria Math" w:cs="Times New Roman"/>
                <w:color w:val="000000" w:themeColor="text1"/>
                <w:sz w:val="28"/>
                <w:szCs w:val="28"/>
              </w:rPr>
            </m:ctrlPr>
          </m:fPr>
          <m:num>
            <m:r>
              <m:rPr>
                <m:sty m:val="p"/>
              </m:rPr>
              <w:rPr>
                <w:rFonts w:ascii="Cambria Math" w:hAnsi="Cambria Math" w:cs="Times New Roman"/>
                <w:color w:val="000000" w:themeColor="text1"/>
                <w:sz w:val="28"/>
                <w:szCs w:val="28"/>
              </w:rPr>
              <m:t>L</m:t>
            </m:r>
          </m:num>
          <m:den>
            <m:r>
              <m:rPr>
                <m:sty m:val="p"/>
              </m:rPr>
              <w:rPr>
                <w:rFonts w:ascii="Cambria Math" w:hAnsi="Cambria Math" w:cs="Times New Roman"/>
                <w:color w:val="000000" w:themeColor="text1"/>
                <w:sz w:val="28"/>
                <w:szCs w:val="28"/>
              </w:rPr>
              <m:t>2</m:t>
            </m:r>
          </m:den>
        </m:f>
        <m:r>
          <m:rPr>
            <m:sty m:val="p"/>
          </m:rPr>
          <w:rPr>
            <w:rFonts w:ascii="Cambria Math" w:hAnsi="Cambria Math" w:cs="Times New Roman"/>
            <w:color w:val="000000" w:themeColor="text1"/>
            <w:sz w:val="28"/>
            <w:szCs w:val="28"/>
          </w:rPr>
          <m:t>)×(</m:t>
        </m:r>
        <m:f>
          <m:fPr>
            <m:ctrlPr>
              <w:rPr>
                <w:rFonts w:ascii="Cambria Math" w:hAnsi="Cambria Math" w:cs="Times New Roman"/>
                <w:color w:val="000000" w:themeColor="text1"/>
                <w:sz w:val="28"/>
                <w:szCs w:val="28"/>
              </w:rPr>
            </m:ctrlPr>
          </m:fPr>
          <m:num>
            <m:r>
              <m:rPr>
                <m:sty m:val="p"/>
              </m:rPr>
              <w:rPr>
                <w:rFonts w:ascii="Cambria Math" w:hAnsi="Cambria Math" w:cs="Times New Roman"/>
                <w:color w:val="000000" w:themeColor="text1"/>
                <w:sz w:val="28"/>
                <w:szCs w:val="28"/>
              </w:rPr>
              <m:t>W</m:t>
            </m:r>
          </m:num>
          <m:den>
            <m:r>
              <m:rPr>
                <m:sty m:val="p"/>
              </m:rPr>
              <w:rPr>
                <w:rFonts w:ascii="Cambria Math" w:hAnsi="Cambria Math" w:cs="Times New Roman"/>
                <w:color w:val="000000" w:themeColor="text1"/>
                <w:sz w:val="28"/>
                <w:szCs w:val="28"/>
              </w:rPr>
              <m:t>2</m:t>
            </m:r>
          </m:den>
        </m:f>
        <m:r>
          <m:rPr>
            <m:sty m:val="p"/>
          </m:rPr>
          <w:rPr>
            <w:rFonts w:ascii="Cambria Math" w:hAnsi="Cambria Math" w:cs="Times New Roman"/>
            <w:color w:val="000000" w:themeColor="text1"/>
            <w:sz w:val="28"/>
            <w:szCs w:val="28"/>
          </w:rPr>
          <m:t>)</m:t>
        </m:r>
      </m:oMath>
      <w:r w:rsidRPr="00CC7883">
        <w:rPr>
          <w:rFonts w:ascii="Times New Roman" w:hAnsi="Times New Roman" w:cs="Times New Roman"/>
          <w:color w:val="000000" w:themeColor="text1"/>
          <w:sz w:val="28"/>
          <w:szCs w:val="28"/>
        </w:rPr>
        <w:tab/>
        <w:t>,</w:t>
      </w:r>
      <w:r w:rsidRPr="00CC7883">
        <w:rPr>
          <w:rFonts w:ascii="Times New Roman" w:hAnsi="Times New Roman" w:cs="Times New Roman"/>
          <w:color w:val="000000" w:themeColor="text1"/>
          <w:sz w:val="28"/>
          <w:szCs w:val="28"/>
        </w:rPr>
        <w:tab/>
      </w:r>
      <w:r w:rsidR="007E3285" w:rsidRPr="00CC7883">
        <w:rPr>
          <w:rFonts w:ascii="Times New Roman" w:hAnsi="Times New Roman" w:cs="Times New Roman"/>
          <w:color w:val="000000" w:themeColor="text1"/>
          <w:sz w:val="28"/>
          <w:szCs w:val="28"/>
        </w:rPr>
        <w:tab/>
      </w:r>
      <w:r w:rsidR="007E3285" w:rsidRPr="00CC7883">
        <w:rPr>
          <w:rFonts w:ascii="Times New Roman" w:hAnsi="Times New Roman" w:cs="Times New Roman"/>
          <w:color w:val="000000" w:themeColor="text1"/>
          <w:sz w:val="28"/>
          <w:szCs w:val="28"/>
        </w:rPr>
        <w:tab/>
        <w:t xml:space="preserve">    </w:t>
      </w:r>
      <w:r w:rsidRPr="00CC7883">
        <w:rPr>
          <w:rFonts w:ascii="Times New Roman" w:hAnsi="Times New Roman" w:cs="Times New Roman"/>
          <w:color w:val="000000" w:themeColor="text1"/>
          <w:sz w:val="28"/>
          <w:szCs w:val="28"/>
        </w:rPr>
        <w:t>(2.1)</w:t>
      </w:r>
    </w:p>
    <w:p w:rsidR="009B19E1" w:rsidRPr="00CC7883" w:rsidRDefault="009B19E1" w:rsidP="00047411">
      <w:pPr>
        <w:pStyle w:val="a7"/>
        <w:widowControl w:val="0"/>
        <w:spacing w:after="0" w:line="360" w:lineRule="auto"/>
        <w:ind w:left="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де:</w:t>
      </w:r>
    </w:p>
    <w:p w:rsidR="009B19E1" w:rsidRPr="00CC7883" w:rsidRDefault="009B19E1" w:rsidP="00047411">
      <w:pPr>
        <w:pStyle w:val="a7"/>
        <w:widowControl w:val="0"/>
        <w:spacing w:after="0" w:line="360" w:lineRule="auto"/>
        <w:ind w:left="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S – площа продих</w:t>
      </w:r>
      <w:r w:rsidR="00D1494E" w:rsidRPr="00CC7883">
        <w:rPr>
          <w:rFonts w:ascii="Times New Roman" w:hAnsi="Times New Roman" w:cs="Times New Roman"/>
          <w:color w:val="000000" w:themeColor="text1"/>
          <w:sz w:val="28"/>
          <w:szCs w:val="28"/>
        </w:rPr>
        <w:t>ів</w:t>
      </w:r>
      <w:r w:rsidRPr="00CC7883">
        <w:rPr>
          <w:rFonts w:ascii="Times New Roman" w:hAnsi="Times New Roman" w:cs="Times New Roman"/>
          <w:color w:val="000000" w:themeColor="text1"/>
          <w:sz w:val="28"/>
          <w:szCs w:val="28"/>
        </w:rPr>
        <w:t xml:space="preserve">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w:t>
      </w:r>
    </w:p>
    <w:p w:rsidR="009B19E1" w:rsidRPr="00CC7883" w:rsidRDefault="009B19E1" w:rsidP="00047411">
      <w:pPr>
        <w:pStyle w:val="a7"/>
        <w:widowControl w:val="0"/>
        <w:spacing w:after="0" w:line="360" w:lineRule="auto"/>
        <w:ind w:left="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L – довжина продихів (мкм); </w:t>
      </w:r>
    </w:p>
    <w:p w:rsidR="009B19E1" w:rsidRPr="00CC7883" w:rsidRDefault="009B19E1" w:rsidP="00047411">
      <w:pPr>
        <w:pStyle w:val="a7"/>
        <w:widowControl w:val="0"/>
        <w:spacing w:after="0" w:line="360" w:lineRule="auto"/>
        <w:ind w:left="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 – ширина продихів (мкм);</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відповідно до морфометричного підходу </w:t>
      </w:r>
      <w:r w:rsidR="007E3285" w:rsidRPr="00CC7883">
        <w:rPr>
          <w:rFonts w:ascii="Times New Roman" w:hAnsi="Times New Roman" w:cs="Times New Roman"/>
          <w:color w:val="000000" w:themeColor="text1"/>
          <w:sz w:val="28"/>
          <w:szCs w:val="28"/>
        </w:rPr>
        <w:t>Pompelli [</w:t>
      </w:r>
      <w:r w:rsidR="009E747E" w:rsidRPr="00CC7883">
        <w:rPr>
          <w:rFonts w:ascii="Times New Roman" w:hAnsi="Times New Roman" w:cs="Times New Roman"/>
          <w:color w:val="000000" w:themeColor="text1"/>
          <w:sz w:val="28"/>
          <w:szCs w:val="28"/>
        </w:rPr>
        <w:t>207</w:t>
      </w:r>
      <w:r w:rsidR="007E3285"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та оцінки розміру п</w:t>
      </w:r>
      <w:r w:rsidR="00A50E9C" w:rsidRPr="00CC7883">
        <w:rPr>
          <w:rFonts w:ascii="Times New Roman" w:hAnsi="Times New Roman" w:cs="Times New Roman"/>
          <w:color w:val="000000" w:themeColor="text1"/>
          <w:sz w:val="28"/>
          <w:szCs w:val="28"/>
        </w:rPr>
        <w:t xml:space="preserve">родихів за </w:t>
      </w:r>
      <w:r w:rsidR="007E3285" w:rsidRPr="00CC7883">
        <w:rPr>
          <w:rFonts w:ascii="Times New Roman" w:hAnsi="Times New Roman" w:cs="Times New Roman"/>
          <w:color w:val="000000" w:themeColor="text1"/>
          <w:sz w:val="28"/>
          <w:szCs w:val="28"/>
        </w:rPr>
        <w:t xml:space="preserve">Omasa </w:t>
      </w:r>
      <w:r w:rsidR="009105D8" w:rsidRPr="00813FFA">
        <w:rPr>
          <w:rFonts w:ascii="Times New Roman" w:hAnsi="Times New Roman"/>
          <w:color w:val="000000" w:themeColor="text1"/>
          <w:sz w:val="28"/>
          <w:szCs w:val="28"/>
          <w:lang w:val="en-US"/>
        </w:rPr>
        <w:t>K</w:t>
      </w:r>
      <w:r w:rsidR="009105D8" w:rsidRPr="00F62136">
        <w:rPr>
          <w:rFonts w:ascii="Times New Roman" w:hAnsi="Times New Roman"/>
          <w:color w:val="000000" w:themeColor="text1"/>
          <w:sz w:val="28"/>
          <w:szCs w:val="28"/>
        </w:rPr>
        <w:t>.</w:t>
      </w:r>
      <w:r w:rsidR="009105D8" w:rsidRPr="00CC7883">
        <w:rPr>
          <w:rFonts w:ascii="Times New Roman" w:hAnsi="Times New Roman" w:cs="Times New Roman"/>
          <w:color w:val="000000" w:themeColor="text1"/>
          <w:sz w:val="28"/>
          <w:szCs w:val="28"/>
        </w:rPr>
        <w:t xml:space="preserve"> </w:t>
      </w:r>
      <w:r w:rsidR="009105D8" w:rsidRPr="00F62136">
        <w:rPr>
          <w:rFonts w:ascii="Times New Roman" w:hAnsi="Times New Roman" w:cs="Times New Roman"/>
          <w:color w:val="000000" w:themeColor="text1"/>
          <w:sz w:val="28"/>
          <w:szCs w:val="28"/>
        </w:rPr>
        <w:t xml:space="preserve">&amp; </w:t>
      </w:r>
      <w:r w:rsidR="009105D8" w:rsidRPr="00813FFA">
        <w:rPr>
          <w:rFonts w:ascii="Times New Roman" w:hAnsi="Times New Roman"/>
          <w:color w:val="000000" w:themeColor="text1"/>
          <w:sz w:val="28"/>
          <w:szCs w:val="28"/>
          <w:lang w:val="en-US"/>
        </w:rPr>
        <w:t>Onoe</w:t>
      </w:r>
      <w:r w:rsidR="009105D8" w:rsidRPr="00F62136">
        <w:rPr>
          <w:rFonts w:ascii="Times New Roman" w:hAnsi="Times New Roman"/>
          <w:color w:val="000000" w:themeColor="text1"/>
          <w:sz w:val="28"/>
          <w:szCs w:val="28"/>
        </w:rPr>
        <w:t xml:space="preserve"> </w:t>
      </w:r>
      <w:r w:rsidR="009105D8" w:rsidRPr="00813FFA">
        <w:rPr>
          <w:rFonts w:ascii="Times New Roman" w:hAnsi="Times New Roman"/>
          <w:color w:val="000000" w:themeColor="text1"/>
          <w:sz w:val="28"/>
          <w:szCs w:val="28"/>
          <w:lang w:val="en-US"/>
        </w:rPr>
        <w:t>M</w:t>
      </w:r>
      <w:r w:rsidR="009105D8" w:rsidRPr="00F62136">
        <w:rPr>
          <w:rFonts w:ascii="Times New Roman" w:hAnsi="Times New Roman"/>
          <w:color w:val="000000" w:themeColor="text1"/>
          <w:sz w:val="28"/>
          <w:szCs w:val="28"/>
        </w:rPr>
        <w:t>.</w:t>
      </w:r>
      <w:r w:rsidR="009105D8" w:rsidRPr="00CC7883">
        <w:rPr>
          <w:rFonts w:ascii="Times New Roman" w:hAnsi="Times New Roman" w:cs="Times New Roman"/>
          <w:color w:val="000000" w:themeColor="text1"/>
          <w:sz w:val="28"/>
          <w:szCs w:val="28"/>
        </w:rPr>
        <w:t xml:space="preserve"> </w:t>
      </w:r>
      <w:r w:rsidR="007E3285" w:rsidRPr="00CC7883">
        <w:rPr>
          <w:rFonts w:ascii="Times New Roman" w:hAnsi="Times New Roman" w:cs="Times New Roman"/>
          <w:color w:val="000000" w:themeColor="text1"/>
          <w:sz w:val="28"/>
          <w:szCs w:val="28"/>
        </w:rPr>
        <w:t xml:space="preserve">[197] і </w:t>
      </w:r>
      <w:r w:rsidR="009105D8" w:rsidRPr="00813FFA">
        <w:rPr>
          <w:rFonts w:ascii="Times New Roman" w:hAnsi="Times New Roman"/>
          <w:color w:val="000000" w:themeColor="text1"/>
          <w:sz w:val="28"/>
          <w:szCs w:val="28"/>
          <w:lang w:val="en-US"/>
        </w:rPr>
        <w:t>Franks</w:t>
      </w:r>
      <w:r w:rsidR="009105D8" w:rsidRPr="00F62136">
        <w:rPr>
          <w:rFonts w:ascii="Times New Roman" w:hAnsi="Times New Roman"/>
          <w:color w:val="000000" w:themeColor="text1"/>
          <w:sz w:val="28"/>
          <w:szCs w:val="28"/>
        </w:rPr>
        <w:t xml:space="preserve"> </w:t>
      </w:r>
      <w:r w:rsidR="009105D8" w:rsidRPr="00813FFA">
        <w:rPr>
          <w:rFonts w:ascii="Times New Roman" w:hAnsi="Times New Roman"/>
          <w:color w:val="000000" w:themeColor="text1"/>
          <w:sz w:val="28"/>
          <w:szCs w:val="28"/>
          <w:lang w:val="en-US"/>
        </w:rPr>
        <w:t>P</w:t>
      </w:r>
      <w:r w:rsidR="009105D8" w:rsidRPr="00F62136">
        <w:rPr>
          <w:rFonts w:ascii="Times New Roman" w:hAnsi="Times New Roman"/>
          <w:color w:val="000000" w:themeColor="text1"/>
          <w:sz w:val="28"/>
          <w:szCs w:val="28"/>
        </w:rPr>
        <w:t xml:space="preserve">. </w:t>
      </w:r>
      <w:r w:rsidR="009105D8" w:rsidRPr="00813FFA">
        <w:rPr>
          <w:rFonts w:ascii="Times New Roman" w:hAnsi="Times New Roman"/>
          <w:color w:val="000000" w:themeColor="text1"/>
          <w:sz w:val="28"/>
          <w:szCs w:val="28"/>
          <w:lang w:val="en-US"/>
        </w:rPr>
        <w:t>J</w:t>
      </w:r>
      <w:r w:rsidR="009105D8" w:rsidRPr="00F62136">
        <w:rPr>
          <w:rFonts w:ascii="Times New Roman" w:hAnsi="Times New Roman"/>
          <w:color w:val="000000" w:themeColor="text1"/>
          <w:sz w:val="28"/>
          <w:szCs w:val="28"/>
        </w:rPr>
        <w:t>.</w:t>
      </w:r>
      <w:r w:rsidR="00A50E9C" w:rsidRPr="00CC7883">
        <w:rPr>
          <w:rFonts w:ascii="Times New Roman" w:hAnsi="Times New Roman" w:cs="Times New Roman"/>
          <w:color w:val="000000" w:themeColor="text1"/>
          <w:sz w:val="28"/>
          <w:szCs w:val="28"/>
        </w:rPr>
        <w:t xml:space="preserve"> &amp; </w:t>
      </w:r>
      <w:r w:rsidR="009105D8" w:rsidRPr="00813FFA">
        <w:rPr>
          <w:rFonts w:ascii="Times New Roman" w:hAnsi="Times New Roman"/>
          <w:color w:val="000000" w:themeColor="text1"/>
          <w:sz w:val="28"/>
          <w:szCs w:val="28"/>
          <w:lang w:val="en-US"/>
        </w:rPr>
        <w:t>Farquhar</w:t>
      </w:r>
      <w:r w:rsidR="009105D8" w:rsidRPr="00F62136">
        <w:rPr>
          <w:rFonts w:ascii="Times New Roman" w:hAnsi="Times New Roman"/>
          <w:color w:val="000000" w:themeColor="text1"/>
          <w:sz w:val="28"/>
          <w:szCs w:val="28"/>
        </w:rPr>
        <w:t xml:space="preserve"> </w:t>
      </w:r>
      <w:r w:rsidR="009105D8" w:rsidRPr="00813FFA">
        <w:rPr>
          <w:rFonts w:ascii="Times New Roman" w:hAnsi="Times New Roman"/>
          <w:color w:val="000000" w:themeColor="text1"/>
          <w:sz w:val="28"/>
          <w:szCs w:val="28"/>
          <w:lang w:val="en-US"/>
        </w:rPr>
        <w:t>G</w:t>
      </w:r>
      <w:r w:rsidR="009105D8" w:rsidRPr="00F62136">
        <w:rPr>
          <w:rFonts w:ascii="Times New Roman" w:hAnsi="Times New Roman"/>
          <w:color w:val="000000" w:themeColor="text1"/>
          <w:sz w:val="28"/>
          <w:szCs w:val="28"/>
        </w:rPr>
        <w:t xml:space="preserve">. </w:t>
      </w:r>
      <w:r w:rsidR="009105D8" w:rsidRPr="00813FFA">
        <w:rPr>
          <w:rFonts w:ascii="Times New Roman" w:hAnsi="Times New Roman"/>
          <w:color w:val="000000" w:themeColor="text1"/>
          <w:sz w:val="28"/>
          <w:szCs w:val="28"/>
          <w:lang w:val="en-US"/>
        </w:rPr>
        <w:t>D</w:t>
      </w:r>
      <w:r w:rsidR="009105D8" w:rsidRPr="00F62136">
        <w:rPr>
          <w:rFonts w:ascii="Times New Roman" w:hAnsi="Times New Roman"/>
          <w:color w:val="000000" w:themeColor="text1"/>
          <w:sz w:val="28"/>
          <w:szCs w:val="28"/>
        </w:rPr>
        <w:t>.</w:t>
      </w:r>
      <w:r w:rsidR="00A50E9C" w:rsidRPr="00CC7883">
        <w:rPr>
          <w:rFonts w:ascii="Times New Roman" w:hAnsi="Times New Roman" w:cs="Times New Roman"/>
          <w:color w:val="000000" w:themeColor="text1"/>
          <w:sz w:val="28"/>
          <w:szCs w:val="28"/>
        </w:rPr>
        <w:t xml:space="preserve"> [117</w:t>
      </w:r>
      <w:r w:rsidRPr="00CC7883">
        <w:rPr>
          <w:rFonts w:ascii="Times New Roman" w:hAnsi="Times New Roman" w:cs="Times New Roman"/>
          <w:color w:val="000000" w:themeColor="text1"/>
          <w:sz w:val="28"/>
          <w:szCs w:val="28"/>
        </w:rPr>
        <w:t xml:space="preserve">]. Препарати-відбитки досліджували за допомогою світлового мікроскопа Біолам ЛОМО Р-17 при збільшеннях ×20 (для визначення кількості продихів) та ×40 (для морфометричних вимірювань). Вимірювання розмірів клітин здійснювали з використанням окуляр-мікрометра з вимірювальною шкалою. Показники анатомічної будови продихів і їх кількість визначали </w:t>
      </w:r>
      <w:r w:rsidR="00953A79">
        <w:rPr>
          <w:rFonts w:ascii="Times New Roman" w:hAnsi="Times New Roman" w:cs="Times New Roman"/>
          <w:color w:val="000000" w:themeColor="text1"/>
          <w:sz w:val="28"/>
          <w:szCs w:val="28"/>
        </w:rPr>
        <w:t>в</w:t>
      </w:r>
      <w:r w:rsidRPr="00CC7883">
        <w:rPr>
          <w:rFonts w:ascii="Times New Roman" w:hAnsi="Times New Roman" w:cs="Times New Roman"/>
          <w:color w:val="000000" w:themeColor="text1"/>
          <w:sz w:val="28"/>
          <w:szCs w:val="28"/>
        </w:rPr>
        <w:t xml:space="preserve"> кожному </w:t>
      </w:r>
      <w:r w:rsidRPr="00CC7883">
        <w:rPr>
          <w:rFonts w:ascii="Times New Roman" w:hAnsi="Times New Roman" w:cs="Times New Roman"/>
          <w:color w:val="000000" w:themeColor="text1"/>
          <w:sz w:val="28"/>
          <w:szCs w:val="28"/>
        </w:rPr>
        <w:lastRenderedPageBreak/>
        <w:t>варіант</w:t>
      </w:r>
      <w:r w:rsidR="00953A79">
        <w:rPr>
          <w:rFonts w:ascii="Times New Roman" w:hAnsi="Times New Roman" w:cs="Times New Roman"/>
          <w:color w:val="000000" w:themeColor="text1"/>
          <w:sz w:val="28"/>
          <w:szCs w:val="28"/>
        </w:rPr>
        <w:t>і</w:t>
      </w:r>
      <w:r w:rsidRPr="00CC7883">
        <w:rPr>
          <w:rFonts w:ascii="Times New Roman" w:hAnsi="Times New Roman" w:cs="Times New Roman"/>
          <w:color w:val="000000" w:themeColor="text1"/>
          <w:sz w:val="28"/>
          <w:szCs w:val="28"/>
        </w:rPr>
        <w:t xml:space="preserve"> на трьох препаратах [</w:t>
      </w:r>
      <w:r w:rsidR="00A50E9C" w:rsidRPr="00CC7883">
        <w:rPr>
          <w:rFonts w:ascii="Times New Roman" w:hAnsi="Times New Roman" w:cs="Times New Roman"/>
          <w:color w:val="000000" w:themeColor="text1"/>
          <w:sz w:val="28"/>
          <w:szCs w:val="28"/>
        </w:rPr>
        <w:t>7</w:t>
      </w:r>
      <w:r w:rsidRPr="00CC7883">
        <w:rPr>
          <w:rFonts w:ascii="Times New Roman" w:hAnsi="Times New Roman" w:cs="Times New Roman"/>
          <w:color w:val="000000" w:themeColor="text1"/>
          <w:sz w:val="28"/>
          <w:szCs w:val="28"/>
        </w:rPr>
        <w:t>].</w:t>
      </w:r>
    </w:p>
    <w:p w:rsidR="009B19E1" w:rsidRPr="00CC7883" w:rsidRDefault="009B19E1" w:rsidP="00047411">
      <w:pPr>
        <w:pStyle w:val="a7"/>
        <w:widowControl w:val="0"/>
        <w:spacing w:after="0" w:line="360" w:lineRule="auto"/>
        <w:ind w:left="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5. Приживлюваність мікроклонів винограду в умовах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визначали через 30, 60 та 90 діб культивування (%).</w:t>
      </w:r>
    </w:p>
    <w:p w:rsidR="009B19E1" w:rsidRPr="00CC7883" w:rsidRDefault="009B19E1" w:rsidP="00047411">
      <w:pPr>
        <w:pStyle w:val="a7"/>
        <w:widowControl w:val="0"/>
        <w:spacing w:after="0" w:line="360" w:lineRule="auto"/>
        <w:ind w:left="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ab/>
        <w:t>Повторність дослідження була трикратною. У кожному варіанті було 30 об’єктів (ініціальні експланти, мікроклони).</w:t>
      </w:r>
    </w:p>
    <w:p w:rsidR="009B19E1" w:rsidRPr="00CC7883" w:rsidRDefault="009B19E1" w:rsidP="00127CAD">
      <w:pPr>
        <w:pStyle w:val="a7"/>
        <w:widowControl w:val="0"/>
        <w:numPr>
          <w:ilvl w:val="0"/>
          <w:numId w:val="15"/>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Економічну ефективність удосконалених методів дослідження розраховували (на 1000 шт. адаптованих мікроклонів) </w:t>
      </w:r>
      <w:r w:rsidR="00A50E9C" w:rsidRPr="00CC7883">
        <w:rPr>
          <w:rFonts w:ascii="Times New Roman" w:hAnsi="Times New Roman" w:cs="Times New Roman"/>
          <w:color w:val="000000" w:themeColor="text1"/>
          <w:sz w:val="28"/>
          <w:szCs w:val="28"/>
        </w:rPr>
        <w:t>[54</w:t>
      </w:r>
      <w:r w:rsidRPr="00CC7883">
        <w:rPr>
          <w:rFonts w:ascii="Times New Roman" w:hAnsi="Times New Roman" w:cs="Times New Roman"/>
          <w:color w:val="000000" w:themeColor="text1"/>
          <w:sz w:val="28"/>
          <w:szCs w:val="28"/>
        </w:rPr>
        <w:t>]. При цьому враховували витрати на одержання адаптованих мікроклонів (введення ініціальних експлантів та їх мікророзмноження, приготування поживного середовища),</w:t>
      </w:r>
      <w:r w:rsidR="000B09F8"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вартість препаратів, що використовували у роботі, енергоресурси та трудові витрати.</w:t>
      </w: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Підходи до визначення витрат, собівартості, прибутку та рівня рентабельності відповідають загальноприйнятим методам економічної оцінки, що застос</w:t>
      </w:r>
      <w:r w:rsidR="00A50E9C" w:rsidRPr="00CC7883">
        <w:rPr>
          <w:rFonts w:ascii="Times New Roman" w:hAnsi="Times New Roman" w:cs="Times New Roman"/>
          <w:color w:val="000000" w:themeColor="text1"/>
          <w:sz w:val="28"/>
          <w:szCs w:val="28"/>
        </w:rPr>
        <w:t>овуються в аграрному секторі [51</w:t>
      </w:r>
      <w:r w:rsidR="00FF750D" w:rsidRPr="00F62136">
        <w:rPr>
          <w:rFonts w:ascii="Times New Roman" w:hAnsi="Times New Roman" w:cs="Times New Roman"/>
          <w:color w:val="000000" w:themeColor="text1"/>
          <w:sz w:val="28"/>
          <w:szCs w:val="28"/>
          <w:lang w:val="ru-RU"/>
        </w:rPr>
        <w:t>,</w:t>
      </w:r>
      <w:r w:rsidR="00A50E9C" w:rsidRPr="00CC7883">
        <w:rPr>
          <w:rFonts w:ascii="Times New Roman" w:hAnsi="Times New Roman" w:cs="Times New Roman"/>
          <w:color w:val="000000" w:themeColor="text1"/>
          <w:sz w:val="28"/>
          <w:szCs w:val="28"/>
        </w:rPr>
        <w:t xml:space="preserve"> 3</w:t>
      </w:r>
      <w:r w:rsidR="00FF750D" w:rsidRPr="00F62136">
        <w:rPr>
          <w:rFonts w:ascii="Times New Roman" w:hAnsi="Times New Roman" w:cs="Times New Roman"/>
          <w:color w:val="000000" w:themeColor="text1"/>
          <w:sz w:val="28"/>
          <w:szCs w:val="28"/>
          <w:lang w:val="ru-RU"/>
        </w:rPr>
        <w:t>,</w:t>
      </w:r>
      <w:r w:rsidR="00A50E9C" w:rsidRPr="00CC7883">
        <w:rPr>
          <w:rFonts w:ascii="Times New Roman" w:hAnsi="Times New Roman" w:cs="Times New Roman"/>
          <w:color w:val="000000" w:themeColor="text1"/>
          <w:sz w:val="28"/>
          <w:szCs w:val="28"/>
        </w:rPr>
        <w:t xml:space="preserve"> 15</w:t>
      </w:r>
      <w:r w:rsidR="00FF750D" w:rsidRPr="00F62136">
        <w:rPr>
          <w:rFonts w:ascii="Times New Roman" w:hAnsi="Times New Roman" w:cs="Times New Roman"/>
          <w:color w:val="000000" w:themeColor="text1"/>
          <w:sz w:val="28"/>
          <w:szCs w:val="28"/>
          <w:lang w:val="ru-RU"/>
        </w:rPr>
        <w:t>,</w:t>
      </w:r>
      <w:r w:rsidR="00A50E9C" w:rsidRPr="00CC7883">
        <w:rPr>
          <w:rFonts w:ascii="Times New Roman" w:hAnsi="Times New Roman" w:cs="Times New Roman"/>
          <w:color w:val="000000" w:themeColor="text1"/>
          <w:sz w:val="28"/>
          <w:szCs w:val="28"/>
        </w:rPr>
        <w:t xml:space="preserve"> 65</w:t>
      </w:r>
      <w:r w:rsidRPr="00CC7883">
        <w:rPr>
          <w:rFonts w:ascii="Times New Roman" w:hAnsi="Times New Roman" w:cs="Times New Roman"/>
          <w:color w:val="000000" w:themeColor="text1"/>
          <w:sz w:val="28"/>
          <w:szCs w:val="28"/>
        </w:rPr>
        <w:t>].</w:t>
      </w:r>
    </w:p>
    <w:p w:rsidR="009B19E1" w:rsidRPr="00127CAD" w:rsidRDefault="009B19E1" w:rsidP="00127CAD">
      <w:pPr>
        <w:pStyle w:val="a7"/>
        <w:widowControl w:val="0"/>
        <w:numPr>
          <w:ilvl w:val="0"/>
          <w:numId w:val="15"/>
        </w:numPr>
        <w:spacing w:after="0" w:line="360" w:lineRule="auto"/>
        <w:ind w:left="0" w:firstLine="0"/>
        <w:jc w:val="both"/>
        <w:rPr>
          <w:rFonts w:ascii="Times New Roman" w:hAnsi="Times New Roman" w:cs="Times New Roman"/>
          <w:color w:val="000000" w:themeColor="text1"/>
          <w:sz w:val="28"/>
          <w:szCs w:val="28"/>
        </w:rPr>
      </w:pPr>
      <w:r w:rsidRPr="00127CAD">
        <w:rPr>
          <w:rFonts w:ascii="Times New Roman" w:hAnsi="Times New Roman" w:cs="Times New Roman"/>
          <w:color w:val="000000" w:themeColor="text1"/>
          <w:sz w:val="28"/>
          <w:szCs w:val="28"/>
        </w:rPr>
        <w:t>Статистичну обробку експериментальних даних проводили з використанням програмного забезпечення Microsoft Excel та Statistica 6.</w:t>
      </w: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p>
    <w:p w:rsidR="009B19E1" w:rsidRPr="00CC7883" w:rsidRDefault="009B19E1" w:rsidP="00047411">
      <w:pPr>
        <w:widowControl w:val="0"/>
        <w:spacing w:after="0" w:line="360" w:lineRule="auto"/>
        <w:ind w:firstLine="709"/>
        <w:jc w:val="both"/>
        <w:outlineLvl w:val="1"/>
        <w:rPr>
          <w:rFonts w:ascii="Times New Roman" w:hAnsi="Times New Roman" w:cs="Times New Roman"/>
          <w:b/>
          <w:bCs/>
          <w:color w:val="000000" w:themeColor="text1"/>
          <w:sz w:val="28"/>
          <w:szCs w:val="28"/>
        </w:rPr>
      </w:pPr>
      <w:bookmarkStart w:id="26" w:name="_Toc220058927"/>
      <w:r w:rsidRPr="00CC7883">
        <w:rPr>
          <w:rFonts w:ascii="Times New Roman" w:hAnsi="Times New Roman" w:cs="Times New Roman"/>
          <w:b/>
          <w:bCs/>
          <w:color w:val="000000" w:themeColor="text1"/>
          <w:sz w:val="28"/>
          <w:szCs w:val="28"/>
        </w:rPr>
        <w:t>2.3. Характеристика матеріалів використаних у роботі</w:t>
      </w:r>
      <w:bookmarkEnd w:id="26"/>
    </w:p>
    <w:p w:rsidR="009B19E1" w:rsidRPr="00CC7883" w:rsidRDefault="009B19E1" w:rsidP="00047411">
      <w:pPr>
        <w:widowControl w:val="0"/>
        <w:spacing w:after="0" w:line="360" w:lineRule="auto"/>
        <w:ind w:firstLine="708"/>
        <w:jc w:val="both"/>
        <w:rPr>
          <w:rFonts w:ascii="Times New Roman" w:hAnsi="Times New Roman" w:cs="Times New Roman"/>
          <w:b/>
          <w:bCs/>
          <w:color w:val="000000" w:themeColor="text1"/>
          <w:sz w:val="28"/>
          <w:szCs w:val="28"/>
        </w:rPr>
      </w:pP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rPr>
        <w:t>Радіфарм</w:t>
      </w:r>
      <w:r w:rsidRPr="00CC7883">
        <w:rPr>
          <w:rFonts w:ascii="Times New Roman" w:hAnsi="Times New Roman" w:cs="Times New Roman"/>
          <w:color w:val="000000" w:themeColor="text1"/>
          <w:sz w:val="28"/>
          <w:szCs w:val="28"/>
        </w:rPr>
        <w:t xml:space="preserve"> – це біостимулю</w:t>
      </w:r>
      <w:r w:rsidR="00953A79">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ий рослинний комплекс, розроблений для активного розвитку кореневої системи. Він містить екстракти рослинного походження, зокрема полісахариди, стероїди, глюкозиди, амінокислоти, бетаїни, вітаміни та мікроелементи у хелатній формі. Кількісний склад препарату: загальна кількість органічних речовин – 30,0 %; полісахариди – 7,0 %; стероїди глюкозиди – 0,2 %; протеїнові поліпептиди – 11,0 %; вільні амінокислоти – 1,0 %; вітамінний комплекс (B</w:t>
      </w:r>
      <w:r w:rsidRPr="00CC7883">
        <w:rPr>
          <w:rFonts w:ascii="Times New Roman" w:hAnsi="Times New Roman" w:cs="Times New Roman"/>
          <w:color w:val="000000" w:themeColor="text1"/>
          <w:sz w:val="28"/>
          <w:szCs w:val="28"/>
          <w:vertAlign w:val="subscript"/>
        </w:rPr>
        <w:t>1</w:t>
      </w:r>
      <w:r w:rsidRPr="00CC7883">
        <w:rPr>
          <w:rFonts w:ascii="Times New Roman" w:hAnsi="Times New Roman" w:cs="Times New Roman"/>
          <w:color w:val="000000" w:themeColor="text1"/>
          <w:sz w:val="28"/>
          <w:szCs w:val="28"/>
        </w:rPr>
        <w:t>, B</w:t>
      </w:r>
      <w:r w:rsidRPr="00CC7883">
        <w:rPr>
          <w:rFonts w:ascii="Times New Roman" w:hAnsi="Times New Roman" w:cs="Times New Roman"/>
          <w:color w:val="000000" w:themeColor="text1"/>
          <w:sz w:val="28"/>
          <w:szCs w:val="28"/>
          <w:vertAlign w:val="subscript"/>
        </w:rPr>
        <w:t>6</w:t>
      </w:r>
      <w:r w:rsidRPr="00CC7883">
        <w:rPr>
          <w:rFonts w:ascii="Times New Roman" w:hAnsi="Times New Roman" w:cs="Times New Roman"/>
          <w:color w:val="000000" w:themeColor="text1"/>
          <w:sz w:val="28"/>
          <w:szCs w:val="28"/>
        </w:rPr>
        <w:t>, D, H, PP) – 0,04 %; азот (N) всього – 3,0 % (органічний – 1,0 %, амідний – 2,0 %); оксид калі</w:t>
      </w:r>
      <w:r w:rsidR="00953A79">
        <w:rPr>
          <w:rFonts w:ascii="Times New Roman" w:hAnsi="Times New Roman" w:cs="Times New Roman"/>
          <w:color w:val="000000" w:themeColor="text1"/>
          <w:sz w:val="28"/>
          <w:szCs w:val="28"/>
        </w:rPr>
        <w:t>ю</w:t>
      </w:r>
      <w:r w:rsidRPr="00CC7883">
        <w:rPr>
          <w:rFonts w:ascii="Times New Roman" w:hAnsi="Times New Roman" w:cs="Times New Roman"/>
          <w:color w:val="000000" w:themeColor="text1"/>
          <w:sz w:val="28"/>
          <w:szCs w:val="28"/>
        </w:rPr>
        <w:t xml:space="preserve"> (K</w:t>
      </w:r>
      <w:r w:rsidRPr="00CC7883">
        <w:rPr>
          <w:rFonts w:ascii="Times New Roman" w:hAnsi="Times New Roman" w:cs="Times New Roman"/>
          <w:color w:val="000000" w:themeColor="text1"/>
          <w:sz w:val="28"/>
          <w:szCs w:val="28"/>
          <w:vertAlign w:val="subscript"/>
        </w:rPr>
        <w:t>2</w:t>
      </w:r>
      <w:r w:rsidRPr="00CC7883">
        <w:rPr>
          <w:rFonts w:ascii="Times New Roman" w:hAnsi="Times New Roman" w:cs="Times New Roman"/>
          <w:color w:val="000000" w:themeColor="text1"/>
          <w:sz w:val="28"/>
          <w:szCs w:val="28"/>
        </w:rPr>
        <w:t>O) – 8,0 %; органічний вуглець (С) – 10,0 %; хе</w:t>
      </w:r>
      <w:r w:rsidR="00A50E9C" w:rsidRPr="00CC7883">
        <w:rPr>
          <w:rFonts w:ascii="Times New Roman" w:hAnsi="Times New Roman" w:cs="Times New Roman"/>
          <w:color w:val="000000" w:themeColor="text1"/>
          <w:sz w:val="28"/>
          <w:szCs w:val="28"/>
        </w:rPr>
        <w:t>лат цинк</w:t>
      </w:r>
      <w:r w:rsidR="00953A79">
        <w:rPr>
          <w:rFonts w:ascii="Times New Roman" w:hAnsi="Times New Roman" w:cs="Times New Roman"/>
          <w:color w:val="000000" w:themeColor="text1"/>
          <w:sz w:val="28"/>
          <w:szCs w:val="28"/>
        </w:rPr>
        <w:t>у</w:t>
      </w:r>
      <w:r w:rsidR="00A50E9C" w:rsidRPr="00CC7883">
        <w:rPr>
          <w:rFonts w:ascii="Times New Roman" w:hAnsi="Times New Roman" w:cs="Times New Roman"/>
          <w:color w:val="000000" w:themeColor="text1"/>
          <w:sz w:val="28"/>
          <w:szCs w:val="28"/>
        </w:rPr>
        <w:t xml:space="preserve"> (Zn) EDTA – 0,20 % [17</w:t>
      </w:r>
      <w:r w:rsidR="00FF750D"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00A50E9C" w:rsidRPr="00CC7883">
        <w:rPr>
          <w:rFonts w:ascii="Times New Roman" w:hAnsi="Times New Roman" w:cs="Times New Roman"/>
          <w:color w:val="000000" w:themeColor="text1"/>
          <w:sz w:val="28"/>
          <w:szCs w:val="28"/>
        </w:rPr>
        <w:t>21</w:t>
      </w:r>
      <w:r w:rsidR="00FD6004" w:rsidRPr="00CC7883">
        <w:rPr>
          <w:rFonts w:ascii="Times New Roman" w:hAnsi="Times New Roman" w:cs="Times New Roman"/>
          <w:color w:val="000000" w:themeColor="text1"/>
          <w:sz w:val="28"/>
          <w:szCs w:val="28"/>
        </w:rPr>
        <w:t>0</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rPr>
        <w:t>Clonex gel</w:t>
      </w:r>
      <w:r w:rsidRPr="00CC7883">
        <w:rPr>
          <w:rFonts w:ascii="Times New Roman" w:hAnsi="Times New Roman" w:cs="Times New Roman"/>
          <w:color w:val="000000" w:themeColor="text1"/>
          <w:sz w:val="28"/>
          <w:szCs w:val="28"/>
        </w:rPr>
        <w:t xml:space="preserve"> – це препарат для стимуляції утворення та росту коренів у </w:t>
      </w:r>
      <w:r w:rsidRPr="00CC7883">
        <w:rPr>
          <w:rFonts w:ascii="Times New Roman" w:hAnsi="Times New Roman" w:cs="Times New Roman"/>
          <w:color w:val="000000" w:themeColor="text1"/>
          <w:sz w:val="28"/>
          <w:szCs w:val="28"/>
        </w:rPr>
        <w:lastRenderedPageBreak/>
        <w:t>живців, зокрема важкоукорінюваних культур. Він містить ІМК (0,3 %), 2-гідроксиетилцелюлозу (1,2 %), кристалічний фіолетовий барвник (0,0012 %) [</w:t>
      </w:r>
      <w:r w:rsidR="00A50E9C" w:rsidRPr="00CC7883">
        <w:rPr>
          <w:rFonts w:ascii="Times New Roman" w:hAnsi="Times New Roman" w:cs="Times New Roman"/>
          <w:color w:val="000000" w:themeColor="text1"/>
          <w:sz w:val="28"/>
          <w:szCs w:val="28"/>
        </w:rPr>
        <w:t>104</w:t>
      </w:r>
      <w:r w:rsidRPr="00CC7883">
        <w:rPr>
          <w:rFonts w:ascii="Times New Roman" w:hAnsi="Times New Roman" w:cs="Times New Roman"/>
          <w:color w:val="000000" w:themeColor="text1"/>
          <w:sz w:val="28"/>
          <w:szCs w:val="28"/>
        </w:rPr>
        <w:t>].</w:t>
      </w:r>
    </w:p>
    <w:p w:rsidR="009B19E1" w:rsidRPr="00CC7883" w:rsidRDefault="009B19E1"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rPr>
        <w:t xml:space="preserve">Агроперліт </w:t>
      </w:r>
      <w:r w:rsidRPr="00CC7883">
        <w:rPr>
          <w:rFonts w:ascii="Times New Roman" w:hAnsi="Times New Roman" w:cs="Times New Roman"/>
          <w:color w:val="000000" w:themeColor="text1"/>
          <w:sz w:val="28"/>
          <w:szCs w:val="28"/>
        </w:rPr>
        <w:t>– це мінерал вулканічного походження</w:t>
      </w:r>
      <w:r w:rsidR="00C97DE7">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зовні дуже схожий на пісок</w:t>
      </w:r>
      <w:r w:rsidR="00C20FB6">
        <w:rPr>
          <w:rFonts w:ascii="Times New Roman" w:hAnsi="Times New Roman" w:cs="Times New Roman"/>
          <w:color w:val="000000" w:themeColor="text1"/>
          <w:sz w:val="28"/>
          <w:szCs w:val="28"/>
        </w:rPr>
        <w:t xml:space="preserve">, який має такі </w:t>
      </w:r>
      <w:r w:rsidRPr="00CC7883">
        <w:rPr>
          <w:rFonts w:ascii="Times New Roman" w:hAnsi="Times New Roman" w:cs="Times New Roman"/>
          <w:color w:val="000000" w:themeColor="text1"/>
          <w:sz w:val="28"/>
          <w:szCs w:val="28"/>
        </w:rPr>
        <w:t>технічними характеристиками: щільність 80–100 кг/м</w:t>
      </w:r>
      <w:r w:rsidRPr="00CC7883">
        <w:rPr>
          <w:rFonts w:ascii="Times New Roman" w:hAnsi="Times New Roman" w:cs="Times New Roman"/>
          <w:color w:val="000000" w:themeColor="text1"/>
          <w:sz w:val="28"/>
          <w:szCs w:val="28"/>
          <w:vertAlign w:val="superscript"/>
        </w:rPr>
        <w:t>3</w:t>
      </w:r>
      <w:r w:rsidRPr="00CC7883">
        <w:rPr>
          <w:rFonts w:ascii="Times New Roman" w:hAnsi="Times New Roman" w:cs="Times New Roman"/>
          <w:color w:val="000000" w:themeColor="text1"/>
          <w:sz w:val="28"/>
          <w:szCs w:val="28"/>
        </w:rPr>
        <w:t xml:space="preserve">, загальна шпаруватість 95,0–97,0 %,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а здатність – 51,0 %, водопоглинання – 500,0–700,0 %, хімічна стійкість 97,0–99,0 %. До складу агроперліту входять: SiO</w:t>
      </w:r>
      <w:r w:rsidRPr="00CC7883">
        <w:rPr>
          <w:rFonts w:ascii="Times New Roman" w:hAnsi="Times New Roman" w:cs="Times New Roman"/>
          <w:color w:val="000000" w:themeColor="text1"/>
          <w:sz w:val="28"/>
          <w:szCs w:val="28"/>
          <w:vertAlign w:val="subscript"/>
        </w:rPr>
        <w:t>2</w:t>
      </w:r>
      <w:r w:rsidRPr="00CC7883">
        <w:rPr>
          <w:rFonts w:ascii="Times New Roman" w:hAnsi="Times New Roman" w:cs="Times New Roman"/>
          <w:color w:val="000000" w:themeColor="text1"/>
          <w:sz w:val="28"/>
          <w:szCs w:val="28"/>
        </w:rPr>
        <w:t xml:space="preserve"> – 75,6 %, Al</w:t>
      </w:r>
      <w:r w:rsidRPr="00CC7883">
        <w:rPr>
          <w:rFonts w:ascii="Times New Roman" w:hAnsi="Times New Roman" w:cs="Times New Roman"/>
          <w:color w:val="000000" w:themeColor="text1"/>
          <w:sz w:val="28"/>
          <w:szCs w:val="28"/>
          <w:vertAlign w:val="subscript"/>
        </w:rPr>
        <w:t>2</w:t>
      </w:r>
      <w:r w:rsidRPr="00CC7883">
        <w:rPr>
          <w:rFonts w:ascii="Times New Roman" w:hAnsi="Times New Roman" w:cs="Times New Roman"/>
          <w:color w:val="000000" w:themeColor="text1"/>
          <w:sz w:val="28"/>
          <w:szCs w:val="28"/>
        </w:rPr>
        <w:t>O</w:t>
      </w:r>
      <w:r w:rsidRPr="00CC7883">
        <w:rPr>
          <w:rFonts w:ascii="Times New Roman" w:hAnsi="Times New Roman" w:cs="Times New Roman"/>
          <w:color w:val="000000" w:themeColor="text1"/>
          <w:sz w:val="28"/>
          <w:szCs w:val="28"/>
          <w:vertAlign w:val="subscript"/>
        </w:rPr>
        <w:t>3</w:t>
      </w:r>
      <w:r w:rsidRPr="00CC7883">
        <w:rPr>
          <w:rFonts w:ascii="Times New Roman" w:hAnsi="Times New Roman" w:cs="Times New Roman"/>
          <w:color w:val="000000" w:themeColor="text1"/>
          <w:sz w:val="28"/>
          <w:szCs w:val="28"/>
        </w:rPr>
        <w:t xml:space="preserve"> – 12,9 %, Fe</w:t>
      </w:r>
      <w:r w:rsidRPr="00CC7883">
        <w:rPr>
          <w:rFonts w:ascii="Times New Roman" w:hAnsi="Times New Roman" w:cs="Times New Roman"/>
          <w:color w:val="000000" w:themeColor="text1"/>
          <w:sz w:val="28"/>
          <w:szCs w:val="28"/>
          <w:vertAlign w:val="subscript"/>
        </w:rPr>
        <w:t>2</w:t>
      </w:r>
      <w:r w:rsidRPr="00CC7883">
        <w:rPr>
          <w:rFonts w:ascii="Times New Roman" w:hAnsi="Times New Roman" w:cs="Times New Roman"/>
          <w:color w:val="000000" w:themeColor="text1"/>
          <w:sz w:val="28"/>
          <w:szCs w:val="28"/>
        </w:rPr>
        <w:t>O</w:t>
      </w:r>
      <w:r w:rsidRPr="00CC7883">
        <w:rPr>
          <w:rFonts w:ascii="Times New Roman" w:hAnsi="Times New Roman" w:cs="Times New Roman"/>
          <w:color w:val="000000" w:themeColor="text1"/>
          <w:sz w:val="28"/>
          <w:szCs w:val="28"/>
          <w:vertAlign w:val="subscript"/>
        </w:rPr>
        <w:t>3</w:t>
      </w:r>
      <w:r w:rsidRPr="00CC7883">
        <w:rPr>
          <w:rFonts w:ascii="Times New Roman" w:hAnsi="Times New Roman" w:cs="Times New Roman"/>
          <w:color w:val="000000" w:themeColor="text1"/>
          <w:sz w:val="28"/>
          <w:szCs w:val="28"/>
        </w:rPr>
        <w:t xml:space="preserve"> – 0,4 %, CaO – 1,04 %, MgO – 0,7 %, K</w:t>
      </w:r>
      <w:r w:rsidRPr="00CC7883">
        <w:rPr>
          <w:rFonts w:ascii="Times New Roman" w:hAnsi="Times New Roman" w:cs="Times New Roman"/>
          <w:color w:val="000000" w:themeColor="text1"/>
          <w:sz w:val="28"/>
          <w:szCs w:val="28"/>
          <w:vertAlign w:val="subscript"/>
        </w:rPr>
        <w:t>2</w:t>
      </w:r>
      <w:r w:rsidRPr="00CC7883">
        <w:rPr>
          <w:rFonts w:ascii="Times New Roman" w:hAnsi="Times New Roman" w:cs="Times New Roman"/>
          <w:color w:val="000000" w:themeColor="text1"/>
          <w:sz w:val="28"/>
          <w:szCs w:val="28"/>
        </w:rPr>
        <w:t>O – 4,2 %, Na</w:t>
      </w:r>
      <w:r w:rsidRPr="00CC7883">
        <w:rPr>
          <w:rFonts w:ascii="Times New Roman" w:hAnsi="Times New Roman" w:cs="Times New Roman"/>
          <w:color w:val="000000" w:themeColor="text1"/>
          <w:sz w:val="28"/>
          <w:szCs w:val="28"/>
          <w:vertAlign w:val="subscript"/>
        </w:rPr>
        <w:t>2</w:t>
      </w:r>
      <w:r w:rsidRPr="00CC7883">
        <w:rPr>
          <w:rFonts w:ascii="Times New Roman" w:hAnsi="Times New Roman" w:cs="Times New Roman"/>
          <w:color w:val="000000" w:themeColor="text1"/>
          <w:sz w:val="28"/>
          <w:szCs w:val="28"/>
        </w:rPr>
        <w:t xml:space="preserve">O – 3,4 %, рН – 4,9. Рекомендований для вирощування рослин, вкорінення саджанців. Оскільки </w:t>
      </w:r>
      <w:r w:rsidR="00953A79">
        <w:rPr>
          <w:rFonts w:ascii="Times New Roman" w:hAnsi="Times New Roman" w:cs="Times New Roman"/>
          <w:color w:val="000000" w:themeColor="text1"/>
          <w:sz w:val="28"/>
          <w:szCs w:val="28"/>
        </w:rPr>
        <w:t>поліпшує</w:t>
      </w:r>
      <w:r w:rsidRPr="00CC7883">
        <w:rPr>
          <w:rFonts w:ascii="Times New Roman" w:hAnsi="Times New Roman" w:cs="Times New Roman"/>
          <w:color w:val="000000" w:themeColor="text1"/>
          <w:sz w:val="28"/>
          <w:szCs w:val="28"/>
        </w:rPr>
        <w:t xml:space="preserve"> доступ повітря та поживних речовин до коренів рослин, вбирає і поступово віддає вологу, сприяє зниженню кислотності, засолення ґрунту, підвищує </w:t>
      </w:r>
      <w:r w:rsidR="00A50E9C" w:rsidRPr="00CC7883">
        <w:rPr>
          <w:rFonts w:ascii="Times New Roman" w:hAnsi="Times New Roman" w:cs="Times New Roman"/>
          <w:color w:val="000000" w:themeColor="text1"/>
          <w:sz w:val="28"/>
          <w:szCs w:val="28"/>
        </w:rPr>
        <w:t>опірність мікробному гниттю [17</w:t>
      </w:r>
      <w:r w:rsidR="00FF750D"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1].</w:t>
      </w: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Вермикуліт</w:t>
      </w:r>
      <w:r w:rsidRPr="00CC7883">
        <w:rPr>
          <w:rFonts w:ascii="Times New Roman" w:hAnsi="Times New Roman" w:cs="Times New Roman"/>
          <w:color w:val="000000" w:themeColor="text1"/>
          <w:sz w:val="28"/>
          <w:szCs w:val="28"/>
        </w:rPr>
        <w:t xml:space="preserve"> – екологічно чистий мінерал із групи гідрослюд. Після обробки при температурі 800–1000 </w:t>
      </w:r>
      <w:r w:rsidRPr="00CC7883">
        <w:rPr>
          <w:rFonts w:ascii="Times New Roman" w:hAnsi="Times New Roman" w:cs="Times New Roman"/>
          <w:color w:val="000000" w:themeColor="text1"/>
          <w:sz w:val="28"/>
          <w:szCs w:val="28"/>
          <w:vertAlign w:val="superscript"/>
        </w:rPr>
        <w:t>о</w:t>
      </w:r>
      <w:r w:rsidRPr="00CC7883">
        <w:rPr>
          <w:rFonts w:ascii="Times New Roman" w:hAnsi="Times New Roman" w:cs="Times New Roman"/>
          <w:color w:val="000000" w:themeColor="text1"/>
          <w:sz w:val="28"/>
          <w:szCs w:val="28"/>
        </w:rPr>
        <w:t xml:space="preserve">С він перетворюється на сипучий лускатий матеріал, у якого між лусочками </w:t>
      </w:r>
      <w:r w:rsidR="003F6103">
        <w:rPr>
          <w:rFonts w:ascii="Times New Roman" w:hAnsi="Times New Roman" w:cs="Times New Roman"/>
          <w:color w:val="000000" w:themeColor="text1"/>
          <w:sz w:val="28"/>
          <w:szCs w:val="28"/>
        </w:rPr>
        <w:t>є</w:t>
      </w:r>
      <w:r w:rsidRPr="00CC7883">
        <w:rPr>
          <w:rFonts w:ascii="Times New Roman" w:hAnsi="Times New Roman" w:cs="Times New Roman"/>
          <w:color w:val="000000" w:themeColor="text1"/>
          <w:sz w:val="28"/>
          <w:szCs w:val="28"/>
        </w:rPr>
        <w:t xml:space="preserve"> повітря, це </w:t>
      </w:r>
      <w:r w:rsidR="002D226D">
        <w:rPr>
          <w:rFonts w:ascii="Times New Roman" w:hAnsi="Times New Roman" w:cs="Times New Roman"/>
          <w:color w:val="000000" w:themeColor="text1"/>
          <w:sz w:val="28"/>
          <w:szCs w:val="28"/>
        </w:rPr>
        <w:t>дає змогу</w:t>
      </w:r>
      <w:r w:rsidRPr="00CC7883">
        <w:rPr>
          <w:rFonts w:ascii="Times New Roman" w:hAnsi="Times New Roman" w:cs="Times New Roman"/>
          <w:color w:val="000000" w:themeColor="text1"/>
          <w:sz w:val="28"/>
          <w:szCs w:val="28"/>
        </w:rPr>
        <w:t xml:space="preserve"> підвищувати аераційні властивості субстратів і позитивно впливає на розвиток кореневої системи рослин. Характеризується високим коефіцієнтом водопоглинання, водовіддачі та наступною технічною характеристикою: питома вага – 65,0–130,0 кг/м</w:t>
      </w:r>
      <w:r w:rsidR="00074686" w:rsidRPr="00CC7883">
        <w:rPr>
          <w:rFonts w:ascii="Times New Roman" w:hAnsi="Times New Roman" w:cs="Times New Roman"/>
          <w:color w:val="000000" w:themeColor="text1"/>
          <w:sz w:val="28"/>
          <w:szCs w:val="28"/>
          <w:vertAlign w:val="superscript"/>
        </w:rPr>
        <w:t>3</w:t>
      </w:r>
      <w:r w:rsidRPr="00CC7883">
        <w:rPr>
          <w:rFonts w:ascii="Times New Roman" w:hAnsi="Times New Roman" w:cs="Times New Roman"/>
          <w:color w:val="000000" w:themeColor="text1"/>
          <w:sz w:val="28"/>
          <w:szCs w:val="28"/>
        </w:rPr>
        <w:t xml:space="preserve"> (залежно від розміру гранул); ємність водопоглинання ~ 400,0–530,0</w:t>
      </w:r>
      <w:r w:rsidR="003E66CD">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рН 6,8–7,0 (нейтральний – слаболужний); вміст магнію – 10,0–14,0 %, калію – 3,0–5,0</w:t>
      </w:r>
      <w:r w:rsidR="003E66CD">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кальцію – 1,2–2,0 %, марганцю – 0,8–1,0 %, заліза – 5,6–6,5 %, кремнію – 34,0–36,0 %; інертний, хімічно і бі</w:t>
      </w:r>
      <w:r w:rsidR="00A50E9C" w:rsidRPr="00CC7883">
        <w:rPr>
          <w:rFonts w:ascii="Times New Roman" w:hAnsi="Times New Roman" w:cs="Times New Roman"/>
          <w:color w:val="000000" w:themeColor="text1"/>
          <w:sz w:val="28"/>
          <w:szCs w:val="28"/>
        </w:rPr>
        <w:t>ологічно стійкий, стерильний [17</w:t>
      </w:r>
      <w:r w:rsidR="00FF750D"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5].</w:t>
      </w:r>
    </w:p>
    <w:p w:rsidR="009B19E1" w:rsidRPr="00CC7883" w:rsidRDefault="009B19E1" w:rsidP="00047411">
      <w:pPr>
        <w:widowControl w:val="0"/>
        <w:spacing w:after="0" w:line="360" w:lineRule="auto"/>
        <w:jc w:val="both"/>
        <w:rPr>
          <w:rFonts w:ascii="Times New Roman" w:hAnsi="Times New Roman" w:cs="Times New Roman"/>
          <w:color w:val="000000" w:themeColor="text1"/>
          <w:sz w:val="28"/>
          <w:szCs w:val="28"/>
        </w:rPr>
      </w:pPr>
    </w:p>
    <w:p w:rsidR="009B19E1" w:rsidRPr="00CC7883" w:rsidRDefault="009B19E1" w:rsidP="00047411">
      <w:pPr>
        <w:widowControl w:val="0"/>
        <w:spacing w:after="0" w:line="360" w:lineRule="auto"/>
        <w:ind w:firstLine="709"/>
        <w:outlineLvl w:val="1"/>
        <w:rPr>
          <w:rFonts w:ascii="Times New Roman" w:hAnsi="Times New Roman" w:cs="Times New Roman"/>
          <w:b/>
          <w:color w:val="000000" w:themeColor="text1"/>
          <w:sz w:val="28"/>
          <w:szCs w:val="28"/>
        </w:rPr>
      </w:pPr>
      <w:bookmarkStart w:id="27" w:name="_Toc220058928"/>
      <w:r w:rsidRPr="00CC7883">
        <w:rPr>
          <w:rFonts w:ascii="Times New Roman" w:hAnsi="Times New Roman" w:cs="Times New Roman"/>
          <w:b/>
          <w:color w:val="000000" w:themeColor="text1"/>
          <w:sz w:val="28"/>
          <w:szCs w:val="28"/>
        </w:rPr>
        <w:t>2.4. Умови проведення дослідження</w:t>
      </w:r>
      <w:bookmarkEnd w:id="27"/>
    </w:p>
    <w:p w:rsidR="009B19E1" w:rsidRPr="00CC7883" w:rsidRDefault="009B19E1" w:rsidP="00047411">
      <w:pPr>
        <w:widowControl w:val="0"/>
        <w:spacing w:after="0" w:line="360" w:lineRule="auto"/>
        <w:ind w:firstLine="708"/>
        <w:rPr>
          <w:rFonts w:ascii="Times New Roman" w:hAnsi="Times New Roman" w:cs="Times New Roman"/>
          <w:color w:val="000000" w:themeColor="text1"/>
          <w:sz w:val="28"/>
          <w:szCs w:val="28"/>
        </w:rPr>
      </w:pP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Роботи, пов'язані з розмноженням винограду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здійснювали в асептичних умовах ламінарних та культуральних боксів. Фізичні параметри</w:t>
      </w:r>
      <w:r w:rsidR="000B09F8"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культивування: температура 24–25 </w:t>
      </w:r>
      <w:r w:rsidRPr="00CC7883">
        <w:rPr>
          <w:rFonts w:ascii="Times New Roman" w:hAnsi="Times New Roman" w:cs="Times New Roman"/>
          <w:color w:val="000000" w:themeColor="text1"/>
          <w:sz w:val="28"/>
          <w:szCs w:val="28"/>
          <w:vertAlign w:val="superscript"/>
        </w:rPr>
        <w:t>о</w:t>
      </w:r>
      <w:r w:rsidRPr="00CC7883">
        <w:rPr>
          <w:rFonts w:ascii="Times New Roman" w:hAnsi="Times New Roman" w:cs="Times New Roman"/>
          <w:color w:val="000000" w:themeColor="text1"/>
          <w:sz w:val="28"/>
          <w:szCs w:val="28"/>
        </w:rPr>
        <w:t xml:space="preserve">С, 16-годинний фотоперіод, освітлення </w:t>
      </w:r>
      <w:r w:rsidRPr="00CC7883">
        <w:rPr>
          <w:rFonts w:ascii="Times New Roman" w:hAnsi="Times New Roman" w:cs="Times New Roman"/>
          <w:color w:val="000000" w:themeColor="text1"/>
          <w:sz w:val="28"/>
          <w:szCs w:val="28"/>
        </w:rPr>
        <w:lastRenderedPageBreak/>
        <w:t xml:space="preserve">2500–3000 лк, вологість повітря 60–70 % </w:t>
      </w:r>
      <w:r w:rsidR="00A50E9C" w:rsidRPr="00CC7883">
        <w:rPr>
          <w:rFonts w:ascii="Times New Roman" w:hAnsi="Times New Roman" w:cs="Times New Roman"/>
          <w:color w:val="000000" w:themeColor="text1"/>
          <w:sz w:val="28"/>
          <w:szCs w:val="28"/>
        </w:rPr>
        <w:t>[17</w:t>
      </w:r>
      <w:r w:rsidRPr="00CC7883">
        <w:rPr>
          <w:rFonts w:ascii="Times New Roman" w:hAnsi="Times New Roman" w:cs="Times New Roman"/>
          <w:color w:val="000000" w:themeColor="text1"/>
          <w:sz w:val="28"/>
          <w:szCs w:val="28"/>
        </w:rPr>
        <w:t xml:space="preserve">]. </w:t>
      </w: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Вихідний матеріал (здерев’яніла лоза) для введення в культуру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відбирали з кущів винограду, які культивують у відкритому та закритому ґрунті на селекційних ділянках ННЦ «ІВіВ ім. В.</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Є.</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Таїрова». </w:t>
      </w:r>
      <w:r w:rsidR="003205F2">
        <w:rPr>
          <w:rFonts w:ascii="Times New Roman" w:hAnsi="Times New Roman" w:cs="Times New Roman"/>
          <w:color w:val="000000" w:themeColor="text1"/>
          <w:sz w:val="28"/>
          <w:szCs w:val="28"/>
        </w:rPr>
        <w:t>Наприкінці</w:t>
      </w:r>
      <w:r w:rsidRPr="00CC7883">
        <w:rPr>
          <w:rFonts w:ascii="Times New Roman" w:hAnsi="Times New Roman" w:cs="Times New Roman"/>
          <w:color w:val="000000" w:themeColor="text1"/>
          <w:sz w:val="28"/>
          <w:szCs w:val="28"/>
        </w:rPr>
        <w:t xml:space="preserve"> січня</w:t>
      </w:r>
      <w:r w:rsidR="00DA1788">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на початку лютого</w:t>
      </w:r>
      <w:r w:rsidR="00FC73D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здерев’янілу лозу розрізали на дво-, тр</w:t>
      </w:r>
      <w:r w:rsidR="004C1682">
        <w:rPr>
          <w:rFonts w:ascii="Times New Roman" w:hAnsi="Times New Roman" w:cs="Times New Roman"/>
          <w:color w:val="000000" w:themeColor="text1"/>
          <w:sz w:val="28"/>
          <w:szCs w:val="28"/>
        </w:rPr>
        <w:t>и</w:t>
      </w:r>
      <w:r w:rsidRPr="00CC7883">
        <w:rPr>
          <w:rFonts w:ascii="Times New Roman" w:hAnsi="Times New Roman" w:cs="Times New Roman"/>
          <w:color w:val="000000" w:themeColor="text1"/>
          <w:sz w:val="28"/>
          <w:szCs w:val="28"/>
        </w:rPr>
        <w:t xml:space="preserve">вічкові чубуки і розміщували на пророщування. </w:t>
      </w:r>
    </w:p>
    <w:p w:rsidR="009B19E1" w:rsidRPr="00CC7883" w:rsidRDefault="009B19E1" w:rsidP="00047411">
      <w:pPr>
        <w:widowControl w:val="0"/>
        <w:spacing w:after="0" w:line="360" w:lineRule="auto"/>
        <w:ind w:firstLine="709"/>
        <w:jc w:val="both"/>
        <w:rPr>
          <w:rFonts w:ascii="Times New Roman" w:hAnsi="Times New Roman" w:cs="Times New Roman"/>
          <w:b/>
          <w:bCs/>
          <w:color w:val="000000" w:themeColor="text1"/>
          <w:sz w:val="28"/>
          <w:szCs w:val="28"/>
        </w:rPr>
      </w:pPr>
      <w:r w:rsidRPr="00CC7883">
        <w:rPr>
          <w:rFonts w:ascii="Times New Roman" w:hAnsi="Times New Roman" w:cs="Times New Roman"/>
          <w:color w:val="000000" w:themeColor="text1"/>
          <w:sz w:val="28"/>
          <w:szCs w:val="28"/>
        </w:rPr>
        <w:t xml:space="preserve">Для введення у культуру </w:t>
      </w:r>
      <w:r w:rsidR="00C85F8F"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використовували молоді зелені пагони, з яких видаляли листкові пластинки, вічка очищали від покривних лусочок і стерилізували. Процес стерилізації </w:t>
      </w:r>
      <w:r w:rsidR="00C20FB6">
        <w:rPr>
          <w:rFonts w:ascii="Times New Roman" w:hAnsi="Times New Roman" w:cs="Times New Roman"/>
          <w:color w:val="000000" w:themeColor="text1"/>
          <w:sz w:val="28"/>
          <w:szCs w:val="28"/>
        </w:rPr>
        <w:t>передбачав</w:t>
      </w:r>
      <w:r w:rsidRPr="00CC7883">
        <w:rPr>
          <w:rFonts w:ascii="Times New Roman" w:hAnsi="Times New Roman" w:cs="Times New Roman"/>
          <w:color w:val="000000" w:themeColor="text1"/>
          <w:sz w:val="28"/>
          <w:szCs w:val="28"/>
        </w:rPr>
        <w:t xml:space="preserve"> </w:t>
      </w:r>
      <w:r w:rsidR="00E02189">
        <w:rPr>
          <w:rFonts w:ascii="Times New Roman" w:hAnsi="Times New Roman" w:cs="Times New Roman"/>
          <w:color w:val="000000" w:themeColor="text1"/>
          <w:sz w:val="28"/>
          <w:szCs w:val="28"/>
        </w:rPr>
        <w:t>такі</w:t>
      </w:r>
      <w:r w:rsidRPr="00CC7883">
        <w:rPr>
          <w:rFonts w:ascii="Times New Roman" w:hAnsi="Times New Roman" w:cs="Times New Roman"/>
          <w:color w:val="000000" w:themeColor="text1"/>
          <w:sz w:val="28"/>
          <w:szCs w:val="28"/>
        </w:rPr>
        <w:t xml:space="preserve"> етапи: промивання у водопровідній воді протягом 30–40 хв, послідовне промивання у розчинах господарського мила (30 хв), хінозолу (2 г/л, 20 хв), «Білизни» (співвідношення «Білизна» : вода – 1:5, 7–8 хв), 96 % етилового спирту (10</w:t>
      </w:r>
      <w:r w:rsidR="00F4776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сек), триразове промивання у стерильній дистильованій воді (10 хв).</w:t>
      </w:r>
    </w:p>
    <w:p w:rsidR="009B19E1" w:rsidRPr="00CC7883" w:rsidRDefault="009B19E1"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Мікрочубукування проводили в асептичній кімнаті, у ламінарному боксі у стерильних умовах стерильними інструментами, де перед початком роботи ультрафіолетові лампи вмикали на 30 хв для забезпечен</w:t>
      </w:r>
      <w:r w:rsidR="001C12F0" w:rsidRPr="00CC7883">
        <w:rPr>
          <w:rFonts w:ascii="Times New Roman" w:hAnsi="Times New Roman" w:cs="Times New Roman"/>
          <w:color w:val="000000" w:themeColor="text1"/>
          <w:sz w:val="28"/>
          <w:szCs w:val="28"/>
        </w:rPr>
        <w:t>ня стерильності робочого місця.</w:t>
      </w:r>
    </w:p>
    <w:p w:rsidR="001C12F0" w:rsidRPr="00CC7883" w:rsidRDefault="001C12F0" w:rsidP="00047411">
      <w:pPr>
        <w:widowControl w:val="0"/>
        <w:spacing w:after="0" w:line="360" w:lineRule="auto"/>
        <w:ind w:firstLine="709"/>
        <w:jc w:val="both"/>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sz w:val="28"/>
          <w:szCs w:val="28"/>
        </w:rPr>
        <w:t>Адаптацію мікроклонів винограду проводили відповідно до технологічних прийомів, наведених у розділ</w:t>
      </w:r>
      <w:r w:rsidR="00DA1788">
        <w:rPr>
          <w:rFonts w:ascii="Times New Roman" w:hAnsi="Times New Roman" w:cs="Times New Roman"/>
          <w:color w:val="000000" w:themeColor="text1"/>
          <w:sz w:val="28"/>
          <w:szCs w:val="28"/>
        </w:rPr>
        <w:t>і</w:t>
      </w:r>
      <w:r w:rsidRPr="00CC7883">
        <w:rPr>
          <w:rFonts w:ascii="Times New Roman" w:hAnsi="Times New Roman" w:cs="Times New Roman"/>
          <w:color w:val="000000" w:themeColor="text1"/>
          <w:sz w:val="28"/>
          <w:szCs w:val="28"/>
        </w:rPr>
        <w:t xml:space="preserve"> 7.</w:t>
      </w:r>
    </w:p>
    <w:p w:rsidR="001C12F0" w:rsidRPr="00CC7883" w:rsidRDefault="001C12F0" w:rsidP="00047411">
      <w:pPr>
        <w:widowControl w:val="0"/>
        <w:spacing w:after="0" w:line="360" w:lineRule="auto"/>
        <w:ind w:firstLine="708"/>
        <w:rPr>
          <w:rFonts w:ascii="Times New Roman" w:hAnsi="Times New Roman" w:cs="Times New Roman"/>
          <w:b/>
          <w:color w:val="000000" w:themeColor="text1"/>
          <w:sz w:val="28"/>
          <w:szCs w:val="28"/>
        </w:rPr>
      </w:pPr>
    </w:p>
    <w:p w:rsidR="009B19E1" w:rsidRPr="00CC7883" w:rsidRDefault="009B19E1" w:rsidP="00047411">
      <w:pPr>
        <w:widowControl w:val="0"/>
        <w:spacing w:after="0" w:line="360" w:lineRule="auto"/>
        <w:ind w:firstLine="709"/>
        <w:outlineLvl w:val="1"/>
        <w:rPr>
          <w:rFonts w:ascii="Times New Roman" w:hAnsi="Times New Roman" w:cs="Times New Roman"/>
          <w:b/>
          <w:color w:val="000000" w:themeColor="text1"/>
          <w:sz w:val="28"/>
          <w:szCs w:val="28"/>
        </w:rPr>
      </w:pPr>
      <w:bookmarkStart w:id="28" w:name="_Toc220058929"/>
      <w:r w:rsidRPr="00CC7883">
        <w:rPr>
          <w:rFonts w:ascii="Times New Roman" w:hAnsi="Times New Roman" w:cs="Times New Roman"/>
          <w:b/>
          <w:color w:val="000000" w:themeColor="text1"/>
          <w:sz w:val="28"/>
          <w:szCs w:val="28"/>
        </w:rPr>
        <w:t>Висновки до розділу 2</w:t>
      </w:r>
      <w:bookmarkEnd w:id="28"/>
    </w:p>
    <w:p w:rsidR="009B19E1" w:rsidRPr="00CC7883" w:rsidRDefault="009B19E1" w:rsidP="00047411">
      <w:pPr>
        <w:widowControl w:val="0"/>
        <w:spacing w:after="0" w:line="360" w:lineRule="auto"/>
        <w:jc w:val="center"/>
        <w:rPr>
          <w:rFonts w:ascii="Times New Roman" w:hAnsi="Times New Roman" w:cs="Times New Roman"/>
          <w:color w:val="000000" w:themeColor="text1"/>
          <w:sz w:val="28"/>
          <w:szCs w:val="28"/>
        </w:rPr>
      </w:pPr>
    </w:p>
    <w:p w:rsidR="009B19E1" w:rsidRPr="00CC7883" w:rsidRDefault="009B19E1" w:rsidP="00047411">
      <w:pPr>
        <w:pStyle w:val="a7"/>
        <w:widowControl w:val="0"/>
        <w:numPr>
          <w:ilvl w:val="0"/>
          <w:numId w:val="19"/>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Дослідження проводили у 2019–2022 рр. на базі відділу розсадництва, розмноження та біотехнології винограду ННЦ «Інститут виноградарства і виноробства ім. В.</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Є.</w:t>
      </w:r>
      <w:r w:rsidR="00396E1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Таїрова» НААН України. </w:t>
      </w:r>
      <w:r w:rsidR="00DE46F5">
        <w:rPr>
          <w:rFonts w:ascii="Times New Roman" w:hAnsi="Times New Roman" w:cs="Times New Roman"/>
          <w:color w:val="000000" w:themeColor="text1"/>
          <w:sz w:val="28"/>
          <w:szCs w:val="28"/>
        </w:rPr>
        <w:t>Як</w:t>
      </w:r>
      <w:r w:rsidRPr="00CC7883">
        <w:rPr>
          <w:rFonts w:ascii="Times New Roman" w:hAnsi="Times New Roman" w:cs="Times New Roman"/>
          <w:color w:val="000000" w:themeColor="text1"/>
          <w:sz w:val="28"/>
          <w:szCs w:val="28"/>
        </w:rPr>
        <w:t xml:space="preserve"> об’єкт</w:t>
      </w:r>
      <w:r w:rsidR="00DE46F5">
        <w:rPr>
          <w:rFonts w:ascii="Times New Roman" w:hAnsi="Times New Roman" w:cs="Times New Roman"/>
          <w:color w:val="000000" w:themeColor="text1"/>
          <w:sz w:val="28"/>
          <w:szCs w:val="28"/>
        </w:rPr>
        <w:t>и</w:t>
      </w:r>
      <w:r w:rsidRPr="00CC7883">
        <w:rPr>
          <w:rFonts w:ascii="Times New Roman" w:hAnsi="Times New Roman" w:cs="Times New Roman"/>
          <w:color w:val="000000" w:themeColor="text1"/>
          <w:sz w:val="28"/>
          <w:szCs w:val="28"/>
        </w:rPr>
        <w:t xml:space="preserve"> вивчення застосовували одно- і двовічкові чубуки та мікроклони винограду підщепних</w:t>
      </w:r>
      <w:r w:rsidR="000B09F8"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(«Добриня», «Гарант») та технічних («Ярило», «Загрей») сортів винограду. </w:t>
      </w:r>
    </w:p>
    <w:p w:rsidR="009B19E1" w:rsidRPr="00CC7883" w:rsidRDefault="009B19E1" w:rsidP="00047411">
      <w:pPr>
        <w:pStyle w:val="a7"/>
        <w:widowControl w:val="0"/>
        <w:spacing w:after="0" w:line="360" w:lineRule="auto"/>
        <w:ind w:left="0"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Схема експериментальних робіт охоплювала два досліди. У досліді 1 ініціальні експланти висаджували на агаризовані поживні середовища, у досліді 2 – на поживні мінеральні субстрати. </w:t>
      </w:r>
    </w:p>
    <w:p w:rsidR="00C634FF" w:rsidRDefault="00C634FF" w:rsidP="00047411">
      <w:pPr>
        <w:pStyle w:val="a7"/>
        <w:widowControl w:val="0"/>
        <w:spacing w:after="0" w:line="360" w:lineRule="auto"/>
        <w:ind w:left="0" w:firstLine="709"/>
        <w:jc w:val="both"/>
        <w:rPr>
          <w:rFonts w:ascii="Times New Roman" w:hAnsi="Times New Roman" w:cs="Times New Roman"/>
          <w:color w:val="000000" w:themeColor="text1"/>
          <w:sz w:val="28"/>
          <w:szCs w:val="28"/>
        </w:rPr>
      </w:pPr>
    </w:p>
    <w:p w:rsidR="009B19E1" w:rsidRPr="00CC7883" w:rsidRDefault="009B19E1" w:rsidP="00047411">
      <w:pPr>
        <w:pStyle w:val="a7"/>
        <w:widowControl w:val="0"/>
        <w:spacing w:after="0" w:line="360" w:lineRule="auto"/>
        <w:ind w:left="0"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Дослід 1 включав 12 варіантів, у яких поживні середовища містили різну кількість фітогормонів ІОК і 6-БАП (0,3 мг/л ІОК, 0,2 мг/л 6-БАП; 0,6</w:t>
      </w:r>
      <w:r w:rsidR="00F47762">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мг/л ІОК, 0,5 мг/л 6-БАП), стимулятори коренеутворення (Радіфарм, Clonex gel) та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004C5062" w:rsidRPr="00CC7883">
        <w:rPr>
          <w:rFonts w:ascii="Times New Roman" w:eastAsia="Times New Roman" w:hAnsi="Times New Roman" w:cs="Times New Roman"/>
          <w:color w:val="000000" w:themeColor="text1"/>
          <w:sz w:val="28"/>
          <w:szCs w:val="28"/>
          <w:lang w:eastAsia="ru-RU"/>
        </w:rPr>
        <w:t>і</w:t>
      </w:r>
      <w:r w:rsidRPr="00CC7883">
        <w:rPr>
          <w:rFonts w:ascii="Times New Roman" w:hAnsi="Times New Roman" w:cs="Times New Roman"/>
          <w:color w:val="000000" w:themeColor="text1"/>
          <w:sz w:val="28"/>
          <w:szCs w:val="28"/>
        </w:rPr>
        <w:t xml:space="preserve"> компоненти (агроперліт, вермикуліт або їх суміш (1:1:1)</w:t>
      </w:r>
      <w:r w:rsidR="008A42E4"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p>
    <w:p w:rsidR="009B19E1" w:rsidRPr="00CC7883" w:rsidRDefault="009B19E1" w:rsidP="00047411">
      <w:pPr>
        <w:pStyle w:val="a7"/>
        <w:widowControl w:val="0"/>
        <w:spacing w:after="0" w:line="360" w:lineRule="auto"/>
        <w:ind w:left="0"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Дослід 2 включав 5 варіантів: два контрольні варіанти на середовищі MS з різним вмістом фітогормонів (0,3 мг/л ІОК, 0,2 мг/л 6-БАП; 0,6 мг/л ІОК, 0,5 мг/л 6-БАП) та три варіанти із використанням</w:t>
      </w:r>
      <w:r w:rsidR="004652F5">
        <w:rPr>
          <w:rFonts w:ascii="Times New Roman" w:hAnsi="Times New Roman" w:cs="Times New Roman"/>
          <w:color w:val="000000" w:themeColor="text1"/>
          <w:sz w:val="28"/>
          <w:szCs w:val="28"/>
        </w:rPr>
        <w:t xml:space="preserve"> як </w:t>
      </w:r>
      <w:r w:rsidRPr="00CC7883">
        <w:rPr>
          <w:rFonts w:ascii="Times New Roman" w:hAnsi="Times New Roman" w:cs="Times New Roman"/>
          <w:color w:val="000000" w:themeColor="text1"/>
          <w:sz w:val="28"/>
          <w:szCs w:val="28"/>
        </w:rPr>
        <w:t>поживного середовища</w:t>
      </w:r>
      <w:r w:rsidR="00231658"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агроперліту, вермикуліту і їх суміші.</w:t>
      </w:r>
    </w:p>
    <w:p w:rsidR="009B19E1" w:rsidRPr="00CC7883" w:rsidRDefault="009B19E1" w:rsidP="00047411">
      <w:pPr>
        <w:pStyle w:val="a7"/>
        <w:widowControl w:val="0"/>
        <w:numPr>
          <w:ilvl w:val="0"/>
          <w:numId w:val="19"/>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Для проведення дослідження використовували біологічно активні препарати та мінеральні компоненти, які по-різному впливали на ріст і фізіологічний стан мікроклонів винограду. Радіфарм і Clonex gel застосовували у комплексі для стимулювання формування та розвитку кореневої системи, з огляду на вміст біологічно активних речовин і фітогормонів. Агроперліт і вермикуліт використовували як мінеральні структуровані субстрати: агроперліт характеризувався високою шпаруватістю,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ою здатністю та хімічною інертністю, вермикуліт – значним водопоглинанням, нейтральною реакцією середовища, наявністю основних мінеральних елементів і здатністю по</w:t>
      </w:r>
      <w:r w:rsidR="00953A79">
        <w:rPr>
          <w:rFonts w:ascii="Times New Roman" w:hAnsi="Times New Roman" w:cs="Times New Roman"/>
          <w:color w:val="000000" w:themeColor="text1"/>
          <w:sz w:val="28"/>
          <w:szCs w:val="28"/>
        </w:rPr>
        <w:t>ліпшувати</w:t>
      </w:r>
      <w:r w:rsidRPr="00CC7883">
        <w:rPr>
          <w:rFonts w:ascii="Times New Roman" w:hAnsi="Times New Roman" w:cs="Times New Roman"/>
          <w:color w:val="000000" w:themeColor="text1"/>
          <w:sz w:val="28"/>
          <w:szCs w:val="28"/>
        </w:rPr>
        <w:t xml:space="preserve"> аерацію субстрату. Застосування зазначених компонентів забезпечило формування різних умов вирощування, що дало змогу об’єктивно оцінити та порівняти ефективність поживних середовищ у процесі мікророзмноження винограду</w:t>
      </w:r>
      <w:r w:rsidR="004652F5">
        <w:rPr>
          <w:rFonts w:ascii="Times New Roman" w:hAnsi="Times New Roman" w:cs="Times New Roman"/>
          <w:color w:val="000000" w:themeColor="text1"/>
          <w:sz w:val="28"/>
          <w:szCs w:val="28"/>
        </w:rPr>
        <w:t>.</w:t>
      </w:r>
    </w:p>
    <w:p w:rsidR="00C634FF" w:rsidRDefault="009B19E1" w:rsidP="00047411">
      <w:pPr>
        <w:pStyle w:val="a7"/>
        <w:widowControl w:val="0"/>
        <w:numPr>
          <w:ilvl w:val="0"/>
          <w:numId w:val="19"/>
        </w:numPr>
        <w:autoSpaceDN w:val="0"/>
        <w:spacing w:after="0" w:line="360" w:lineRule="auto"/>
        <w:ind w:left="0" w:firstLine="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Дослідження з мікророзмноження винограду </w:t>
      </w:r>
      <w:r w:rsidRPr="00CC7883">
        <w:rPr>
          <w:rStyle w:val="af1"/>
          <w:rFonts w:ascii="Times New Roman" w:hAnsi="Times New Roman" w:cs="Times New Roman"/>
          <w:color w:val="000000" w:themeColor="text1"/>
          <w:sz w:val="28"/>
          <w:szCs w:val="28"/>
        </w:rPr>
        <w:t>in vitro</w:t>
      </w:r>
      <w:r w:rsidRPr="00CC7883">
        <w:rPr>
          <w:rFonts w:ascii="Times New Roman" w:hAnsi="Times New Roman" w:cs="Times New Roman"/>
          <w:color w:val="000000" w:themeColor="text1"/>
          <w:sz w:val="28"/>
          <w:szCs w:val="28"/>
        </w:rPr>
        <w:t xml:space="preserve"> проводили в асептичних умовах культуральних боксів із дотриманням оптимальних фізичних параметрів культивування: температура повітря 24–25 °С, 16-годинний фотоперіод, освітленість 2500–3000 лк та відносна вологість повітря 60–70 %. Поживні середовища на основі MS стерилізували автоклавуванням за температури 120 °С і тиску 1 атм протягом 15 хв, мінеральні субстрати – за температури 120 °С і тиску 1 атм протягом 45 хв. </w:t>
      </w:r>
    </w:p>
    <w:p w:rsidR="009B19E1" w:rsidRPr="00CC7883" w:rsidRDefault="009B19E1" w:rsidP="00C634FF">
      <w:pPr>
        <w:pStyle w:val="a7"/>
        <w:widowControl w:val="0"/>
        <w:autoSpaceDN w:val="0"/>
        <w:spacing w:after="0" w:line="360" w:lineRule="auto"/>
        <w:ind w:left="0"/>
        <w:contextualSpacing w:val="0"/>
        <w:jc w:val="both"/>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Передадаптацію та адаптацію мікроклонів здійснювали поетапно шляхом поступового відкривання культуральних ємностей і перенесення рослин до адаптаційної кімнати, а оцінювання адаптаційних показників проводили на 30-, 60- та 90-ту добу.</w:t>
      </w:r>
    </w:p>
    <w:p w:rsidR="009B19E1" w:rsidRPr="00CC7883" w:rsidRDefault="009B19E1" w:rsidP="00047411">
      <w:pPr>
        <w:pStyle w:val="a7"/>
        <w:widowControl w:val="0"/>
        <w:autoSpaceDN w:val="0"/>
        <w:spacing w:after="0" w:line="360" w:lineRule="auto"/>
        <w:ind w:left="0"/>
        <w:contextualSpacing w:val="0"/>
        <w:jc w:val="both"/>
        <w:textAlignment w:val="baseline"/>
        <w:rPr>
          <w:rFonts w:ascii="Times New Roman" w:hAnsi="Times New Roman" w:cs="Times New Roman"/>
          <w:color w:val="000000" w:themeColor="text1"/>
          <w:sz w:val="28"/>
          <w:szCs w:val="28"/>
        </w:rPr>
        <w:sectPr w:rsidR="009B19E1" w:rsidRPr="00CC7883" w:rsidSect="00CB3048">
          <w:pgSz w:w="11905" w:h="16837"/>
          <w:pgMar w:top="1134" w:right="851" w:bottom="1134" w:left="1701" w:header="709" w:footer="709" w:gutter="0"/>
          <w:cols w:space="720"/>
        </w:sectPr>
      </w:pPr>
    </w:p>
    <w:p w:rsidR="00796030" w:rsidRPr="00CC7883" w:rsidRDefault="00796030" w:rsidP="00047411">
      <w:pPr>
        <w:widowControl w:val="0"/>
        <w:autoSpaceDN w:val="0"/>
        <w:spacing w:after="0" w:line="360" w:lineRule="auto"/>
        <w:jc w:val="center"/>
        <w:textAlignment w:val="baseline"/>
        <w:outlineLvl w:val="0"/>
        <w:rPr>
          <w:rFonts w:ascii="Times New Roman" w:eastAsia="NSimSun" w:hAnsi="Times New Roman" w:cs="Times New Roman"/>
          <w:b/>
          <w:bCs/>
          <w:caps/>
          <w:color w:val="000000" w:themeColor="text1"/>
          <w:kern w:val="3"/>
          <w:sz w:val="28"/>
          <w:szCs w:val="28"/>
          <w:lang w:eastAsia="zh-CN" w:bidi="hi-IN"/>
        </w:rPr>
      </w:pPr>
      <w:bookmarkStart w:id="29" w:name="_Toc220058930"/>
      <w:r w:rsidRPr="00CC7883">
        <w:rPr>
          <w:rFonts w:ascii="Times New Roman" w:eastAsia="NSimSun" w:hAnsi="Times New Roman" w:cs="Times New Roman"/>
          <w:b/>
          <w:bCs/>
          <w:caps/>
          <w:color w:val="000000" w:themeColor="text1"/>
          <w:kern w:val="3"/>
          <w:sz w:val="28"/>
          <w:szCs w:val="28"/>
          <w:lang w:eastAsia="zh-CN" w:bidi="hi-IN"/>
        </w:rPr>
        <w:lastRenderedPageBreak/>
        <w:t>Розділ 3</w:t>
      </w:r>
      <w:bookmarkEnd w:id="29"/>
    </w:p>
    <w:p w:rsidR="00796030" w:rsidRPr="00CC7883" w:rsidRDefault="00796030" w:rsidP="00047411">
      <w:pPr>
        <w:widowControl w:val="0"/>
        <w:autoSpaceDN w:val="0"/>
        <w:spacing w:after="0" w:line="360" w:lineRule="auto"/>
        <w:jc w:val="center"/>
        <w:textAlignment w:val="baseline"/>
        <w:outlineLvl w:val="0"/>
        <w:rPr>
          <w:rFonts w:ascii="Times New Roman" w:eastAsia="NSimSun" w:hAnsi="Times New Roman" w:cs="Times New Roman"/>
          <w:b/>
          <w:bCs/>
          <w:i/>
          <w:iCs/>
          <w:caps/>
          <w:color w:val="000000" w:themeColor="text1"/>
          <w:kern w:val="3"/>
          <w:sz w:val="28"/>
          <w:szCs w:val="28"/>
          <w:lang w:eastAsia="zh-CN" w:bidi="hi-IN"/>
        </w:rPr>
      </w:pPr>
      <w:bookmarkStart w:id="30" w:name="_Toc220058931"/>
      <w:r w:rsidRPr="00CC7883">
        <w:rPr>
          <w:rFonts w:ascii="Times New Roman" w:eastAsia="NSimSun" w:hAnsi="Times New Roman" w:cs="Times New Roman"/>
          <w:b/>
          <w:bCs/>
          <w:caps/>
          <w:color w:val="000000" w:themeColor="text1"/>
          <w:kern w:val="3"/>
          <w:sz w:val="28"/>
          <w:szCs w:val="28"/>
          <w:lang w:eastAsia="zh-CN" w:bidi="hi-IN"/>
        </w:rPr>
        <w:t xml:space="preserve">РЕГЕНЕРАЦІЙНА ЗДАТНІСТЬ ІНІЦІАЛЬНИХ ЕКСПЛАНТІВ ВИНОГРАДУ </w:t>
      </w:r>
      <w:r w:rsidRPr="00CC7883">
        <w:rPr>
          <w:rFonts w:ascii="Times New Roman" w:eastAsia="NSimSun" w:hAnsi="Times New Roman" w:cs="Times New Roman"/>
          <w:b/>
          <w:bCs/>
          <w:i/>
          <w:caps/>
          <w:color w:val="000000" w:themeColor="text1"/>
          <w:kern w:val="3"/>
          <w:sz w:val="28"/>
          <w:szCs w:val="28"/>
          <w:lang w:eastAsia="zh-CN" w:bidi="hi-IN"/>
        </w:rPr>
        <w:t>IN VITRO</w:t>
      </w:r>
      <w:bookmarkEnd w:id="30"/>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p>
    <w:p w:rsidR="00796030" w:rsidRPr="00CC7883" w:rsidRDefault="00796030" w:rsidP="00047411">
      <w:pPr>
        <w:widowControl w:val="0"/>
        <w:autoSpaceDN w:val="0"/>
        <w:spacing w:after="0" w:line="360" w:lineRule="auto"/>
        <w:ind w:firstLine="709"/>
        <w:jc w:val="both"/>
        <w:textAlignment w:val="baseline"/>
        <w:outlineLvl w:val="1"/>
        <w:rPr>
          <w:rFonts w:ascii="Times New Roman" w:eastAsia="NSimSun" w:hAnsi="Times New Roman" w:cs="Times New Roman"/>
          <w:b/>
          <w:color w:val="000000" w:themeColor="text1"/>
          <w:kern w:val="3"/>
          <w:sz w:val="28"/>
          <w:szCs w:val="28"/>
          <w:lang w:eastAsia="zh-CN" w:bidi="hi-IN"/>
        </w:rPr>
      </w:pPr>
      <w:bookmarkStart w:id="31" w:name="_Toc220058932"/>
      <w:r w:rsidRPr="00CC7883">
        <w:rPr>
          <w:rFonts w:ascii="Times New Roman" w:eastAsia="NSimSun" w:hAnsi="Times New Roman" w:cs="Times New Roman"/>
          <w:b/>
          <w:color w:val="000000" w:themeColor="text1"/>
          <w:kern w:val="3"/>
          <w:sz w:val="28"/>
          <w:szCs w:val="28"/>
          <w:lang w:eastAsia="zh-CN" w:bidi="hi-IN"/>
        </w:rPr>
        <w:t>3.1. Приживлюваність</w:t>
      </w:r>
      <w:bookmarkEnd w:id="31"/>
    </w:p>
    <w:p w:rsidR="00796030" w:rsidRPr="00CC7883" w:rsidRDefault="00796030" w:rsidP="00047411">
      <w:pPr>
        <w:widowControl w:val="0"/>
        <w:autoSpaceDN w:val="0"/>
        <w:spacing w:after="0" w:line="360" w:lineRule="auto"/>
        <w:jc w:val="both"/>
        <w:textAlignment w:val="baseline"/>
        <w:rPr>
          <w:rFonts w:ascii="Times New Roman" w:eastAsia="NSimSun" w:hAnsi="Times New Roman" w:cs="Times New Roman"/>
          <w:b/>
          <w:color w:val="000000" w:themeColor="text1"/>
          <w:kern w:val="3"/>
          <w:sz w:val="28"/>
          <w:szCs w:val="28"/>
          <w:lang w:eastAsia="zh-CN" w:bidi="hi-IN"/>
        </w:rPr>
      </w:pP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b/>
          <w:bCs/>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Приживлюваність – здатність рослин чи їх органів пристосовуватис</w:t>
      </w:r>
      <w:r w:rsidR="000320DC">
        <w:rPr>
          <w:rFonts w:ascii="Times New Roman" w:eastAsia="NSimSun" w:hAnsi="Times New Roman" w:cs="Times New Roman"/>
          <w:color w:val="000000" w:themeColor="text1"/>
          <w:kern w:val="3"/>
          <w:sz w:val="28"/>
          <w:szCs w:val="28"/>
          <w:lang w:eastAsia="zh-CN" w:bidi="hi-IN"/>
        </w:rPr>
        <w:t>я</w:t>
      </w:r>
      <w:r w:rsidRPr="00CC7883">
        <w:rPr>
          <w:rFonts w:ascii="Times New Roman" w:eastAsia="NSimSun" w:hAnsi="Times New Roman" w:cs="Times New Roman"/>
          <w:color w:val="000000" w:themeColor="text1"/>
          <w:kern w:val="3"/>
          <w:sz w:val="28"/>
          <w:szCs w:val="28"/>
          <w:lang w:eastAsia="zh-CN" w:bidi="hi-IN"/>
        </w:rPr>
        <w:t xml:space="preserve"> та приживатис</w:t>
      </w:r>
      <w:r w:rsidR="000320DC">
        <w:rPr>
          <w:rFonts w:ascii="Times New Roman" w:eastAsia="NSimSun" w:hAnsi="Times New Roman" w:cs="Times New Roman"/>
          <w:color w:val="000000" w:themeColor="text1"/>
          <w:kern w:val="3"/>
          <w:sz w:val="28"/>
          <w:szCs w:val="28"/>
          <w:lang w:eastAsia="zh-CN" w:bidi="hi-IN"/>
        </w:rPr>
        <w:t>я</w:t>
      </w:r>
      <w:r w:rsidRPr="00CC7883">
        <w:rPr>
          <w:rFonts w:ascii="Times New Roman" w:eastAsia="NSimSun" w:hAnsi="Times New Roman" w:cs="Times New Roman"/>
          <w:color w:val="000000" w:themeColor="text1"/>
          <w:kern w:val="3"/>
          <w:sz w:val="28"/>
          <w:szCs w:val="28"/>
          <w:lang w:eastAsia="zh-CN" w:bidi="hi-IN"/>
        </w:rPr>
        <w:t xml:space="preserve"> у нових умовах. Приживлюваність ініціальних експлантів винограду та подальший ріст і розвиток рослин в умовах </w:t>
      </w:r>
      <w:r w:rsidR="00C85F8F" w:rsidRPr="00CC7883">
        <w:rPr>
          <w:rFonts w:ascii="Times New Roman" w:hAnsi="Times New Roman" w:cs="Times New Roman"/>
          <w:i/>
          <w:iCs/>
          <w:color w:val="000000" w:themeColor="text1"/>
          <w:sz w:val="28"/>
          <w:szCs w:val="28"/>
        </w:rPr>
        <w:t>in vitro</w:t>
      </w:r>
      <w:r w:rsidRPr="00CC7883">
        <w:rPr>
          <w:rFonts w:ascii="Times New Roman" w:eastAsia="NSimSun" w:hAnsi="Times New Roman" w:cs="Times New Roman"/>
          <w:color w:val="000000" w:themeColor="text1"/>
          <w:kern w:val="3"/>
          <w:sz w:val="28"/>
          <w:szCs w:val="28"/>
          <w:lang w:eastAsia="zh-CN" w:bidi="hi-IN"/>
        </w:rPr>
        <w:t xml:space="preserve"> залеж</w:t>
      </w:r>
      <w:r w:rsidR="001A6773">
        <w:rPr>
          <w:rFonts w:ascii="Times New Roman" w:eastAsia="NSimSun" w:hAnsi="Times New Roman" w:cs="Times New Roman"/>
          <w:color w:val="000000" w:themeColor="text1"/>
          <w:kern w:val="3"/>
          <w:sz w:val="28"/>
          <w:szCs w:val="28"/>
          <w:lang w:eastAsia="zh-CN" w:bidi="hi-IN"/>
        </w:rPr>
        <w:t>а</w:t>
      </w:r>
      <w:r w:rsidRPr="00CC7883">
        <w:rPr>
          <w:rFonts w:ascii="Times New Roman" w:eastAsia="NSimSun" w:hAnsi="Times New Roman" w:cs="Times New Roman"/>
          <w:color w:val="000000" w:themeColor="text1"/>
          <w:kern w:val="3"/>
          <w:sz w:val="28"/>
          <w:szCs w:val="28"/>
          <w:lang w:eastAsia="zh-CN" w:bidi="hi-IN"/>
        </w:rPr>
        <w:t xml:space="preserve">ть від складу поживного середовища, субстрату та фізичних параметрів культивування. </w:t>
      </w: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i/>
          <w:iCs/>
          <w:color w:val="000000" w:themeColor="text1"/>
          <w:kern w:val="3"/>
          <w:sz w:val="28"/>
          <w:szCs w:val="28"/>
          <w:lang w:eastAsia="zh-CN" w:bidi="hi-IN"/>
        </w:rPr>
        <w:t>Поживні середовища.</w:t>
      </w:r>
      <w:r w:rsidRPr="00CC7883">
        <w:rPr>
          <w:rFonts w:ascii="Times New Roman" w:eastAsia="NSimSun" w:hAnsi="Times New Roman" w:cs="Times New Roman"/>
          <w:color w:val="000000" w:themeColor="text1"/>
          <w:kern w:val="3"/>
          <w:sz w:val="28"/>
          <w:szCs w:val="28"/>
          <w:lang w:eastAsia="zh-CN" w:bidi="hi-IN"/>
        </w:rPr>
        <w:t xml:space="preserve"> </w:t>
      </w:r>
      <w:r w:rsidR="000320DC">
        <w:rPr>
          <w:rFonts w:ascii="Times New Roman" w:eastAsia="NSimSun" w:hAnsi="Times New Roman" w:cs="Times New Roman"/>
          <w:color w:val="000000" w:themeColor="text1"/>
          <w:kern w:val="3"/>
          <w:sz w:val="28"/>
          <w:szCs w:val="28"/>
          <w:lang w:eastAsia="zh-CN" w:bidi="hi-IN"/>
        </w:rPr>
        <w:t>Під час</w:t>
      </w:r>
      <w:r w:rsidRPr="00CC7883">
        <w:rPr>
          <w:rFonts w:ascii="Times New Roman" w:eastAsia="NSimSun" w:hAnsi="Times New Roman" w:cs="Times New Roman"/>
          <w:color w:val="000000" w:themeColor="text1"/>
          <w:kern w:val="3"/>
          <w:sz w:val="28"/>
          <w:szCs w:val="28"/>
          <w:lang w:eastAsia="zh-CN" w:bidi="hi-IN"/>
        </w:rPr>
        <w:t xml:space="preserve"> визначенн</w:t>
      </w:r>
      <w:r w:rsidR="000320DC">
        <w:rPr>
          <w:rFonts w:ascii="Times New Roman" w:eastAsia="NSimSun" w:hAnsi="Times New Roman" w:cs="Times New Roman"/>
          <w:color w:val="000000" w:themeColor="text1"/>
          <w:kern w:val="3"/>
          <w:sz w:val="28"/>
          <w:szCs w:val="28"/>
          <w:lang w:eastAsia="zh-CN" w:bidi="hi-IN"/>
        </w:rPr>
        <w:t>я</w:t>
      </w:r>
      <w:r w:rsidRPr="00CC7883">
        <w:rPr>
          <w:rFonts w:ascii="Times New Roman" w:eastAsia="NSimSun" w:hAnsi="Times New Roman" w:cs="Times New Roman"/>
          <w:color w:val="000000" w:themeColor="text1"/>
          <w:kern w:val="3"/>
          <w:sz w:val="28"/>
          <w:szCs w:val="28"/>
          <w:lang w:eastAsia="zh-CN" w:bidi="hi-IN"/>
        </w:rPr>
        <w:t xml:space="preserve"> показників приживлюваності ініціальних експлантів винограду на поживних середовищах </w:t>
      </w:r>
      <w:r w:rsidRPr="00CC7883">
        <w:rPr>
          <w:rFonts w:ascii="Times New Roman" w:eastAsia="NSimSun" w:hAnsi="Times New Roman" w:cs="Times New Roman"/>
          <w:i/>
          <w:iCs/>
          <w:color w:val="000000" w:themeColor="text1"/>
          <w:kern w:val="3"/>
          <w:sz w:val="28"/>
          <w:szCs w:val="28"/>
          <w:lang w:eastAsia="zh-CN" w:bidi="hi-IN"/>
        </w:rPr>
        <w:t>in vitro</w:t>
      </w:r>
      <w:r w:rsidRPr="00CC7883">
        <w:rPr>
          <w:rFonts w:ascii="Times New Roman" w:eastAsia="NSimSun" w:hAnsi="Times New Roman" w:cs="Times New Roman"/>
          <w:color w:val="000000" w:themeColor="text1"/>
          <w:kern w:val="3"/>
          <w:sz w:val="28"/>
          <w:szCs w:val="28"/>
          <w:lang w:eastAsia="zh-CN" w:bidi="hi-IN"/>
        </w:rPr>
        <w:t xml:space="preserve"> ми враховували експланти, які характеризувалися зеленою листковою пластинкою і тканинами чубуків, наявністю живої пазушної бруньки або її проліферацією, ризогенезом.</w:t>
      </w: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Протягом перших 30 діб культивування в</w:t>
      </w:r>
      <w:r w:rsidR="00440E1C">
        <w:rPr>
          <w:rFonts w:ascii="Times New Roman" w:eastAsia="NSimSun" w:hAnsi="Times New Roman" w:cs="Times New Roman"/>
          <w:color w:val="000000" w:themeColor="text1"/>
          <w:kern w:val="3"/>
          <w:sz w:val="28"/>
          <w:szCs w:val="28"/>
          <w:lang w:eastAsia="zh-CN" w:bidi="hi-IN"/>
        </w:rPr>
        <w:t>и</w:t>
      </w:r>
      <w:r w:rsidRPr="00CC7883">
        <w:rPr>
          <w:rFonts w:ascii="Times New Roman" w:eastAsia="NSimSun" w:hAnsi="Times New Roman" w:cs="Times New Roman"/>
          <w:color w:val="000000" w:themeColor="text1"/>
          <w:kern w:val="3"/>
          <w:sz w:val="28"/>
          <w:szCs w:val="28"/>
          <w:lang w:eastAsia="zh-CN" w:bidi="hi-IN"/>
        </w:rPr>
        <w:t xml:space="preserve">браковували експланти </w:t>
      </w:r>
      <w:r w:rsidR="002A4F80">
        <w:rPr>
          <w:rFonts w:ascii="Times New Roman" w:eastAsia="NSimSun" w:hAnsi="Times New Roman" w:cs="Times New Roman"/>
          <w:color w:val="000000" w:themeColor="text1"/>
          <w:kern w:val="3"/>
          <w:sz w:val="28"/>
          <w:szCs w:val="28"/>
          <w:lang w:eastAsia="zh-CN" w:bidi="hi-IN"/>
        </w:rPr>
        <w:t>і</w:t>
      </w:r>
      <w:r w:rsidRPr="00CC7883">
        <w:rPr>
          <w:rFonts w:ascii="Times New Roman" w:eastAsia="NSimSun" w:hAnsi="Times New Roman" w:cs="Times New Roman"/>
          <w:color w:val="000000" w:themeColor="text1"/>
          <w:kern w:val="3"/>
          <w:sz w:val="28"/>
          <w:szCs w:val="28"/>
          <w:lang w:eastAsia="zh-CN" w:bidi="hi-IN"/>
        </w:rPr>
        <w:t>з прояв</w:t>
      </w:r>
      <w:r w:rsidR="002A4F80">
        <w:rPr>
          <w:rFonts w:ascii="Times New Roman" w:eastAsia="NSimSun" w:hAnsi="Times New Roman" w:cs="Times New Roman"/>
          <w:color w:val="000000" w:themeColor="text1"/>
          <w:kern w:val="3"/>
          <w:sz w:val="28"/>
          <w:szCs w:val="28"/>
          <w:lang w:eastAsia="zh-CN" w:bidi="hi-IN"/>
        </w:rPr>
        <w:t>ами</w:t>
      </w:r>
      <w:r w:rsidRPr="00CC7883">
        <w:rPr>
          <w:rFonts w:ascii="Times New Roman" w:eastAsia="NSimSun" w:hAnsi="Times New Roman" w:cs="Times New Roman"/>
          <w:color w:val="000000" w:themeColor="text1"/>
          <w:kern w:val="3"/>
          <w:sz w:val="28"/>
          <w:szCs w:val="28"/>
          <w:lang w:eastAsia="zh-CN" w:bidi="hi-IN"/>
        </w:rPr>
        <w:t xml:space="preserve"> зовнішньої і частково внутрішньої інфекції. Отримані результати показали, що відсоток в</w:t>
      </w:r>
      <w:r w:rsidR="00440E1C">
        <w:rPr>
          <w:rFonts w:ascii="Times New Roman" w:eastAsia="NSimSun" w:hAnsi="Times New Roman" w:cs="Times New Roman"/>
          <w:color w:val="000000" w:themeColor="text1"/>
          <w:kern w:val="3"/>
          <w:sz w:val="28"/>
          <w:szCs w:val="28"/>
          <w:lang w:eastAsia="zh-CN" w:bidi="hi-IN"/>
        </w:rPr>
        <w:t>и</w:t>
      </w:r>
      <w:r w:rsidRPr="00CC7883">
        <w:rPr>
          <w:rFonts w:ascii="Times New Roman" w:eastAsia="NSimSun" w:hAnsi="Times New Roman" w:cs="Times New Roman"/>
          <w:color w:val="000000" w:themeColor="text1"/>
          <w:kern w:val="3"/>
          <w:sz w:val="28"/>
          <w:szCs w:val="28"/>
          <w:lang w:eastAsia="zh-CN" w:bidi="hi-IN"/>
        </w:rPr>
        <w:t>бракованих об’єктів складав для підщепних сортів – 9,7 %, для технічних – 11,2 %. Найбільшою була кількість відбракованих експлантів у варіантах із вмістом фітогормонів 0,5 мг/л 6-БАП; 0,6 мг/л ІОК: у другому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eastAsia="NSimSun" w:hAnsi="Times New Roman" w:cs="Times New Roman"/>
          <w:color w:val="000000" w:themeColor="text1"/>
          <w:kern w:val="3"/>
          <w:sz w:val="28"/>
          <w:szCs w:val="28"/>
          <w:lang w:eastAsia="zh-CN" w:bidi="hi-IN"/>
        </w:rPr>
        <w:t>), четвертому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eastAsia="NSimSun" w:hAnsi="Times New Roman" w:cs="Times New Roman"/>
          <w:color w:val="000000" w:themeColor="text1"/>
          <w:kern w:val="3"/>
          <w:sz w:val="28"/>
          <w:szCs w:val="28"/>
          <w:lang w:eastAsia="zh-CN" w:bidi="hi-IN"/>
        </w:rPr>
        <w:t xml:space="preserve"> + 0,6 мг/л ІОК + 0,5 мг/л 6-БАП + Радіфарм 2,5 мл/л), восьмому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eastAsia="NSimSun" w:hAnsi="Times New Roman" w:cs="Times New Roman"/>
          <w:color w:val="000000" w:themeColor="text1"/>
          <w:kern w:val="3"/>
          <w:sz w:val="28"/>
          <w:szCs w:val="28"/>
          <w:lang w:eastAsia="zh-CN" w:bidi="hi-IN"/>
        </w:rPr>
        <w:t xml:space="preserve"> + 0,6 мг/л ІОК + 0,5 мг/л 6-БАП + агроперліт) та дванадцятому варіантах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eastAsia="NSimSun" w:hAnsi="Times New Roman" w:cs="Times New Roman"/>
          <w:color w:val="000000" w:themeColor="text1"/>
          <w:kern w:val="3"/>
          <w:sz w:val="28"/>
          <w:szCs w:val="28"/>
          <w:lang w:eastAsia="zh-CN" w:bidi="hi-IN"/>
        </w:rPr>
        <w:t xml:space="preserve"> + 0,6 мг/л ІОК + 0,5 мг/л 6-БАП + агроперліт + вермикуліт) і становила для сортів «Добриня» – 11,7–14,4 %, «Гарант» – 13,3–15,6 %,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color w:val="000000" w:themeColor="text1"/>
          <w:kern w:val="3"/>
          <w:sz w:val="28"/>
          <w:szCs w:val="28"/>
          <w:lang w:eastAsia="zh-CN" w:bidi="hi-IN"/>
        </w:rPr>
        <w:t xml:space="preserve"> – 13,4–17,1 %,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color w:val="000000" w:themeColor="text1"/>
          <w:kern w:val="3"/>
          <w:sz w:val="28"/>
          <w:szCs w:val="28"/>
          <w:lang w:eastAsia="zh-CN" w:bidi="hi-IN"/>
        </w:rPr>
        <w:t xml:space="preserve"> – 15,5–18,6 %. Кількість відбракованих експлантів у варіантах з меншим вмістом фітогормонів (0,2 мг/л 6-БАП; 0,3 мг/л ІОК) дорівнювала 4,0–9,6 % і 1,0–10,7 % для сортів </w:t>
      </w:r>
      <w:r w:rsidRPr="00CC7883">
        <w:rPr>
          <w:rFonts w:ascii="Times New Roman" w:eastAsia="NSimSun" w:hAnsi="Times New Roman" w:cs="Times New Roman"/>
          <w:bCs/>
          <w:color w:val="000000" w:themeColor="text1"/>
          <w:kern w:val="3"/>
          <w:sz w:val="28"/>
          <w:szCs w:val="28"/>
          <w:lang w:eastAsia="zh-CN" w:bidi="hi-IN"/>
        </w:rPr>
        <w:t>«Добриня»</w:t>
      </w:r>
      <w:r w:rsidRPr="00CC7883">
        <w:rPr>
          <w:rFonts w:ascii="Times New Roman" w:eastAsia="NSimSun" w:hAnsi="Times New Roman" w:cs="Times New Roman"/>
          <w:color w:val="000000" w:themeColor="text1"/>
          <w:kern w:val="3"/>
          <w:sz w:val="28"/>
          <w:szCs w:val="28"/>
          <w:lang w:eastAsia="zh-CN" w:bidi="hi-IN"/>
        </w:rPr>
        <w:t xml:space="preserve"> і «Гарант» та 5,3–10,2 % і 6,8–11,7 % для сортів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color w:val="000000" w:themeColor="text1"/>
          <w:kern w:val="3"/>
          <w:sz w:val="28"/>
          <w:szCs w:val="28"/>
          <w:lang w:eastAsia="zh-CN" w:bidi="hi-IN"/>
        </w:rPr>
        <w:t xml:space="preserve"> і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color w:val="000000" w:themeColor="text1"/>
          <w:kern w:val="3"/>
          <w:sz w:val="28"/>
          <w:szCs w:val="28"/>
          <w:lang w:eastAsia="zh-CN" w:bidi="hi-IN"/>
        </w:rPr>
        <w:t>.</w:t>
      </w: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lastRenderedPageBreak/>
        <w:t xml:space="preserve">Результати досліду </w:t>
      </w:r>
      <w:r w:rsidR="00C94822">
        <w:rPr>
          <w:rFonts w:ascii="Times New Roman" w:eastAsia="NSimSun" w:hAnsi="Times New Roman" w:cs="Times New Roman"/>
          <w:color w:val="000000" w:themeColor="text1"/>
          <w:kern w:val="3"/>
          <w:sz w:val="28"/>
          <w:szCs w:val="28"/>
          <w:lang w:eastAsia="zh-CN" w:bidi="hi-IN"/>
        </w:rPr>
        <w:t>з</w:t>
      </w:r>
      <w:r w:rsidRPr="00CC7883">
        <w:rPr>
          <w:rFonts w:ascii="Times New Roman" w:eastAsia="NSimSun" w:hAnsi="Times New Roman" w:cs="Times New Roman"/>
          <w:color w:val="000000" w:themeColor="text1"/>
          <w:kern w:val="3"/>
          <w:sz w:val="28"/>
          <w:szCs w:val="28"/>
          <w:lang w:eastAsia="zh-CN" w:bidi="hi-IN"/>
        </w:rPr>
        <w:t xml:space="preserve"> визначенн</w:t>
      </w:r>
      <w:r w:rsidR="00C94822">
        <w:rPr>
          <w:rFonts w:ascii="Times New Roman" w:eastAsia="NSimSun" w:hAnsi="Times New Roman" w:cs="Times New Roman"/>
          <w:color w:val="000000" w:themeColor="text1"/>
          <w:kern w:val="3"/>
          <w:sz w:val="28"/>
          <w:szCs w:val="28"/>
          <w:lang w:eastAsia="zh-CN" w:bidi="hi-IN"/>
        </w:rPr>
        <w:t>я</w:t>
      </w:r>
      <w:r w:rsidRPr="00CC7883">
        <w:rPr>
          <w:rFonts w:ascii="Times New Roman" w:eastAsia="NSimSun" w:hAnsi="Times New Roman" w:cs="Times New Roman"/>
          <w:color w:val="000000" w:themeColor="text1"/>
          <w:kern w:val="3"/>
          <w:sz w:val="28"/>
          <w:szCs w:val="28"/>
          <w:lang w:eastAsia="zh-CN" w:bidi="hi-IN"/>
        </w:rPr>
        <w:t xml:space="preserve"> приживлюваності ініціальних експлантів винограду показали, що вона залежала від типу поживного середовища та сорту. Показники приживлюваності для ініціальних експлантів винограду у контрольних варіантах дорівнювали: «Добриня» – 92,3 і 85,6</w:t>
      </w:r>
      <w:r w:rsidR="00416C54"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 «Гарант» – 93,3 і 84,4</w:t>
      </w:r>
      <w:r w:rsidR="00416C54"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color w:val="000000" w:themeColor="text1"/>
          <w:kern w:val="3"/>
          <w:sz w:val="28"/>
          <w:szCs w:val="28"/>
          <w:lang w:eastAsia="zh-CN" w:bidi="hi-IN"/>
        </w:rPr>
        <w:t xml:space="preserve"> – 92,5 і 85,8</w:t>
      </w:r>
      <w:r w:rsidR="00416C54"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hAnsi="Times New Roman" w:cs="Times New Roman"/>
          <w:color w:val="000000" w:themeColor="text1"/>
          <w:sz w:val="28"/>
          <w:szCs w:val="28"/>
        </w:rPr>
        <w:t>«Загрей»</w:t>
      </w:r>
      <w:r w:rsidR="0095292A">
        <w:rPr>
          <w:rFonts w:ascii="Times New Roman" w:hAnsi="Times New Roman" w:cs="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lang w:eastAsia="zh-CN" w:bidi="hi-IN"/>
        </w:rPr>
        <w:t>– 91,4 і 83,3</w:t>
      </w:r>
      <w:r w:rsidR="00416C54"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 Порівняно з ними найбільше ініціальних експлантів винограду сорту «Добриня» приживалось у п’ятому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color w:val="000000" w:themeColor="text1"/>
          <w:sz w:val="28"/>
          <w:szCs w:val="28"/>
        </w:rPr>
        <w:t xml:space="preserve"> + 0,3 мг/л ІОК + 0,2 мг/л 6-БАП</w:t>
      </w:r>
      <w:r w:rsidRPr="00CC7883">
        <w:rPr>
          <w:rFonts w:ascii="Times New Roman" w:eastAsia="NSimSun" w:hAnsi="Times New Roman" w:cs="Times New Roman"/>
          <w:color w:val="000000" w:themeColor="text1"/>
          <w:kern w:val="3"/>
          <w:sz w:val="28"/>
          <w:szCs w:val="28"/>
          <w:lang w:eastAsia="zh-CN" w:bidi="hi-IN"/>
        </w:rPr>
        <w:t xml:space="preserve"> + Clonex</w:t>
      </w:r>
      <w:r w:rsidR="00115B07"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gel), сьомому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color w:val="000000" w:themeColor="text1"/>
          <w:sz w:val="28"/>
          <w:szCs w:val="28"/>
        </w:rPr>
        <w:t xml:space="preserve"> + 0,3 мг/л ІОК + 0,2 мг/л 6-БАП +</w:t>
      </w:r>
      <w:r w:rsidRPr="00CC7883">
        <w:rPr>
          <w:rFonts w:ascii="Times New Roman" w:eastAsia="NSimSun" w:hAnsi="Times New Roman" w:cs="Times New Roman"/>
          <w:color w:val="000000" w:themeColor="text1"/>
          <w:kern w:val="3"/>
          <w:sz w:val="28"/>
          <w:szCs w:val="28"/>
          <w:lang w:eastAsia="zh-CN" w:bidi="hi-IN"/>
        </w:rPr>
        <w:t xml:space="preserve"> агроперліт), дев’ятому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color w:val="000000" w:themeColor="text1"/>
          <w:sz w:val="28"/>
          <w:szCs w:val="28"/>
        </w:rPr>
        <w:t xml:space="preserve"> + 0,3 мг/л ІОК + 0,2 мг/л 6-БАП + </w:t>
      </w:r>
      <w:r w:rsidRPr="00CC7883">
        <w:rPr>
          <w:rFonts w:ascii="Times New Roman" w:eastAsia="NSimSun" w:hAnsi="Times New Roman" w:cs="Times New Roman"/>
          <w:color w:val="000000" w:themeColor="text1"/>
          <w:kern w:val="3"/>
          <w:sz w:val="28"/>
          <w:szCs w:val="28"/>
          <w:lang w:eastAsia="zh-CN" w:bidi="hi-IN"/>
        </w:rPr>
        <w:t>вермикуліт) варіантах. Кількість таких експлантів дорівнювала 94,1</w:t>
      </w:r>
      <w:r w:rsidR="00416C54"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 96,0</w:t>
      </w:r>
      <w:r w:rsidR="00416C54"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 і 93,3</w:t>
      </w:r>
      <w:r w:rsidR="00416C54"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 відповідно до варіантів. Для сорту «Гарант» ці показники дорівнювали 99,0</w:t>
      </w:r>
      <w:r w:rsidR="00416C54"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 93,5 % (</w:t>
      </w:r>
      <w:r w:rsidR="000150D7" w:rsidRPr="00CC7883">
        <w:rPr>
          <w:rFonts w:ascii="Times New Roman" w:eastAsia="NSimSun" w:hAnsi="Times New Roman" w:cs="Times New Roman"/>
          <w:color w:val="000000" w:themeColor="text1"/>
          <w:kern w:val="3"/>
          <w:sz w:val="28"/>
          <w:szCs w:val="28"/>
          <w:lang w:eastAsia="zh-CN" w:bidi="hi-IN"/>
        </w:rPr>
        <w:t>р</w:t>
      </w:r>
      <w:r w:rsidRPr="00CC7883">
        <w:rPr>
          <w:rFonts w:ascii="Times New Roman" w:eastAsia="NSimSun" w:hAnsi="Times New Roman" w:cs="Times New Roman"/>
          <w:color w:val="000000" w:themeColor="text1"/>
          <w:kern w:val="3"/>
          <w:sz w:val="28"/>
          <w:szCs w:val="28"/>
          <w:lang w:eastAsia="zh-CN" w:bidi="hi-IN"/>
        </w:rPr>
        <w:t>ис.</w:t>
      </w:r>
      <w:r w:rsidR="00F47762">
        <w:rPr>
          <w:rFonts w:ascii="Times New Roman" w:eastAsia="NSimSun" w:hAnsi="Times New Roman" w:cs="Times New Roman"/>
          <w:color w:val="000000" w:themeColor="text1"/>
          <w:kern w:val="3"/>
          <w:sz w:val="28"/>
          <w:szCs w:val="28"/>
          <w:lang w:eastAsia="zh-CN" w:bidi="hi-IN"/>
        </w:rPr>
        <w:t> </w:t>
      </w:r>
      <w:r w:rsidRPr="00CC7883">
        <w:rPr>
          <w:rFonts w:ascii="Times New Roman" w:eastAsia="NSimSun" w:hAnsi="Times New Roman" w:cs="Times New Roman"/>
          <w:color w:val="000000" w:themeColor="text1"/>
          <w:kern w:val="3"/>
          <w:sz w:val="28"/>
          <w:szCs w:val="28"/>
          <w:lang w:eastAsia="zh-CN" w:bidi="hi-IN"/>
        </w:rPr>
        <w:t>3.1).</w:t>
      </w:r>
    </w:p>
    <w:p w:rsidR="00796030" w:rsidRPr="00CC7883" w:rsidRDefault="00796030" w:rsidP="00047411">
      <w:pPr>
        <w:widowControl w:val="0"/>
        <w:autoSpaceDN w:val="0"/>
        <w:spacing w:after="0" w:line="360" w:lineRule="auto"/>
        <w:textAlignment w:val="baseline"/>
        <w:rPr>
          <w:rFonts w:ascii="Times New Roman" w:eastAsia="NSimSun" w:hAnsi="Times New Roman" w:cs="Times New Roman"/>
          <w:color w:val="000000" w:themeColor="text1"/>
          <w:kern w:val="3"/>
          <w:lang w:eastAsia="zh-CN" w:bidi="hi-IN"/>
        </w:rPr>
      </w:pPr>
      <w:r w:rsidRPr="00CC7883">
        <w:rPr>
          <w:rFonts w:ascii="Times New Roman" w:hAnsi="Times New Roman" w:cs="Times New Roman"/>
          <w:noProof/>
          <w:color w:val="000000" w:themeColor="text1"/>
          <w:lang w:val="ru-RU" w:eastAsia="ru-RU"/>
        </w:rPr>
        <w:drawing>
          <wp:inline distT="0" distB="0" distL="0" distR="0">
            <wp:extent cx="5886450" cy="2257425"/>
            <wp:effectExtent l="19050" t="0" r="1905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796030" w:rsidRPr="00CC7883" w:rsidRDefault="00796030" w:rsidP="00047411">
      <w:pPr>
        <w:widowControl w:val="0"/>
        <w:autoSpaceDN w:val="0"/>
        <w:spacing w:after="0" w:line="360" w:lineRule="auto"/>
        <w:textAlignment w:val="baseline"/>
        <w:rPr>
          <w:rFonts w:ascii="Times New Roman" w:eastAsia="NSimSun" w:hAnsi="Times New Roman" w:cs="Times New Roman"/>
          <w:color w:val="000000" w:themeColor="text1"/>
          <w:kern w:val="3"/>
          <w:lang w:eastAsia="zh-CN" w:bidi="hi-IN"/>
        </w:rPr>
      </w:pPr>
      <w:r w:rsidRPr="00CC7883">
        <w:rPr>
          <w:rFonts w:ascii="Times New Roman" w:hAnsi="Times New Roman" w:cs="Times New Roman"/>
          <w:noProof/>
          <w:color w:val="000000" w:themeColor="text1"/>
          <w:lang w:val="ru-RU" w:eastAsia="ru-RU"/>
        </w:rPr>
        <w:drawing>
          <wp:inline distT="0" distB="0" distL="0" distR="0">
            <wp:extent cx="5895975" cy="2257425"/>
            <wp:effectExtent l="19050" t="0" r="9525" b="0"/>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bCs/>
          <w:iCs/>
          <w:color w:val="000000" w:themeColor="text1"/>
          <w:kern w:val="3"/>
          <w:sz w:val="28"/>
          <w:szCs w:val="28"/>
          <w:lang w:eastAsia="zh-CN" w:bidi="hi-IN"/>
        </w:rPr>
        <w:t>Рис. 3.1.</w:t>
      </w:r>
      <w:r w:rsidRPr="00CC7883">
        <w:rPr>
          <w:rFonts w:ascii="Times New Roman" w:eastAsia="NSimSun" w:hAnsi="Times New Roman" w:cs="Times New Roman"/>
          <w:iCs/>
          <w:color w:val="000000" w:themeColor="text1"/>
          <w:kern w:val="3"/>
          <w:sz w:val="28"/>
          <w:szCs w:val="28"/>
          <w:lang w:eastAsia="zh-CN" w:bidi="hi-IN"/>
        </w:rPr>
        <w:t xml:space="preserve"> Приживлюваність ініціальних експлантів винограду на різних типах поживних середовищ (середнє за </w:t>
      </w:r>
      <w:r w:rsidRPr="00CC7883">
        <w:rPr>
          <w:rFonts w:ascii="Times New Roman" w:eastAsia="NSimSun" w:hAnsi="Times New Roman" w:cs="Times New Roman"/>
          <w:bCs/>
          <w:iCs/>
          <w:color w:val="000000" w:themeColor="text1"/>
          <w:kern w:val="3"/>
          <w:sz w:val="28"/>
          <w:szCs w:val="28"/>
          <w:lang w:eastAsia="zh-CN" w:bidi="hi-IN"/>
        </w:rPr>
        <w:t>2019–2022 рр.)</w:t>
      </w:r>
    </w:p>
    <w:p w:rsidR="00103069" w:rsidRPr="00CC7883" w:rsidRDefault="00103069"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lang w:eastAsia="zh-CN" w:bidi="hi-IN"/>
        </w:rPr>
      </w:pPr>
    </w:p>
    <w:p w:rsidR="00796030" w:rsidRPr="00CC7883" w:rsidRDefault="00796030"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 xml:space="preserve">Аналогічну закономірність за показником приживлюваності ініціальних експлантів слід відзначити і для технічних сортів винограду: для сорту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color w:val="000000" w:themeColor="text1"/>
          <w:kern w:val="3"/>
          <w:sz w:val="28"/>
          <w:szCs w:val="28"/>
          <w:lang w:eastAsia="zh-CN" w:bidi="hi-IN"/>
        </w:rPr>
        <w:t xml:space="preserve"> цей показник дорівнював 94,5 % (п’ятий варіант), 94,7 % (сьомий варіант) і 92,7 % (дев’ятий варіант), для сорту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color w:val="000000" w:themeColor="text1"/>
          <w:kern w:val="3"/>
          <w:sz w:val="28"/>
          <w:szCs w:val="28"/>
          <w:lang w:eastAsia="zh-CN" w:bidi="hi-IN"/>
        </w:rPr>
        <w:t xml:space="preserve"> – 93,0 %, 93,2 %, 88,8</w:t>
      </w:r>
      <w:r w:rsidR="002F0FC8" w:rsidRPr="00CC7883">
        <w:rPr>
          <w:rFonts w:ascii="Times New Roman" w:eastAsia="NSimSun" w:hAnsi="Times New Roman" w:cs="Times New Roman"/>
          <w:color w:val="000000" w:themeColor="text1"/>
          <w:kern w:val="3"/>
          <w:sz w:val="28"/>
          <w:szCs w:val="28"/>
          <w:lang w:eastAsia="zh-CN" w:bidi="hi-IN"/>
        </w:rPr>
        <w:t> </w:t>
      </w:r>
      <w:r w:rsidRPr="00CC7883">
        <w:rPr>
          <w:rFonts w:ascii="Times New Roman" w:eastAsia="NSimSun" w:hAnsi="Times New Roman" w:cs="Times New Roman"/>
          <w:color w:val="000000" w:themeColor="text1"/>
          <w:kern w:val="3"/>
          <w:sz w:val="28"/>
          <w:szCs w:val="28"/>
          <w:lang w:eastAsia="zh-CN" w:bidi="hi-IN"/>
        </w:rPr>
        <w:t>% відповідно. У всіх інших дослідних варіантах показники приживлюваності ініціальних експлантів винограду були на рівні середніх контрольних значень.</w:t>
      </w:r>
    </w:p>
    <w:p w:rsidR="00796030" w:rsidRPr="00CC7883" w:rsidRDefault="00796030"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Слід зазначити, що у варіантах, де поживне середовище містило більшу кількість фітогормонів (0,5 мг/л 6-БАП; 0,6 мг/л ІОК) приживлюваність ініціальних експлантів загалом була меншою. Це другий (контроль), четвертий, шостий, восьмий, десятий і дванадцятий варіанти. Для підщепних сортів винограду показник приживлюваності у середньому дорівнював 86,4–87,6 %, для технічних сортів – 84,2–85,9 %, при 84,5 % (технічні сорти) та 85,0 % (підщепні сорти) у контролі 2.</w:t>
      </w:r>
    </w:p>
    <w:p w:rsidR="00796030" w:rsidRPr="00CC7883" w:rsidRDefault="00796030" w:rsidP="00047411">
      <w:pPr>
        <w:widowControl w:val="0"/>
        <w:autoSpaceDN w:val="0"/>
        <w:spacing w:after="0" w:line="360" w:lineRule="auto"/>
        <w:ind w:firstLine="709"/>
        <w:jc w:val="both"/>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i/>
          <w:iCs/>
          <w:color w:val="000000" w:themeColor="text1"/>
          <w:kern w:val="3"/>
          <w:sz w:val="28"/>
          <w:szCs w:val="28"/>
          <w:lang w:eastAsia="zh-CN" w:bidi="hi-IN"/>
        </w:rPr>
        <w:t>Поживні субстрати</w:t>
      </w:r>
      <w:r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bCs/>
          <w:color w:val="000000" w:themeColor="text1"/>
          <w:kern w:val="3"/>
          <w:sz w:val="28"/>
          <w:szCs w:val="28"/>
          <w:lang w:eastAsia="zh-CN" w:bidi="hi-IN"/>
        </w:rPr>
        <w:t>Згідно з результатами дослідження, на поживних мінеральних субстратах частка відбракованих ініціальних експлантів винограду становила 35,6 % для підщепних сортів та 38,1 % для технічних сортів. Найбільшою була кількість відбракованих експлантів у третьому (агроперліт) і четвертому (вермикуліт) варіантах – це 29,7–34,3 % і 43,7–50,3</w:t>
      </w:r>
      <w:r w:rsidR="002F0FC8" w:rsidRPr="00CC7883">
        <w:rPr>
          <w:rFonts w:ascii="Times New Roman" w:eastAsia="NSimSun" w:hAnsi="Times New Roman" w:cs="Times New Roman"/>
          <w:bCs/>
          <w:color w:val="000000" w:themeColor="text1"/>
          <w:kern w:val="3"/>
          <w:sz w:val="28"/>
          <w:szCs w:val="28"/>
          <w:lang w:eastAsia="zh-CN" w:bidi="hi-IN"/>
        </w:rPr>
        <w:t> </w:t>
      </w:r>
      <w:r w:rsidRPr="00CC7883">
        <w:rPr>
          <w:rFonts w:ascii="Times New Roman" w:eastAsia="NSimSun" w:hAnsi="Times New Roman" w:cs="Times New Roman"/>
          <w:bCs/>
          <w:color w:val="000000" w:themeColor="text1"/>
          <w:kern w:val="3"/>
          <w:sz w:val="28"/>
          <w:szCs w:val="28"/>
          <w:lang w:eastAsia="zh-CN" w:bidi="hi-IN"/>
        </w:rPr>
        <w:t>% (підщепні сорти), 37,0–40,0 % і 44,0–46,0 % (технічні сорти). У п’ятому варіанті (агроперліт + вермикуліт) відбракованих ініціальних експлантів було менше у середньому на 5,9 і 16,7 % порівняно з вищевказаними дослідними варіантами та більше в середньому на 17,9 % порівняно з контролями.</w:t>
      </w:r>
    </w:p>
    <w:p w:rsidR="00796030" w:rsidRPr="00CC7883" w:rsidRDefault="00796030" w:rsidP="00047411">
      <w:pPr>
        <w:widowControl w:val="0"/>
        <w:autoSpaceDN w:val="0"/>
        <w:spacing w:after="0" w:line="360" w:lineRule="auto"/>
        <w:ind w:firstLine="709"/>
        <w:jc w:val="both"/>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bCs/>
          <w:color w:val="000000" w:themeColor="text1"/>
          <w:kern w:val="3"/>
          <w:sz w:val="28"/>
          <w:szCs w:val="28"/>
          <w:lang w:eastAsia="zh-CN" w:bidi="hi-IN"/>
        </w:rPr>
        <w:t>Приживлюваність ініціальних експлантів винограду в дослідних варіантах була нижчою порівняно з контролями на 24,2 % (підщепні сорти) і 34,3 % (технічні сорти). У контрольних варіантах приживлюваність дорівнювала в середньому 88,9 % («Добриня») і 88,8 % («Гарант»), 89,1 %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bCs/>
          <w:color w:val="000000" w:themeColor="text1"/>
          <w:kern w:val="3"/>
          <w:sz w:val="28"/>
          <w:szCs w:val="28"/>
          <w:lang w:eastAsia="zh-CN" w:bidi="hi-IN"/>
        </w:rPr>
        <w:t>) і 87,3 %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bCs/>
          <w:color w:val="000000" w:themeColor="text1"/>
          <w:kern w:val="3"/>
          <w:sz w:val="28"/>
          <w:szCs w:val="28"/>
          <w:lang w:eastAsia="zh-CN" w:bidi="hi-IN"/>
        </w:rPr>
        <w:t>)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bCs/>
          <w:color w:val="000000" w:themeColor="text1"/>
          <w:kern w:val="3"/>
          <w:sz w:val="28"/>
          <w:szCs w:val="28"/>
          <w:lang w:eastAsia="zh-CN" w:bidi="hi-IN"/>
        </w:rPr>
        <w:t>3.2).</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hAnsi="Times New Roman" w:cs="Times New Roman"/>
          <w:noProof/>
          <w:color w:val="000000" w:themeColor="text1"/>
          <w:lang w:val="ru-RU" w:eastAsia="ru-RU"/>
        </w:rPr>
        <w:lastRenderedPageBreak/>
        <w:drawing>
          <wp:inline distT="0" distB="0" distL="0" distR="0">
            <wp:extent cx="5829300" cy="3944203"/>
            <wp:effectExtent l="19050" t="0" r="19050" b="0"/>
            <wp:docPr id="2" name="Диаграмма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bCs/>
          <w:iCs/>
          <w:color w:val="000000" w:themeColor="text1"/>
          <w:kern w:val="3"/>
          <w:sz w:val="28"/>
          <w:szCs w:val="28"/>
          <w:lang w:eastAsia="zh-CN" w:bidi="hi-IN"/>
        </w:rPr>
      </w:pPr>
      <w:r w:rsidRPr="00CC7883">
        <w:rPr>
          <w:rFonts w:ascii="Times New Roman" w:eastAsia="NSimSun" w:hAnsi="Times New Roman" w:cs="Times New Roman"/>
          <w:bCs/>
          <w:color w:val="000000" w:themeColor="text1"/>
          <w:kern w:val="3"/>
          <w:sz w:val="28"/>
          <w:szCs w:val="28"/>
          <w:lang w:eastAsia="zh-CN" w:bidi="hi-IN"/>
        </w:rPr>
        <w:t xml:space="preserve">Рис. 3.2. </w:t>
      </w:r>
      <w:r w:rsidRPr="00CC7883">
        <w:rPr>
          <w:rFonts w:ascii="Times New Roman" w:eastAsia="NSimSun" w:hAnsi="Times New Roman" w:cs="Times New Roman"/>
          <w:bCs/>
          <w:iCs/>
          <w:color w:val="000000" w:themeColor="text1"/>
          <w:kern w:val="3"/>
          <w:sz w:val="28"/>
          <w:szCs w:val="28"/>
          <w:lang w:eastAsia="zh-CN" w:bidi="hi-IN"/>
        </w:rPr>
        <w:t>Приживлюваність ініціальних експлантів винограду на різних типах поживних субстратів (середнє за 2019–2022 рр.)</w:t>
      </w:r>
    </w:p>
    <w:p w:rsidR="00796030" w:rsidRPr="00CC7883" w:rsidRDefault="00796030" w:rsidP="00047411">
      <w:pPr>
        <w:widowControl w:val="0"/>
        <w:autoSpaceDN w:val="0"/>
        <w:spacing w:after="0" w:line="360" w:lineRule="auto"/>
        <w:ind w:firstLine="709"/>
        <w:jc w:val="both"/>
        <w:textAlignment w:val="baseline"/>
        <w:rPr>
          <w:rFonts w:ascii="Times New Roman" w:eastAsia="NSimSun" w:hAnsi="Times New Roman" w:cs="Times New Roman"/>
          <w:bCs/>
          <w:color w:val="000000" w:themeColor="text1"/>
          <w:kern w:val="3"/>
          <w:sz w:val="28"/>
          <w:szCs w:val="28"/>
          <w:lang w:eastAsia="zh-CN" w:bidi="hi-IN"/>
        </w:rPr>
      </w:pPr>
    </w:p>
    <w:p w:rsidR="00796030" w:rsidRPr="00CC7883" w:rsidRDefault="00796030" w:rsidP="00047411">
      <w:pPr>
        <w:widowControl w:val="0"/>
        <w:autoSpaceDN w:val="0"/>
        <w:spacing w:after="0" w:line="360" w:lineRule="auto"/>
        <w:ind w:firstLine="709"/>
        <w:jc w:val="both"/>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bCs/>
          <w:color w:val="000000" w:themeColor="text1"/>
          <w:kern w:val="3"/>
          <w:sz w:val="28"/>
          <w:szCs w:val="28"/>
          <w:lang w:eastAsia="zh-CN" w:bidi="hi-IN"/>
        </w:rPr>
        <w:t xml:space="preserve">При порівнянні дослідних варіантів найкращі результати </w:t>
      </w:r>
      <w:r w:rsidR="00813771">
        <w:rPr>
          <w:rFonts w:ascii="Times New Roman" w:eastAsia="NSimSun" w:hAnsi="Times New Roman" w:cs="Times New Roman"/>
          <w:bCs/>
          <w:color w:val="000000" w:themeColor="text1"/>
          <w:kern w:val="3"/>
          <w:sz w:val="28"/>
          <w:szCs w:val="28"/>
          <w:lang w:eastAsia="zh-CN" w:bidi="hi-IN"/>
        </w:rPr>
        <w:t>щодо</w:t>
      </w:r>
      <w:r w:rsidRPr="00CC7883">
        <w:rPr>
          <w:rFonts w:ascii="Times New Roman" w:eastAsia="NSimSun" w:hAnsi="Times New Roman" w:cs="Times New Roman"/>
          <w:bCs/>
          <w:color w:val="000000" w:themeColor="text1"/>
          <w:kern w:val="3"/>
          <w:sz w:val="28"/>
          <w:szCs w:val="28"/>
          <w:lang w:eastAsia="zh-CN" w:bidi="hi-IN"/>
        </w:rPr>
        <w:t xml:space="preserve"> приживлюван</w:t>
      </w:r>
      <w:r w:rsidR="00813771">
        <w:rPr>
          <w:rFonts w:ascii="Times New Roman" w:eastAsia="NSimSun" w:hAnsi="Times New Roman" w:cs="Times New Roman"/>
          <w:bCs/>
          <w:color w:val="000000" w:themeColor="text1"/>
          <w:kern w:val="3"/>
          <w:sz w:val="28"/>
          <w:szCs w:val="28"/>
          <w:lang w:eastAsia="zh-CN" w:bidi="hi-IN"/>
        </w:rPr>
        <w:t>ості</w:t>
      </w:r>
      <w:r w:rsidRPr="00CC7883">
        <w:rPr>
          <w:rFonts w:ascii="Times New Roman" w:eastAsia="NSimSun" w:hAnsi="Times New Roman" w:cs="Times New Roman"/>
          <w:bCs/>
          <w:color w:val="000000" w:themeColor="text1"/>
          <w:kern w:val="3"/>
          <w:sz w:val="28"/>
          <w:szCs w:val="28"/>
          <w:lang w:eastAsia="zh-CN" w:bidi="hi-IN"/>
        </w:rPr>
        <w:t xml:space="preserve"> було отримано на поживному субстраті </w:t>
      </w:r>
      <w:r w:rsidR="00C94822">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bCs/>
          <w:color w:val="000000" w:themeColor="text1"/>
          <w:kern w:val="3"/>
          <w:sz w:val="28"/>
          <w:szCs w:val="28"/>
          <w:lang w:eastAsia="zh-CN" w:bidi="hi-IN"/>
        </w:rPr>
        <w:t>агроперліт (третій варіант): 76,7 % («Добриня»), 83,3 % («Гарант»), 75,0 %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bCs/>
          <w:color w:val="000000" w:themeColor="text1"/>
          <w:kern w:val="3"/>
          <w:sz w:val="28"/>
          <w:szCs w:val="28"/>
          <w:lang w:eastAsia="zh-CN" w:bidi="hi-IN"/>
        </w:rPr>
        <w:t>), 50,0 %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bCs/>
          <w:color w:val="000000" w:themeColor="text1"/>
          <w:kern w:val="3"/>
          <w:sz w:val="28"/>
          <w:szCs w:val="28"/>
          <w:lang w:eastAsia="zh-CN" w:bidi="hi-IN"/>
        </w:rPr>
        <w:t xml:space="preserve">). Проте </w:t>
      </w:r>
      <w:r w:rsidR="005E11E7">
        <w:rPr>
          <w:rFonts w:ascii="Times New Roman" w:eastAsia="NSimSun" w:hAnsi="Times New Roman" w:cs="Times New Roman"/>
          <w:bCs/>
          <w:color w:val="000000" w:themeColor="text1"/>
          <w:kern w:val="3"/>
          <w:sz w:val="28"/>
          <w:szCs w:val="28"/>
          <w:lang w:eastAsia="zh-CN" w:bidi="hi-IN"/>
        </w:rPr>
        <w:t>п</w:t>
      </w:r>
      <w:r w:rsidR="005E11E7">
        <w:rPr>
          <w:rFonts w:ascii="Times New Roman" w:eastAsia="NSimSun" w:hAnsi="Times New Roman" w:cs="Times New Roman"/>
          <w:color w:val="000000" w:themeColor="text1"/>
          <w:kern w:val="3"/>
          <w:sz w:val="28"/>
          <w:szCs w:val="28"/>
        </w:rPr>
        <w:t>орівняно</w:t>
      </w:r>
      <w:r w:rsidRPr="00CC7883">
        <w:rPr>
          <w:rFonts w:ascii="Times New Roman" w:eastAsia="NSimSun" w:hAnsi="Times New Roman" w:cs="Times New Roman"/>
          <w:bCs/>
          <w:color w:val="000000" w:themeColor="text1"/>
          <w:kern w:val="3"/>
          <w:sz w:val="28"/>
          <w:szCs w:val="28"/>
          <w:lang w:eastAsia="zh-CN" w:bidi="hi-IN"/>
        </w:rPr>
        <w:t xml:space="preserve"> з контролями вона зменшувалась на </w:t>
      </w:r>
      <w:r w:rsidRPr="00CC7883">
        <w:rPr>
          <w:rFonts w:ascii="Times New Roman" w:eastAsia="NSimSun" w:hAnsi="Times New Roman" w:cs="Times New Roman"/>
          <w:color w:val="000000" w:themeColor="text1"/>
          <w:kern w:val="3"/>
          <w:sz w:val="28"/>
          <w:szCs w:val="28"/>
          <w:lang w:eastAsia="zh-CN" w:bidi="hi-IN"/>
        </w:rPr>
        <w:t>8,9</w:t>
      </w:r>
      <w:r w:rsidR="004B7F24">
        <w:rPr>
          <w:rFonts w:ascii="Times New Roman" w:eastAsia="NSimSun" w:hAnsi="Times New Roman" w:cs="Times New Roman"/>
          <w:color w:val="000000" w:themeColor="text1"/>
          <w:kern w:val="3"/>
          <w:sz w:val="28"/>
          <w:szCs w:val="28"/>
          <w:lang w:eastAsia="zh-CN" w:bidi="hi-IN"/>
        </w:rPr>
        <w:t> </w:t>
      </w:r>
      <w:r w:rsidRPr="00CC7883">
        <w:rPr>
          <w:rFonts w:ascii="Times New Roman" w:eastAsia="NSimSun" w:hAnsi="Times New Roman" w:cs="Times New Roman"/>
          <w:color w:val="000000" w:themeColor="text1"/>
          <w:kern w:val="3"/>
          <w:sz w:val="28"/>
          <w:szCs w:val="28"/>
          <w:lang w:eastAsia="zh-CN" w:bidi="hi-IN"/>
        </w:rPr>
        <w:t>%</w:t>
      </w:r>
      <w:r w:rsidR="002F0FC8"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bCs/>
          <w:color w:val="000000" w:themeColor="text1"/>
          <w:kern w:val="3"/>
          <w:sz w:val="28"/>
          <w:szCs w:val="28"/>
          <w:lang w:eastAsia="zh-CN" w:bidi="hi-IN"/>
        </w:rPr>
        <w:t xml:space="preserve">(підщепні сорти), </w:t>
      </w:r>
      <w:r w:rsidRPr="00CC7883">
        <w:rPr>
          <w:rFonts w:ascii="Times New Roman" w:eastAsia="NSimSun" w:hAnsi="Times New Roman" w:cs="Times New Roman"/>
          <w:color w:val="000000" w:themeColor="text1"/>
          <w:kern w:val="3"/>
          <w:sz w:val="28"/>
          <w:szCs w:val="28"/>
          <w:lang w:eastAsia="zh-CN" w:bidi="hi-IN"/>
        </w:rPr>
        <w:t>25,7 %</w:t>
      </w:r>
      <w:r w:rsidRPr="00CC7883">
        <w:rPr>
          <w:rFonts w:ascii="Times New Roman" w:eastAsia="NSimSun" w:hAnsi="Times New Roman" w:cs="Times New Roman"/>
          <w:bCs/>
          <w:color w:val="000000" w:themeColor="text1"/>
          <w:kern w:val="3"/>
          <w:sz w:val="28"/>
          <w:szCs w:val="28"/>
          <w:lang w:eastAsia="zh-CN" w:bidi="hi-IN"/>
        </w:rPr>
        <w:t xml:space="preserve"> (технічні сорти)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bCs/>
          <w:color w:val="000000" w:themeColor="text1"/>
          <w:kern w:val="3"/>
          <w:sz w:val="28"/>
          <w:szCs w:val="28"/>
          <w:lang w:eastAsia="zh-CN" w:bidi="hi-IN"/>
        </w:rPr>
        <w:t>3.3).</w:t>
      </w:r>
    </w:p>
    <w:p w:rsidR="00103069" w:rsidRPr="00CC7883" w:rsidRDefault="00103069" w:rsidP="00047411">
      <w:pPr>
        <w:widowControl w:val="0"/>
        <w:autoSpaceDN w:val="0"/>
        <w:spacing w:after="0" w:line="360" w:lineRule="auto"/>
        <w:ind w:firstLine="567"/>
        <w:jc w:val="both"/>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bCs/>
          <w:color w:val="000000" w:themeColor="text1"/>
          <w:kern w:val="3"/>
          <w:sz w:val="28"/>
          <w:szCs w:val="28"/>
          <w:lang w:eastAsia="uk-UA"/>
        </w:rPr>
        <w:tab/>
      </w:r>
      <w:r w:rsidRPr="00CC7883">
        <w:rPr>
          <w:rFonts w:ascii="Times New Roman" w:eastAsia="NSimSun" w:hAnsi="Times New Roman" w:cs="Times New Roman"/>
          <w:bCs/>
          <w:color w:val="000000" w:themeColor="text1"/>
          <w:kern w:val="3"/>
          <w:sz w:val="28"/>
          <w:szCs w:val="28"/>
          <w:lang w:eastAsia="zh-CN" w:bidi="hi-IN"/>
        </w:rPr>
        <w:t>Після висаджування ініціальних експлантів винограду підщепних і технічних сортів на поживний субстрат вермикуліт (четвертий варіант) показник приживлюваності знижувався відносно варіанту з агроперлітом на 13,3 і 26,7 % («Добриня» і «Гарант» відповідно) та на 20,0 і 10,0 %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bCs/>
          <w:color w:val="000000" w:themeColor="text1"/>
          <w:kern w:val="3"/>
          <w:sz w:val="28"/>
          <w:szCs w:val="28"/>
          <w:lang w:eastAsia="zh-CN" w:bidi="hi-IN"/>
        </w:rPr>
        <w:t xml:space="preserve"> і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bCs/>
          <w:color w:val="000000" w:themeColor="text1"/>
          <w:kern w:val="3"/>
          <w:sz w:val="28"/>
          <w:szCs w:val="28"/>
          <w:lang w:eastAsia="zh-CN" w:bidi="hi-IN"/>
        </w:rPr>
        <w:t xml:space="preserve"> відповідно); відносно контролю – на 25,6 і 32,2 % («Добриня» і «Гарант» відповідно) та на 34,1 і 47,3 %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bCs/>
          <w:color w:val="000000" w:themeColor="text1"/>
          <w:kern w:val="3"/>
          <w:sz w:val="28"/>
          <w:szCs w:val="28"/>
          <w:lang w:eastAsia="zh-CN" w:bidi="hi-IN"/>
        </w:rPr>
        <w:t xml:space="preserve"> і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bCs/>
          <w:color w:val="000000" w:themeColor="text1"/>
          <w:kern w:val="3"/>
          <w:sz w:val="28"/>
          <w:szCs w:val="28"/>
          <w:lang w:eastAsia="zh-CN" w:bidi="hi-IN"/>
        </w:rPr>
        <w:t xml:space="preserve"> відповідно)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bCs/>
          <w:color w:val="000000" w:themeColor="text1"/>
          <w:kern w:val="3"/>
          <w:sz w:val="28"/>
          <w:szCs w:val="28"/>
          <w:lang w:eastAsia="zh-CN" w:bidi="hi-IN"/>
        </w:rPr>
        <w:t>3.4).</w:t>
      </w:r>
    </w:p>
    <w:p w:rsidR="00103069" w:rsidRPr="00CC7883" w:rsidRDefault="00103069" w:rsidP="00047411">
      <w:pPr>
        <w:widowControl w:val="0"/>
        <w:autoSpaceDN w:val="0"/>
        <w:spacing w:after="0" w:line="360" w:lineRule="auto"/>
        <w:textAlignment w:val="baseline"/>
        <w:rPr>
          <w:rFonts w:ascii="Times New Roman" w:eastAsia="NSimSun" w:hAnsi="Times New Roman" w:cs="Times New Roman"/>
          <w:bCs/>
          <w:color w:val="000000" w:themeColor="text1"/>
          <w:kern w:val="3"/>
          <w:sz w:val="28"/>
          <w:szCs w:val="28"/>
          <w:lang w:eastAsia="uk-UA"/>
        </w:rPr>
      </w:pPr>
    </w:p>
    <w:p w:rsidR="00103069" w:rsidRPr="00CC7883" w:rsidRDefault="00103069"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uk-UA"/>
        </w:rPr>
      </w:pPr>
    </w:p>
    <w:p w:rsidR="00103069" w:rsidRPr="00CC7883" w:rsidRDefault="00103069"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uk-UA"/>
        </w:rPr>
      </w:pP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uk-UA"/>
        </w:rPr>
      </w:pPr>
      <w:r w:rsidRPr="00CC7883">
        <w:rPr>
          <w:rFonts w:ascii="Times New Roman" w:eastAsia="NSimSun" w:hAnsi="Times New Roman" w:cs="Times New Roman"/>
          <w:bCs/>
          <w:noProof/>
          <w:color w:val="000000" w:themeColor="text1"/>
          <w:kern w:val="3"/>
          <w:sz w:val="28"/>
          <w:szCs w:val="28"/>
          <w:lang w:val="ru-RU" w:eastAsia="ru-RU"/>
        </w:rPr>
        <w:drawing>
          <wp:inline distT="0" distB="0" distL="0" distR="0">
            <wp:extent cx="3275542" cy="3032909"/>
            <wp:effectExtent l="19050" t="19050" r="20320" b="15240"/>
            <wp:docPr id="189814697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referRelativeResize="0">
                      <a:picLocks noChangeAspect="1" noChangeArrowheads="1"/>
                    </pic:cNvPicPr>
                  </pic:nvPicPr>
                  <pic:blipFill rotWithShape="1">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0077" t="3404" r="8139"/>
                    <a:stretch>
                      <a:fillRect/>
                    </a:stretch>
                  </pic:blipFill>
                  <pic:spPr bwMode="auto">
                    <a:xfrm>
                      <a:off x="0" y="0"/>
                      <a:ext cx="3291116" cy="3047329"/>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96030" w:rsidRPr="00CC7883" w:rsidRDefault="00796030" w:rsidP="00047411">
      <w:pPr>
        <w:widowControl w:val="0"/>
        <w:jc w:val="center"/>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Контроль</w:t>
      </w:r>
      <w:r w:rsidRPr="00CC7883">
        <w:rPr>
          <w:rFonts w:ascii="Times New Roman" w:eastAsia="NSimSun" w:hAnsi="Times New Roman" w:cs="Times New Roman"/>
          <w:color w:val="000000" w:themeColor="text1"/>
          <w:kern w:val="3"/>
          <w:sz w:val="28"/>
          <w:szCs w:val="28"/>
          <w:lang w:eastAsia="zh-CN" w:bidi="hi-IN"/>
        </w:rPr>
        <w:tab/>
      </w:r>
    </w:p>
    <w:p w:rsidR="00103069" w:rsidRPr="00CC7883" w:rsidRDefault="00103069" w:rsidP="00047411">
      <w:pPr>
        <w:widowControl w:val="0"/>
        <w:jc w:val="center"/>
        <w:rPr>
          <w:rFonts w:ascii="Times New Roman" w:eastAsia="NSimSun" w:hAnsi="Times New Roman" w:cs="Times New Roman"/>
          <w:color w:val="000000" w:themeColor="text1"/>
          <w:lang w:eastAsia="zh-CN" w:bidi="hi-IN"/>
        </w:rPr>
      </w:pP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noProof/>
          <w:color w:val="000000" w:themeColor="text1"/>
          <w:kern w:val="3"/>
          <w:lang w:val="ru-RU" w:eastAsia="ru-RU"/>
        </w:rPr>
        <w:drawing>
          <wp:inline distT="0" distB="0" distL="0" distR="0">
            <wp:extent cx="5772150" cy="3211038"/>
            <wp:effectExtent l="19050" t="19050" r="19050" b="27940"/>
            <wp:docPr id="1909237772" name="Рисунок 1" descr="Зображення, що містить у приміщенні, Контейнери для зберігання продуктів, Банка, Консервована їж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237772" name="Рисунок 1" descr="Зображення, що містить у приміщенні, Контейнери для зберігання продуктів, Банка, Консервована їжа&#10;&#10;Автоматично згенерований опис"/>
                    <pic:cNvPicPr preferRelativeResize="0"/>
                  </pic:nvPicPr>
                  <pic:blipFill rotWithShape="1">
                    <a:blip r:embed="rId33" cstate="print"/>
                    <a:srcRect r="6193"/>
                    <a:stretch>
                      <a:fillRect/>
                    </a:stretch>
                  </pic:blipFill>
                  <pic:spPr bwMode="auto">
                    <a:xfrm>
                      <a:off x="0" y="0"/>
                      <a:ext cx="5797789" cy="3225301"/>
                    </a:xfrm>
                    <a:prstGeom prst="rect">
                      <a:avLst/>
                    </a:prstGeom>
                    <a:ln w="9525" cap="flat" cmpd="sng" algn="ctr">
                      <a:solidFill>
                        <a:sysClr val="windowText" lastClr="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96030" w:rsidRPr="00CC7883" w:rsidRDefault="00796030" w:rsidP="00047411">
      <w:pPr>
        <w:widowControl w:val="0"/>
        <w:autoSpaceDN w:val="0"/>
        <w:spacing w:after="0" w:line="360" w:lineRule="auto"/>
        <w:ind w:left="708" w:firstLine="708"/>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ab/>
      </w:r>
      <w:r w:rsidRPr="00CC7883">
        <w:rPr>
          <w:rFonts w:ascii="Times New Roman" w:eastAsia="NSimSun" w:hAnsi="Times New Roman" w:cs="Times New Roman"/>
          <w:color w:val="000000" w:themeColor="text1"/>
          <w:kern w:val="3"/>
          <w:sz w:val="28"/>
          <w:szCs w:val="28"/>
          <w:lang w:eastAsia="zh-CN" w:bidi="hi-IN"/>
        </w:rPr>
        <w:tab/>
      </w:r>
      <w:r w:rsidRPr="00CC7883">
        <w:rPr>
          <w:rFonts w:ascii="Times New Roman" w:eastAsia="NSimSun" w:hAnsi="Times New Roman" w:cs="Times New Roman"/>
          <w:color w:val="000000" w:themeColor="text1"/>
          <w:kern w:val="3"/>
          <w:sz w:val="28"/>
          <w:szCs w:val="28"/>
          <w:lang w:eastAsia="zh-CN" w:bidi="hi-IN"/>
        </w:rPr>
        <w:tab/>
      </w:r>
      <w:r w:rsidRPr="00CC7883">
        <w:rPr>
          <w:rFonts w:ascii="Times New Roman" w:eastAsia="NSimSun" w:hAnsi="Times New Roman" w:cs="Times New Roman"/>
          <w:color w:val="000000" w:themeColor="text1"/>
          <w:kern w:val="3"/>
          <w:sz w:val="28"/>
          <w:szCs w:val="28"/>
          <w:lang w:eastAsia="zh-CN" w:bidi="hi-IN"/>
        </w:rPr>
        <w:tab/>
      </w:r>
      <w:r w:rsidRPr="00CC7883">
        <w:rPr>
          <w:rFonts w:ascii="Times New Roman" w:eastAsia="NSimSun" w:hAnsi="Times New Roman" w:cs="Times New Roman"/>
          <w:color w:val="000000" w:themeColor="text1"/>
          <w:kern w:val="3"/>
          <w:sz w:val="28"/>
          <w:szCs w:val="28"/>
          <w:lang w:eastAsia="zh-CN" w:bidi="hi-IN"/>
        </w:rPr>
        <w:tab/>
        <w:t>Агроперліт</w:t>
      </w:r>
    </w:p>
    <w:p w:rsidR="00103069" w:rsidRPr="00CC7883" w:rsidRDefault="00103069" w:rsidP="00047411">
      <w:pPr>
        <w:widowControl w:val="0"/>
        <w:autoSpaceDN w:val="0"/>
        <w:spacing w:after="0" w:line="360" w:lineRule="auto"/>
        <w:ind w:left="708" w:firstLine="708"/>
        <w:textAlignment w:val="baseline"/>
        <w:rPr>
          <w:rFonts w:ascii="Times New Roman" w:eastAsia="NSimSun" w:hAnsi="Times New Roman" w:cs="Times New Roman"/>
          <w:color w:val="000000" w:themeColor="text1"/>
          <w:kern w:val="3"/>
          <w:sz w:val="28"/>
          <w:szCs w:val="28"/>
          <w:lang w:eastAsia="zh-CN" w:bidi="hi-IN"/>
        </w:rPr>
      </w:pPr>
    </w:p>
    <w:p w:rsidR="00796030" w:rsidRDefault="00796030"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bCs/>
          <w:color w:val="000000" w:themeColor="text1"/>
          <w:kern w:val="3"/>
          <w:sz w:val="28"/>
          <w:szCs w:val="28"/>
          <w:lang w:eastAsia="zh-CN" w:bidi="hi-IN"/>
        </w:rPr>
        <w:t>Рис. 3.3. Розвиток ініціальних експлантів винограду на поживному субстраті агроперліт</w:t>
      </w:r>
    </w:p>
    <w:p w:rsidR="00C634FF" w:rsidRPr="00CC7883" w:rsidRDefault="00C634FF"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zh-CN" w:bidi="hi-IN"/>
        </w:rPr>
      </w:pP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lang w:eastAsia="zh-CN" w:bidi="hi-IN"/>
        </w:rPr>
      </w:pPr>
    </w:p>
    <w:p w:rsidR="00103069" w:rsidRPr="00CC7883" w:rsidRDefault="00103069"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bCs/>
          <w:noProof/>
          <w:color w:val="000000" w:themeColor="text1"/>
          <w:kern w:val="3"/>
          <w:sz w:val="28"/>
          <w:szCs w:val="28"/>
          <w:lang w:val="ru-RU" w:eastAsia="ru-RU"/>
        </w:rPr>
        <w:drawing>
          <wp:inline distT="0" distB="0" distL="0" distR="0">
            <wp:extent cx="5280620" cy="3960000"/>
            <wp:effectExtent l="19050" t="19050" r="15280" b="21450"/>
            <wp:docPr id="1082628960" name="Рисунок 3" descr="Зображення, що містить ваза, вазон, домашня рослина, квіт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628960" name="Рисунок 3" descr="Зображення, що містить ваза, вазон, домашня рослина, квітка&#10;&#10;Автоматично згенерований опис"/>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280620" cy="3960000"/>
                    </a:xfrm>
                    <a:prstGeom prst="rect">
                      <a:avLst/>
                    </a:prstGeom>
                    <a:noFill/>
                    <a:ln>
                      <a:solidFill>
                        <a:sysClr val="windowText" lastClr="000000"/>
                      </a:solidFill>
                    </a:ln>
                  </pic:spPr>
                </pic:pic>
              </a:graphicData>
            </a:graphic>
          </wp:inline>
        </w:drawing>
      </w:r>
    </w:p>
    <w:p w:rsidR="00103069"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32"/>
          <w:lang w:eastAsia="zh-CN" w:bidi="hi-IN"/>
        </w:rPr>
        <w:t xml:space="preserve">  Контроль</w:t>
      </w:r>
    </w:p>
    <w:p w:rsidR="00103069" w:rsidRPr="00CC7883" w:rsidRDefault="00103069"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noProof/>
          <w:color w:val="000000" w:themeColor="text1"/>
          <w:kern w:val="3"/>
          <w:lang w:val="ru-RU" w:eastAsia="ru-RU"/>
        </w:rPr>
        <w:drawing>
          <wp:inline distT="0" distB="0" distL="0" distR="0">
            <wp:extent cx="5901022" cy="2878529"/>
            <wp:effectExtent l="19050" t="19050" r="23528" b="17071"/>
            <wp:docPr id="301440339" name="Рисунок 1" descr="Зображення, що містить у приміщенні, Банка, Контейнери для зберігання продуктів, рослин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440339" name="Рисунок 1" descr="Зображення, що містить у приміщенні, Банка, Контейнери для зберігання продуктів, рослина&#10;&#10;Автоматично згенерований опис"/>
                    <pic:cNvPicPr preferRelativeResize="0"/>
                  </pic:nvPicPr>
                  <pic:blipFill>
                    <a:blip r:embed="rId35" cstate="print"/>
                    <a:stretch>
                      <a:fillRect/>
                    </a:stretch>
                  </pic:blipFill>
                  <pic:spPr>
                    <a:xfrm>
                      <a:off x="0" y="0"/>
                      <a:ext cx="5932614" cy="2893940"/>
                    </a:xfrm>
                    <a:prstGeom prst="rect">
                      <a:avLst/>
                    </a:prstGeom>
                    <a:ln>
                      <a:solidFill>
                        <a:sysClr val="windowText" lastClr="000000"/>
                      </a:solidFill>
                    </a:ln>
                  </pic:spPr>
                </pic:pic>
              </a:graphicData>
            </a:graphic>
          </wp:inline>
        </w:drawing>
      </w:r>
    </w:p>
    <w:p w:rsidR="00796030" w:rsidRPr="00CC7883" w:rsidRDefault="00796030" w:rsidP="00047411">
      <w:pPr>
        <w:widowControl w:val="0"/>
        <w:autoSpaceDN w:val="0"/>
        <w:spacing w:after="0" w:line="360" w:lineRule="auto"/>
        <w:ind w:left="708" w:firstLine="708"/>
        <w:textAlignment w:val="baseline"/>
        <w:rPr>
          <w:rFonts w:ascii="Times New Roman" w:eastAsia="NSimSun" w:hAnsi="Times New Roman" w:cs="Times New Roman"/>
          <w:color w:val="000000" w:themeColor="text1"/>
          <w:kern w:val="3"/>
          <w:sz w:val="28"/>
          <w:szCs w:val="32"/>
          <w:lang w:eastAsia="zh-CN" w:bidi="hi-IN"/>
        </w:rPr>
      </w:pPr>
      <w:r w:rsidRPr="00CC7883">
        <w:rPr>
          <w:rFonts w:ascii="Times New Roman" w:eastAsia="NSimSun" w:hAnsi="Times New Roman" w:cs="Times New Roman"/>
          <w:color w:val="000000" w:themeColor="text1"/>
          <w:kern w:val="3"/>
          <w:sz w:val="28"/>
          <w:szCs w:val="32"/>
          <w:lang w:eastAsia="zh-CN" w:bidi="hi-IN"/>
        </w:rPr>
        <w:tab/>
      </w:r>
      <w:r w:rsidRPr="00CC7883">
        <w:rPr>
          <w:rFonts w:ascii="Times New Roman" w:eastAsia="NSimSun" w:hAnsi="Times New Roman" w:cs="Times New Roman"/>
          <w:color w:val="000000" w:themeColor="text1"/>
          <w:kern w:val="3"/>
          <w:sz w:val="28"/>
          <w:szCs w:val="32"/>
          <w:lang w:eastAsia="zh-CN" w:bidi="hi-IN"/>
        </w:rPr>
        <w:tab/>
      </w:r>
      <w:r w:rsidRPr="00CC7883">
        <w:rPr>
          <w:rFonts w:ascii="Times New Roman" w:eastAsia="NSimSun" w:hAnsi="Times New Roman" w:cs="Times New Roman"/>
          <w:color w:val="000000" w:themeColor="text1"/>
          <w:kern w:val="3"/>
          <w:sz w:val="28"/>
          <w:szCs w:val="32"/>
          <w:lang w:eastAsia="zh-CN" w:bidi="hi-IN"/>
        </w:rPr>
        <w:tab/>
        <w:t xml:space="preserve">      </w:t>
      </w:r>
      <w:r w:rsidR="002F0FC8" w:rsidRPr="00CC7883">
        <w:rPr>
          <w:rFonts w:ascii="Times New Roman" w:eastAsia="NSimSun" w:hAnsi="Times New Roman" w:cs="Times New Roman"/>
          <w:color w:val="000000" w:themeColor="text1"/>
          <w:kern w:val="3"/>
          <w:sz w:val="28"/>
          <w:szCs w:val="32"/>
          <w:lang w:eastAsia="zh-CN" w:bidi="hi-IN"/>
        </w:rPr>
        <w:t xml:space="preserve">           </w:t>
      </w:r>
      <w:r w:rsidRPr="00CC7883">
        <w:rPr>
          <w:rFonts w:ascii="Times New Roman" w:eastAsia="NSimSun" w:hAnsi="Times New Roman" w:cs="Times New Roman"/>
          <w:color w:val="000000" w:themeColor="text1"/>
          <w:kern w:val="3"/>
          <w:sz w:val="28"/>
          <w:szCs w:val="32"/>
          <w:lang w:eastAsia="zh-CN" w:bidi="hi-IN"/>
        </w:rPr>
        <w:t>Вермикуліт</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 xml:space="preserve">Рис. 3.4. </w:t>
      </w:r>
      <w:r w:rsidRPr="00CC7883">
        <w:rPr>
          <w:rFonts w:ascii="Times New Roman" w:eastAsia="NSimSun" w:hAnsi="Times New Roman" w:cs="Times New Roman"/>
          <w:bCs/>
          <w:color w:val="000000" w:themeColor="text1"/>
          <w:kern w:val="3"/>
          <w:sz w:val="28"/>
          <w:szCs w:val="28"/>
          <w:lang w:eastAsia="zh-CN" w:bidi="hi-IN"/>
        </w:rPr>
        <w:t xml:space="preserve">Розвиток ініціальних експлантів винограду на поживному субстраті вермикуліт </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lang w:eastAsia="zh-CN" w:bidi="hi-IN"/>
        </w:rPr>
      </w:pPr>
    </w:p>
    <w:p w:rsidR="00796030" w:rsidRPr="00CC7883" w:rsidRDefault="00796030" w:rsidP="00047411">
      <w:pPr>
        <w:widowControl w:val="0"/>
        <w:autoSpaceDN w:val="0"/>
        <w:spacing w:after="0" w:line="360" w:lineRule="auto"/>
        <w:ind w:firstLine="567"/>
        <w:jc w:val="both"/>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bCs/>
          <w:color w:val="000000" w:themeColor="text1"/>
          <w:kern w:val="3"/>
          <w:sz w:val="28"/>
          <w:szCs w:val="28"/>
          <w:lang w:eastAsia="zh-CN" w:bidi="hi-IN"/>
        </w:rPr>
        <w:t>Після висаджування ініціальних експлантів винограду підщепних і технічних сортів на суміш мінеральних субстратів агроперліт + вермикуліт (п’ятий варіант) показник приживлюваності знижувався відносно кращого варіанту з агроперлітом на 31,7 і 20,0 % («Добриня», «Гарант») та на 13,3 і 8,3</w:t>
      </w:r>
      <w:r w:rsidR="002F0FC8" w:rsidRPr="00CC7883">
        <w:rPr>
          <w:rFonts w:ascii="Times New Roman" w:eastAsia="NSimSun" w:hAnsi="Times New Roman" w:cs="Times New Roman"/>
          <w:bCs/>
          <w:color w:val="000000" w:themeColor="text1"/>
          <w:kern w:val="3"/>
          <w:sz w:val="28"/>
          <w:szCs w:val="28"/>
          <w:lang w:eastAsia="zh-CN" w:bidi="hi-IN"/>
        </w:rPr>
        <w:t> </w:t>
      </w:r>
      <w:r w:rsidRPr="00CC7883">
        <w:rPr>
          <w:rFonts w:ascii="Times New Roman" w:eastAsia="NSimSun" w:hAnsi="Times New Roman" w:cs="Times New Roman"/>
          <w:bCs/>
          <w:color w:val="000000" w:themeColor="text1"/>
          <w:kern w:val="3"/>
          <w:sz w:val="28"/>
          <w:szCs w:val="28"/>
          <w:lang w:eastAsia="zh-CN" w:bidi="hi-IN"/>
        </w:rPr>
        <w:t>%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bCs/>
          <w:color w:val="000000" w:themeColor="text1"/>
          <w:kern w:val="3"/>
          <w:sz w:val="28"/>
          <w:szCs w:val="28"/>
          <w:lang w:eastAsia="zh-CN" w:bidi="hi-IN"/>
        </w:rPr>
        <w:t>); відносно контролю – на 43,9 і 25,5 % («Добриня», «Гарант») та на 27,5 і 45,7 %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bCs/>
          <w:color w:val="000000" w:themeColor="text1"/>
          <w:kern w:val="3"/>
          <w:sz w:val="28"/>
          <w:szCs w:val="28"/>
          <w:lang w:eastAsia="zh-CN" w:bidi="hi-IN"/>
        </w:rPr>
        <w:t>) (</w:t>
      </w:r>
      <w:r w:rsidR="00433A0E" w:rsidRPr="00CC7883">
        <w:rPr>
          <w:rFonts w:ascii="Times New Roman" w:eastAsia="NSimSun" w:hAnsi="Times New Roman" w:cs="Times New Roman"/>
          <w:color w:val="000000" w:themeColor="text1"/>
          <w:kern w:val="3"/>
          <w:sz w:val="28"/>
          <w:szCs w:val="28"/>
          <w:lang w:eastAsia="zh-CN" w:bidi="hi-IN"/>
        </w:rPr>
        <w:t>рис.</w:t>
      </w:r>
      <w:r w:rsidR="00433A0E"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bCs/>
          <w:color w:val="000000" w:themeColor="text1"/>
          <w:kern w:val="3"/>
          <w:sz w:val="28"/>
          <w:szCs w:val="28"/>
          <w:lang w:eastAsia="zh-CN" w:bidi="hi-IN"/>
        </w:rPr>
        <w:t>3.5).</w:t>
      </w:r>
    </w:p>
    <w:p w:rsidR="0079090D" w:rsidRPr="00CC7883" w:rsidRDefault="0079090D" w:rsidP="00047411">
      <w:pPr>
        <w:widowControl w:val="0"/>
        <w:autoSpaceDN w:val="0"/>
        <w:spacing w:after="0" w:line="360" w:lineRule="auto"/>
        <w:ind w:firstLine="567"/>
        <w:jc w:val="both"/>
        <w:textAlignment w:val="baseline"/>
        <w:rPr>
          <w:rFonts w:ascii="Times New Roman" w:eastAsia="NSimSun" w:hAnsi="Times New Roman" w:cs="Times New Roman"/>
          <w:bCs/>
          <w:color w:val="000000" w:themeColor="text1"/>
          <w:kern w:val="3"/>
          <w:sz w:val="28"/>
          <w:szCs w:val="28"/>
          <w:lang w:eastAsia="zh-CN" w:bidi="hi-IN"/>
        </w:rPr>
      </w:pP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bCs/>
          <w:noProof/>
          <w:color w:val="000000" w:themeColor="text1"/>
          <w:kern w:val="3"/>
          <w:sz w:val="28"/>
          <w:szCs w:val="28"/>
          <w:lang w:val="ru-RU" w:eastAsia="ru-RU"/>
        </w:rPr>
        <w:drawing>
          <wp:inline distT="0" distB="0" distL="0" distR="0">
            <wp:extent cx="3670206" cy="2581646"/>
            <wp:effectExtent l="19050" t="19050" r="26035" b="9525"/>
            <wp:docPr id="1029736750" name="Рисунок 3" descr="Зображення, що містить ваза, вазон, домашня рослина, квіт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628960" name="Рисунок 3" descr="Зображення, що містить ваза, вазон, домашня рослина, квітка&#10;&#10;Автоматично згенерований опис"/>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34637" cy="2697308"/>
                    </a:xfrm>
                    <a:prstGeom prst="rect">
                      <a:avLst/>
                    </a:prstGeom>
                    <a:noFill/>
                    <a:ln>
                      <a:solidFill>
                        <a:sysClr val="windowText" lastClr="000000"/>
                      </a:solidFill>
                    </a:ln>
                  </pic:spPr>
                </pic:pic>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32"/>
          <w:lang w:eastAsia="zh-CN" w:bidi="hi-IN"/>
        </w:rPr>
        <w:t>Контроль</w:t>
      </w:r>
      <w:r w:rsidRPr="00CC7883">
        <w:rPr>
          <w:rFonts w:ascii="Times New Roman" w:eastAsia="NSimSun" w:hAnsi="Times New Roman" w:cs="Times New Roman"/>
          <w:noProof/>
          <w:color w:val="000000" w:themeColor="text1"/>
          <w:kern w:val="3"/>
          <w:lang w:val="ru-RU" w:eastAsia="ru-RU"/>
        </w:rPr>
        <w:drawing>
          <wp:inline distT="0" distB="0" distL="0" distR="0">
            <wp:extent cx="5916162" cy="2534145"/>
            <wp:effectExtent l="19050" t="19050" r="8890" b="19050"/>
            <wp:docPr id="1830258535" name="Рисунок 1" descr="Зображення, що містить у приміщенні, Контейнери для зберігання продуктів, Банка, криш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258535" name="Рисунок 1" descr="Зображення, що містить у приміщенні, Контейнери для зберігання продуктів, Банка, кришка&#10;&#10;Автоматично згенерований опис"/>
                    <pic:cNvPicPr/>
                  </pic:nvPicPr>
                  <pic:blipFill>
                    <a:blip r:embed="rId36" cstate="print"/>
                    <a:stretch>
                      <a:fillRect/>
                    </a:stretch>
                  </pic:blipFill>
                  <pic:spPr>
                    <a:xfrm>
                      <a:off x="0" y="0"/>
                      <a:ext cx="6173796" cy="2644501"/>
                    </a:xfrm>
                    <a:prstGeom prst="rect">
                      <a:avLst/>
                    </a:prstGeom>
                    <a:ln>
                      <a:solidFill>
                        <a:sysClr val="windowText" lastClr="000000"/>
                      </a:solidFill>
                    </a:ln>
                  </pic:spPr>
                </pic:pic>
              </a:graphicData>
            </a:graphic>
          </wp:inline>
        </w:drawing>
      </w:r>
    </w:p>
    <w:p w:rsidR="00796030" w:rsidRPr="00CC7883" w:rsidRDefault="00796030"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szCs w:val="28"/>
          <w:lang w:eastAsia="zh-CN" w:bidi="hi-IN"/>
        </w:rPr>
      </w:pPr>
      <w:bookmarkStart w:id="32" w:name="_Hlk169878400"/>
      <w:r w:rsidRPr="00CC7883">
        <w:rPr>
          <w:rFonts w:ascii="Times New Roman" w:eastAsia="NSimSun" w:hAnsi="Times New Roman" w:cs="Times New Roman"/>
          <w:color w:val="000000" w:themeColor="text1"/>
          <w:kern w:val="3"/>
          <w:sz w:val="26"/>
          <w:szCs w:val="28"/>
          <w:lang w:eastAsia="zh-CN" w:bidi="hi-IN"/>
        </w:rPr>
        <w:tab/>
      </w:r>
      <w:r w:rsidRPr="00CC7883">
        <w:rPr>
          <w:rFonts w:ascii="Times New Roman" w:eastAsia="NSimSun" w:hAnsi="Times New Roman" w:cs="Times New Roman"/>
          <w:color w:val="000000" w:themeColor="text1"/>
          <w:kern w:val="3"/>
          <w:sz w:val="26"/>
          <w:szCs w:val="28"/>
          <w:lang w:eastAsia="zh-CN" w:bidi="hi-IN"/>
        </w:rPr>
        <w:tab/>
      </w:r>
      <w:r w:rsidRPr="00CC7883">
        <w:rPr>
          <w:rFonts w:ascii="Times New Roman" w:eastAsia="NSimSun" w:hAnsi="Times New Roman" w:cs="Times New Roman"/>
          <w:color w:val="000000" w:themeColor="text1"/>
          <w:kern w:val="3"/>
          <w:sz w:val="28"/>
          <w:szCs w:val="32"/>
          <w:lang w:eastAsia="zh-CN" w:bidi="hi-IN"/>
        </w:rPr>
        <w:tab/>
      </w:r>
      <w:r w:rsidRPr="00CC7883">
        <w:rPr>
          <w:rFonts w:ascii="Times New Roman" w:eastAsia="NSimSun" w:hAnsi="Times New Roman" w:cs="Times New Roman"/>
          <w:color w:val="000000" w:themeColor="text1"/>
          <w:kern w:val="3"/>
          <w:sz w:val="28"/>
          <w:szCs w:val="32"/>
          <w:lang w:eastAsia="zh-CN" w:bidi="hi-IN"/>
        </w:rPr>
        <w:tab/>
      </w:r>
      <w:r w:rsidRPr="00CC7883">
        <w:rPr>
          <w:rFonts w:ascii="Times New Roman" w:eastAsia="NSimSun" w:hAnsi="Times New Roman" w:cs="Times New Roman"/>
          <w:color w:val="000000" w:themeColor="text1"/>
          <w:kern w:val="3"/>
          <w:sz w:val="28"/>
          <w:szCs w:val="32"/>
          <w:lang w:eastAsia="zh-CN" w:bidi="hi-IN"/>
        </w:rPr>
        <w:tab/>
        <w:t>Агроперліт + вермикуліт</w:t>
      </w:r>
    </w:p>
    <w:bookmarkEnd w:id="32"/>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bCs/>
          <w:color w:val="000000" w:themeColor="text1"/>
          <w:kern w:val="3"/>
          <w:sz w:val="28"/>
          <w:szCs w:val="28"/>
          <w:lang w:eastAsia="zh-CN" w:bidi="hi-IN"/>
        </w:rPr>
        <w:t xml:space="preserve">Рис. 3.5. </w:t>
      </w:r>
      <w:r w:rsidRPr="00CC7883">
        <w:rPr>
          <w:rFonts w:ascii="Times New Roman" w:eastAsia="NSimSun" w:hAnsi="Times New Roman" w:cs="Times New Roman"/>
          <w:color w:val="000000" w:themeColor="text1"/>
          <w:kern w:val="3"/>
          <w:sz w:val="28"/>
          <w:szCs w:val="28"/>
          <w:lang w:eastAsia="zh-CN" w:bidi="hi-IN"/>
        </w:rPr>
        <w:t xml:space="preserve">Розвиток ініціальних експлантів винограду на поживному субстраті агроперліт + вермикуліт (1:1) </w:t>
      </w:r>
    </w:p>
    <w:p w:rsidR="007B4F45" w:rsidRPr="00CC7883" w:rsidRDefault="007B4F45" w:rsidP="00047411">
      <w:pPr>
        <w:widowControl w:val="0"/>
        <w:spacing w:after="0" w:line="360" w:lineRule="auto"/>
        <w:ind w:firstLine="709"/>
        <w:jc w:val="both"/>
        <w:rPr>
          <w:rFonts w:ascii="Times New Roman" w:hAnsi="Times New Roman" w:cs="Times New Roman"/>
          <w:b/>
          <w:bCs/>
          <w:color w:val="000000" w:themeColor="text1"/>
          <w:sz w:val="28"/>
          <w:szCs w:val="28"/>
        </w:rPr>
      </w:pPr>
    </w:p>
    <w:p w:rsidR="00796030" w:rsidRPr="00CC7883" w:rsidRDefault="00796030" w:rsidP="00047411">
      <w:pPr>
        <w:widowControl w:val="0"/>
        <w:spacing w:after="0" w:line="360" w:lineRule="auto"/>
        <w:ind w:firstLine="709"/>
        <w:jc w:val="both"/>
        <w:outlineLvl w:val="1"/>
        <w:rPr>
          <w:rFonts w:ascii="Times New Roman" w:hAnsi="Times New Roman" w:cs="Times New Roman"/>
          <w:b/>
          <w:bCs/>
          <w:color w:val="000000" w:themeColor="text1"/>
          <w:sz w:val="28"/>
          <w:szCs w:val="28"/>
        </w:rPr>
      </w:pPr>
      <w:bookmarkStart w:id="33" w:name="_Toc220058933"/>
      <w:r w:rsidRPr="00CC7883">
        <w:rPr>
          <w:rFonts w:ascii="Times New Roman" w:hAnsi="Times New Roman" w:cs="Times New Roman"/>
          <w:b/>
          <w:bCs/>
          <w:color w:val="000000" w:themeColor="text1"/>
          <w:sz w:val="28"/>
          <w:szCs w:val="28"/>
        </w:rPr>
        <w:t>3.2. Проліферація пазушних бруньок</w:t>
      </w:r>
      <w:bookmarkEnd w:id="33"/>
    </w:p>
    <w:p w:rsidR="00796030" w:rsidRPr="00CC7883" w:rsidRDefault="00796030" w:rsidP="00047411">
      <w:pPr>
        <w:widowControl w:val="0"/>
        <w:spacing w:after="0" w:line="360" w:lineRule="auto"/>
        <w:jc w:val="both"/>
        <w:rPr>
          <w:rFonts w:ascii="Times New Roman" w:hAnsi="Times New Roman" w:cs="Times New Roman"/>
          <w:b/>
          <w:bCs/>
          <w:color w:val="000000" w:themeColor="text1"/>
          <w:sz w:val="28"/>
          <w:szCs w:val="28"/>
        </w:rPr>
      </w:pPr>
    </w:p>
    <w:p w:rsidR="00796030" w:rsidRPr="00CC7883" w:rsidRDefault="00796030"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i/>
          <w:iCs/>
          <w:color w:val="000000" w:themeColor="text1"/>
          <w:kern w:val="3"/>
          <w:sz w:val="28"/>
          <w:szCs w:val="28"/>
        </w:rPr>
        <w:t>Поживні середовища</w:t>
      </w:r>
      <w:r w:rsidRPr="00CC7883">
        <w:rPr>
          <w:rFonts w:ascii="Times New Roman" w:eastAsia="NSimSun" w:hAnsi="Times New Roman" w:cs="Times New Roman"/>
          <w:color w:val="000000" w:themeColor="text1"/>
          <w:kern w:val="3"/>
          <w:sz w:val="28"/>
          <w:szCs w:val="28"/>
        </w:rPr>
        <w:t xml:space="preserve">. Одним із основних показників розвитку ініціальних експлантів винограду на поживному середовищі є проліферація пазушних бруньок. Прискорення цього процесу призводить до швидшого формування та кращого розвитку рослин. </w:t>
      </w:r>
    </w:p>
    <w:p w:rsidR="00796030" w:rsidRPr="00CC7883" w:rsidRDefault="00796030"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На основі багаторічних спостережень нами було встановлено, що розвиток пазушних бруньок залежав від типу поживних середовищ, на які були висаджені ініціальні експланти винограду та сорту. Показано, що розвиток пазушних бруньок ініціальних експлантів винограду всіх досліджуваних сортів активніше розпочинався у контрольних варіантах. Так, на 10-ту добу досліджен</w:t>
      </w:r>
      <w:r w:rsidR="00D446B8">
        <w:rPr>
          <w:rFonts w:ascii="Times New Roman" w:eastAsia="NSimSun" w:hAnsi="Times New Roman" w:cs="Times New Roman"/>
          <w:color w:val="000000" w:themeColor="text1"/>
          <w:kern w:val="3"/>
          <w:sz w:val="28"/>
          <w:szCs w:val="28"/>
        </w:rPr>
        <w:t>ня</w:t>
      </w:r>
      <w:r w:rsidRPr="00CC7883">
        <w:rPr>
          <w:rFonts w:ascii="Times New Roman" w:eastAsia="NSimSun" w:hAnsi="Times New Roman" w:cs="Times New Roman"/>
          <w:color w:val="000000" w:themeColor="text1"/>
          <w:kern w:val="3"/>
          <w:sz w:val="28"/>
          <w:szCs w:val="28"/>
        </w:rPr>
        <w:t xml:space="preserve"> у сорту </w:t>
      </w:r>
      <w:r w:rsidRPr="00CC7883">
        <w:rPr>
          <w:rFonts w:ascii="Times New Roman" w:eastAsia="NSimSun" w:hAnsi="Times New Roman" w:cs="Times New Roman"/>
          <w:bCs/>
          <w:color w:val="000000" w:themeColor="text1"/>
          <w:kern w:val="3"/>
          <w:sz w:val="28"/>
          <w:szCs w:val="28"/>
          <w:lang w:eastAsia="zh-CN" w:bidi="hi-IN"/>
        </w:rPr>
        <w:t>«Добриня»</w:t>
      </w:r>
      <w:r w:rsidRPr="00CC7883">
        <w:rPr>
          <w:rFonts w:ascii="Times New Roman" w:eastAsia="NSimSun" w:hAnsi="Times New Roman" w:cs="Times New Roman"/>
          <w:color w:val="000000" w:themeColor="text1"/>
          <w:kern w:val="3"/>
          <w:sz w:val="28"/>
          <w:szCs w:val="28"/>
        </w:rPr>
        <w:t xml:space="preserve"> 12,8 % (контроль 1) та 1,9 % (контроль 2) ініціальних експлантів характеризувалися початком проліферації пазушних бруньок, у сорту «Гарант»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kern w:val="3"/>
          <w:sz w:val="28"/>
          <w:szCs w:val="28"/>
        </w:rPr>
        <w:t xml:space="preserve"> відповідно 2,2 % (контроль 1) та 3,5 % (контроль 2), у сорту </w:t>
      </w:r>
      <w:r w:rsidRPr="00CC7883">
        <w:rPr>
          <w:rFonts w:ascii="Times New Roman" w:hAnsi="Times New Roman" w:cs="Times New Roman"/>
          <w:color w:val="000000" w:themeColor="text1"/>
          <w:sz w:val="28"/>
          <w:szCs w:val="28"/>
        </w:rPr>
        <w:t>«Ярило»</w:t>
      </w:r>
      <w:r w:rsidR="002F0FC8" w:rsidRPr="00CC7883">
        <w:rPr>
          <w:rFonts w:ascii="Times New Roman" w:hAnsi="Times New Roman" w:cs="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 xml:space="preserve">1,3 %, у сорту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color w:val="000000" w:themeColor="text1"/>
          <w:kern w:val="3"/>
          <w:sz w:val="28"/>
          <w:szCs w:val="28"/>
        </w:rPr>
        <w:t xml:space="preserve"> у цей період проліферації пазушних бруньок не спостерігали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3.6).</w:t>
      </w:r>
    </w:p>
    <w:p w:rsidR="00783B7A" w:rsidRPr="00CC7883" w:rsidRDefault="00783B7A"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Серед дослідних варіантів на 10-ту добу досліджен</w:t>
      </w:r>
      <w:r w:rsidR="00D446B8">
        <w:rPr>
          <w:rFonts w:ascii="Times New Roman" w:eastAsia="NSimSun" w:hAnsi="Times New Roman" w:cs="Times New Roman"/>
          <w:color w:val="000000" w:themeColor="text1"/>
          <w:kern w:val="3"/>
          <w:sz w:val="28"/>
          <w:szCs w:val="28"/>
        </w:rPr>
        <w:t>ня</w:t>
      </w:r>
      <w:r w:rsidRPr="00CC7883">
        <w:rPr>
          <w:rFonts w:ascii="Times New Roman" w:eastAsia="NSimSun" w:hAnsi="Times New Roman" w:cs="Times New Roman"/>
          <w:color w:val="000000" w:themeColor="text1"/>
          <w:kern w:val="3"/>
          <w:sz w:val="28"/>
          <w:szCs w:val="28"/>
        </w:rPr>
        <w:t xml:space="preserve"> початок проліферації пазушних бруньок ініціальних експлантів винограду від</w:t>
      </w:r>
      <w:r w:rsidR="00440E1C">
        <w:rPr>
          <w:rFonts w:ascii="Times New Roman" w:eastAsia="NSimSun" w:hAnsi="Times New Roman" w:cs="Times New Roman"/>
          <w:color w:val="000000" w:themeColor="text1"/>
          <w:kern w:val="3"/>
          <w:sz w:val="28"/>
          <w:szCs w:val="28"/>
        </w:rPr>
        <w:t>зна</w:t>
      </w:r>
      <w:r w:rsidRPr="00CC7883">
        <w:rPr>
          <w:rFonts w:ascii="Times New Roman" w:eastAsia="NSimSun" w:hAnsi="Times New Roman" w:cs="Times New Roman"/>
          <w:color w:val="000000" w:themeColor="text1"/>
          <w:kern w:val="3"/>
          <w:sz w:val="28"/>
          <w:szCs w:val="28"/>
        </w:rPr>
        <w:t>чали тільки у третьому (1,9 %) для сорту «Добриня» та у сьомому (1,4 %), восьмому (1,0 %), одинадцятому (1,5 %) варіантах для сорту «Гарант».</w:t>
      </w:r>
    </w:p>
    <w:p w:rsidR="00783B7A" w:rsidRPr="00CC7883" w:rsidRDefault="00783B7A"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На 15-ту добу досліджен</w:t>
      </w:r>
      <w:r w:rsidR="00D446B8">
        <w:rPr>
          <w:rFonts w:ascii="Times New Roman" w:eastAsia="NSimSun" w:hAnsi="Times New Roman" w:cs="Times New Roman"/>
          <w:color w:val="000000" w:themeColor="text1"/>
          <w:kern w:val="3"/>
          <w:sz w:val="28"/>
          <w:szCs w:val="28"/>
        </w:rPr>
        <w:t>ня</w:t>
      </w:r>
      <w:r w:rsidRPr="00CC7883">
        <w:rPr>
          <w:rFonts w:ascii="Times New Roman" w:eastAsia="NSimSun" w:hAnsi="Times New Roman" w:cs="Times New Roman"/>
          <w:color w:val="000000" w:themeColor="text1"/>
          <w:kern w:val="3"/>
          <w:sz w:val="28"/>
          <w:szCs w:val="28"/>
        </w:rPr>
        <w:t xml:space="preserve"> було відзначено початок проліферації пазушних бруньок ініціальних експлантів практично у всіх сортів та за всіма варіантами досліду. Найбільша кількість експлантів із розвиненою пазушною брунькою була у варіантах, де до поживного середовища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eastAsia="NSimSun" w:hAnsi="Times New Roman" w:cs="Times New Roman"/>
          <w:color w:val="000000" w:themeColor="text1"/>
          <w:kern w:val="3"/>
          <w:sz w:val="28"/>
          <w:szCs w:val="28"/>
        </w:rPr>
        <w:t xml:space="preserve"> додавали агроперліт і вермикуліт (одинадцятий та дванадцятий варіанти) та контролях.</w:t>
      </w:r>
    </w:p>
    <w:p w:rsidR="002A03C9" w:rsidRDefault="002A03C9"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Повний облік проліферації пазушних бруньок ініціальних експлантів винограду проводили на 30-ту добу досліджен</w:t>
      </w:r>
      <w:r w:rsidR="00D446B8">
        <w:rPr>
          <w:rFonts w:ascii="Times New Roman" w:eastAsia="NSimSun" w:hAnsi="Times New Roman" w:cs="Times New Roman"/>
          <w:color w:val="000000" w:themeColor="text1"/>
          <w:kern w:val="3"/>
          <w:sz w:val="28"/>
          <w:szCs w:val="28"/>
        </w:rPr>
        <w:t>ня</w:t>
      </w:r>
      <w:r w:rsidRPr="00CC7883">
        <w:rPr>
          <w:rFonts w:ascii="Times New Roman" w:eastAsia="NSimSun" w:hAnsi="Times New Roman" w:cs="Times New Roman"/>
          <w:color w:val="000000" w:themeColor="text1"/>
          <w:kern w:val="3"/>
          <w:sz w:val="28"/>
          <w:szCs w:val="28"/>
        </w:rPr>
        <w:t>. Отримані результати показали, що найбільше одновічкових чубуків із проліферацією пазушної бруньки було у контролях, сьомому і восьмому варіантах.</w:t>
      </w:r>
    </w:p>
    <w:p w:rsidR="00C634FF" w:rsidRPr="00CC7883" w:rsidRDefault="00C634FF"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drawing>
          <wp:inline distT="0" distB="0" distL="0" distR="0">
            <wp:extent cx="5854535" cy="2080038"/>
            <wp:effectExtent l="19050" t="0" r="12865" b="0"/>
            <wp:docPr id="4"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drawing>
          <wp:inline distT="0" distB="0" distL="0" distR="0">
            <wp:extent cx="5819775" cy="1840675"/>
            <wp:effectExtent l="19050" t="0" r="9525" b="7175"/>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10 доба</w:t>
      </w:r>
    </w:p>
    <w:p w:rsidR="00796030" w:rsidRPr="00CC7883" w:rsidRDefault="00796030" w:rsidP="00047411">
      <w:pPr>
        <w:widowControl w:val="0"/>
        <w:autoSpaceDN w:val="0"/>
        <w:spacing w:after="0" w:line="360" w:lineRule="auto"/>
        <w:textAlignment w:val="baseline"/>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drawing>
          <wp:inline distT="0" distB="0" distL="0" distR="0">
            <wp:extent cx="5867400" cy="1911927"/>
            <wp:effectExtent l="19050" t="0" r="19050" b="0"/>
            <wp:docPr id="6"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796030" w:rsidRPr="00CC7883" w:rsidRDefault="00796030" w:rsidP="00047411">
      <w:pPr>
        <w:widowControl w:val="0"/>
        <w:autoSpaceDN w:val="0"/>
        <w:spacing w:after="0" w:line="360" w:lineRule="auto"/>
        <w:textAlignment w:val="baseline"/>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drawing>
          <wp:inline distT="0" distB="0" distL="0" distR="0">
            <wp:extent cx="5867400" cy="1840675"/>
            <wp:effectExtent l="19050" t="0" r="19050" b="7175"/>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15 доба</w:t>
      </w:r>
    </w:p>
    <w:p w:rsidR="00796030" w:rsidRPr="00CC7883" w:rsidRDefault="00796030" w:rsidP="00047411">
      <w:pPr>
        <w:widowControl w:val="0"/>
        <w:autoSpaceDN w:val="0"/>
        <w:spacing w:after="0" w:line="360" w:lineRule="auto"/>
        <w:textAlignment w:val="baseline"/>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lastRenderedPageBreak/>
        <w:drawing>
          <wp:inline distT="0" distB="0" distL="0" distR="0">
            <wp:extent cx="5876925" cy="1935678"/>
            <wp:effectExtent l="19050" t="0" r="9525" b="7422"/>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rsidR="00796030" w:rsidRPr="00CC7883" w:rsidRDefault="00796030" w:rsidP="00047411">
      <w:pPr>
        <w:widowControl w:val="0"/>
        <w:autoSpaceDN w:val="0"/>
        <w:spacing w:after="0" w:line="360" w:lineRule="auto"/>
        <w:textAlignment w:val="baseline"/>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drawing>
          <wp:inline distT="0" distB="0" distL="0" distR="0">
            <wp:extent cx="5886450" cy="1911928"/>
            <wp:effectExtent l="19050" t="0" r="19050" b="0"/>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30 доба</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Рис. 3.6. Проліферація пазушних бруньок ініціальних експлантів винограду на різних типах поживних середовищ (середнє за 2019–2022 рр.)</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p>
    <w:p w:rsidR="00796030" w:rsidRPr="00CC7883" w:rsidRDefault="0079603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Так, у сортів </w:t>
      </w:r>
      <w:r w:rsidRPr="00CC7883">
        <w:rPr>
          <w:rFonts w:ascii="Times New Roman" w:eastAsia="NSimSun" w:hAnsi="Times New Roman" w:cs="Times New Roman"/>
          <w:bCs/>
          <w:color w:val="000000" w:themeColor="text1"/>
          <w:kern w:val="3"/>
          <w:sz w:val="28"/>
          <w:szCs w:val="28"/>
          <w:lang w:eastAsia="zh-CN" w:bidi="hi-IN"/>
        </w:rPr>
        <w:t>«Добриня»</w:t>
      </w:r>
      <w:r w:rsidRPr="00CC7883">
        <w:rPr>
          <w:rFonts w:ascii="Times New Roman" w:eastAsia="NSimSun" w:hAnsi="Times New Roman" w:cs="Times New Roman"/>
          <w:color w:val="000000" w:themeColor="text1"/>
          <w:kern w:val="3"/>
          <w:sz w:val="28"/>
          <w:szCs w:val="28"/>
        </w:rPr>
        <w:t xml:space="preserve"> і «Гарант» у контрольних варіантах у середньому 68,3 % і 65,2 % ініціальних експлантів характеризувалися розвиненою пазушною брунькою, у сортів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color w:val="000000" w:themeColor="text1"/>
          <w:kern w:val="3"/>
          <w:sz w:val="28"/>
          <w:szCs w:val="28"/>
        </w:rPr>
        <w:t xml:space="preserve"> і </w:t>
      </w:r>
      <w:r w:rsidRPr="00CC7883">
        <w:rPr>
          <w:rFonts w:ascii="Times New Roman" w:hAnsi="Times New Roman" w:cs="Times New Roman"/>
          <w:color w:val="000000" w:themeColor="text1"/>
          <w:sz w:val="28"/>
          <w:szCs w:val="28"/>
        </w:rPr>
        <w:t>«Загрей»</w:t>
      </w:r>
      <w:r w:rsidR="00416C54" w:rsidRPr="00CC7883">
        <w:rPr>
          <w:rFonts w:ascii="Times New Roman" w:hAnsi="Times New Roman" w:cs="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kern w:val="3"/>
          <w:sz w:val="28"/>
          <w:szCs w:val="28"/>
        </w:rPr>
        <w:t xml:space="preserve"> 58,4 % і 45,0 %. У дослідних варіантах, де до поживного середовища додавали агроперліт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kern w:val="3"/>
          <w:sz w:val="28"/>
          <w:szCs w:val="28"/>
        </w:rPr>
        <w:t xml:space="preserve"> кількість таких ініціальних експлантів дорівнювала 66,6 % та 67,0 % у сортів </w:t>
      </w:r>
      <w:r w:rsidRPr="00CC7883">
        <w:rPr>
          <w:rFonts w:ascii="Times New Roman" w:eastAsia="NSimSun" w:hAnsi="Times New Roman" w:cs="Times New Roman"/>
          <w:bCs/>
          <w:color w:val="000000" w:themeColor="text1"/>
          <w:kern w:val="3"/>
          <w:sz w:val="28"/>
          <w:szCs w:val="28"/>
          <w:lang w:eastAsia="zh-CN" w:bidi="hi-IN"/>
        </w:rPr>
        <w:t>«Добриня»</w:t>
      </w:r>
      <w:r w:rsidRPr="00CC7883">
        <w:rPr>
          <w:rFonts w:ascii="Times New Roman" w:eastAsia="NSimSun" w:hAnsi="Times New Roman" w:cs="Times New Roman"/>
          <w:color w:val="000000" w:themeColor="text1"/>
          <w:kern w:val="3"/>
          <w:sz w:val="28"/>
          <w:szCs w:val="28"/>
        </w:rPr>
        <w:t xml:space="preserve"> і «Гарант» та 54,3 % та 47,7 %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kern w:val="3"/>
          <w:sz w:val="28"/>
          <w:szCs w:val="28"/>
        </w:rPr>
        <w:t xml:space="preserve"> у сортів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color w:val="000000" w:themeColor="text1"/>
          <w:kern w:val="3"/>
          <w:sz w:val="28"/>
          <w:szCs w:val="28"/>
        </w:rPr>
        <w:t xml:space="preserve"> і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color w:val="000000" w:themeColor="text1"/>
          <w:kern w:val="3"/>
          <w:sz w:val="28"/>
          <w:szCs w:val="28"/>
        </w:rPr>
        <w:t xml:space="preserve">. У всіх інших дослідних варіантах кількість ініціальних експлантів із розвиненою пазушною брунькою була меншою і </w:t>
      </w:r>
      <w:r w:rsidR="00C449F1">
        <w:rPr>
          <w:rFonts w:ascii="Times New Roman" w:eastAsia="NSimSun" w:hAnsi="Times New Roman" w:cs="Times New Roman"/>
          <w:color w:val="000000" w:themeColor="text1"/>
          <w:kern w:val="3"/>
          <w:sz w:val="28"/>
          <w:szCs w:val="28"/>
        </w:rPr>
        <w:t>становила</w:t>
      </w:r>
      <w:r w:rsidRPr="00CC7883">
        <w:rPr>
          <w:rFonts w:ascii="Times New Roman" w:eastAsia="NSimSun" w:hAnsi="Times New Roman" w:cs="Times New Roman"/>
          <w:color w:val="000000" w:themeColor="text1"/>
          <w:kern w:val="3"/>
          <w:sz w:val="28"/>
          <w:szCs w:val="28"/>
        </w:rPr>
        <w:t xml:space="preserve"> 30,0–40,0 %. Проте слід </w:t>
      </w:r>
      <w:r w:rsidR="00393571">
        <w:rPr>
          <w:rFonts w:ascii="Times New Roman" w:eastAsia="NSimSun" w:hAnsi="Times New Roman" w:cs="Times New Roman"/>
          <w:color w:val="000000" w:themeColor="text1"/>
          <w:kern w:val="3"/>
          <w:sz w:val="28"/>
          <w:szCs w:val="28"/>
        </w:rPr>
        <w:t>зазначити</w:t>
      </w:r>
      <w:r w:rsidRPr="00CC7883">
        <w:rPr>
          <w:rFonts w:ascii="Times New Roman" w:eastAsia="NSimSun" w:hAnsi="Times New Roman" w:cs="Times New Roman"/>
          <w:color w:val="000000" w:themeColor="text1"/>
          <w:kern w:val="3"/>
          <w:sz w:val="28"/>
          <w:szCs w:val="28"/>
        </w:rPr>
        <w:t xml:space="preserve">, що у подальшому кількість ініціальних експлантів </w:t>
      </w:r>
      <w:r w:rsidR="00EC3AF2">
        <w:rPr>
          <w:rFonts w:ascii="Times New Roman" w:eastAsia="NSimSun" w:hAnsi="Times New Roman" w:cs="Times New Roman"/>
          <w:color w:val="000000" w:themeColor="text1"/>
          <w:kern w:val="3"/>
          <w:sz w:val="28"/>
          <w:szCs w:val="28"/>
        </w:rPr>
        <w:t>і</w:t>
      </w:r>
      <w:r w:rsidRPr="00CC7883">
        <w:rPr>
          <w:rFonts w:ascii="Times New Roman" w:eastAsia="NSimSun" w:hAnsi="Times New Roman" w:cs="Times New Roman"/>
          <w:color w:val="000000" w:themeColor="text1"/>
          <w:kern w:val="3"/>
          <w:sz w:val="28"/>
          <w:szCs w:val="28"/>
        </w:rPr>
        <w:t>з розвиненою пазушною брунькою у дослідних варіантах збільшувалась до рівня контрольних, але такі показники від</w:t>
      </w:r>
      <w:r w:rsidR="00440E1C">
        <w:rPr>
          <w:rFonts w:ascii="Times New Roman" w:eastAsia="NSimSun" w:hAnsi="Times New Roman" w:cs="Times New Roman"/>
          <w:color w:val="000000" w:themeColor="text1"/>
          <w:kern w:val="3"/>
          <w:sz w:val="28"/>
          <w:szCs w:val="28"/>
        </w:rPr>
        <w:t>знача</w:t>
      </w:r>
      <w:r w:rsidRPr="00CC7883">
        <w:rPr>
          <w:rFonts w:ascii="Times New Roman" w:eastAsia="NSimSun" w:hAnsi="Times New Roman" w:cs="Times New Roman"/>
          <w:color w:val="000000" w:themeColor="text1"/>
          <w:kern w:val="3"/>
          <w:sz w:val="28"/>
          <w:szCs w:val="28"/>
        </w:rPr>
        <w:t>ли ближче до 40 доби.</w:t>
      </w:r>
    </w:p>
    <w:p w:rsidR="00796030" w:rsidRPr="00CC7883" w:rsidRDefault="00796030"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bookmarkStart w:id="34" w:name="_Hlk169887749"/>
      <w:r w:rsidRPr="00CC7883">
        <w:rPr>
          <w:rFonts w:ascii="Times New Roman" w:eastAsia="NSimSun" w:hAnsi="Times New Roman" w:cs="Times New Roman"/>
          <w:color w:val="000000" w:themeColor="text1"/>
          <w:kern w:val="3"/>
          <w:sz w:val="28"/>
          <w:szCs w:val="28"/>
        </w:rPr>
        <w:t xml:space="preserve">Порівняння кількості розвинених бруньок у ініціальних експлантів винограду за різним фітогормональним складом середовищ показало, що на </w:t>
      </w:r>
      <w:r w:rsidRPr="00CC7883">
        <w:rPr>
          <w:rFonts w:ascii="Times New Roman" w:eastAsia="NSimSun" w:hAnsi="Times New Roman" w:cs="Times New Roman"/>
          <w:color w:val="000000" w:themeColor="text1"/>
          <w:kern w:val="3"/>
          <w:sz w:val="28"/>
          <w:szCs w:val="28"/>
        </w:rPr>
        <w:lastRenderedPageBreak/>
        <w:t>поживних середовищах із нижчим вмістом фітогормонів (0,2 мг/л 6-БАП; 0,3</w:t>
      </w:r>
      <w:r w:rsidR="0026149E">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мг/л ІОК) спостерігали вищий відсоток розвинених бруньок порівняно з експлантами, які культивували на середовищах із підвищеним вмістом фітогормонів (0,5 мг/л 6-БАП; 0,6 мг/л ІОК). </w:t>
      </w:r>
    </w:p>
    <w:bookmarkEnd w:id="34"/>
    <w:p w:rsidR="00796030" w:rsidRPr="00CC7883" w:rsidRDefault="00796030"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i/>
          <w:iCs/>
          <w:color w:val="000000" w:themeColor="text1"/>
          <w:kern w:val="3"/>
          <w:sz w:val="28"/>
          <w:szCs w:val="28"/>
          <w:lang w:eastAsia="zh-CN" w:bidi="hi-IN"/>
        </w:rPr>
        <w:t>Поживні субстрати</w:t>
      </w:r>
      <w:r w:rsidRPr="00CC7883">
        <w:rPr>
          <w:rFonts w:ascii="Times New Roman" w:eastAsia="NSimSun" w:hAnsi="Times New Roman" w:cs="Times New Roman"/>
          <w:color w:val="000000" w:themeColor="text1"/>
          <w:kern w:val="3"/>
          <w:sz w:val="28"/>
          <w:szCs w:val="28"/>
          <w:lang w:eastAsia="zh-CN" w:bidi="hi-IN"/>
        </w:rPr>
        <w:t>. На мінеральних поживних субстратах процес проліферації пазушних бруньок та формування пагонів у всіх сортів винограду розпочинався на 10-ту добу культивування. У контрольних варіантах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color w:val="000000" w:themeColor="text1"/>
          <w:sz w:val="28"/>
          <w:szCs w:val="28"/>
        </w:rPr>
        <w:t xml:space="preserve"> + 0,3 мг/л ІОК + 0,2 мг/л 6-БАП</w:t>
      </w:r>
      <w:r w:rsidRPr="00CC7883">
        <w:rPr>
          <w:rFonts w:ascii="Times New Roman" w:eastAsia="NSimSun" w:hAnsi="Times New Roman" w:cs="Times New Roman"/>
          <w:color w:val="000000" w:themeColor="text1"/>
          <w:kern w:val="3"/>
          <w:sz w:val="28"/>
          <w:szCs w:val="28"/>
          <w:lang w:eastAsia="zh-CN" w:bidi="hi-IN"/>
        </w:rPr>
        <w:t xml:space="preserve">;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color w:val="000000" w:themeColor="text1"/>
          <w:sz w:val="28"/>
          <w:szCs w:val="28"/>
        </w:rPr>
        <w:t xml:space="preserve"> + 0,6 мг/л ІОК + 0,5 мг/л 6-БАП</w:t>
      </w:r>
      <w:r w:rsidRPr="00CC7883">
        <w:rPr>
          <w:rFonts w:ascii="Times New Roman" w:eastAsia="NSimSun" w:hAnsi="Times New Roman" w:cs="Times New Roman"/>
          <w:color w:val="000000" w:themeColor="text1"/>
          <w:kern w:val="3"/>
          <w:sz w:val="28"/>
          <w:szCs w:val="28"/>
          <w:lang w:eastAsia="zh-CN" w:bidi="hi-IN"/>
        </w:rPr>
        <w:t>) кількість розвинених бруньок ініціальних експлантів становила 7,5</w:t>
      </w:r>
      <w:r w:rsidR="002F0FC8"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 –</w:t>
      </w:r>
      <w:r w:rsidR="001C664A"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 xml:space="preserve">для сорту </w:t>
      </w:r>
      <w:r w:rsidRPr="00CC7883">
        <w:rPr>
          <w:rFonts w:ascii="Times New Roman" w:eastAsia="NSimSun" w:hAnsi="Times New Roman" w:cs="Times New Roman"/>
          <w:bCs/>
          <w:color w:val="000000" w:themeColor="text1"/>
          <w:kern w:val="3"/>
          <w:sz w:val="28"/>
          <w:szCs w:val="28"/>
          <w:lang w:eastAsia="zh-CN" w:bidi="hi-IN"/>
        </w:rPr>
        <w:t>«Добриня»</w:t>
      </w:r>
      <w:r w:rsidRPr="00CC7883">
        <w:rPr>
          <w:rFonts w:ascii="Times New Roman" w:eastAsia="NSimSun" w:hAnsi="Times New Roman" w:cs="Times New Roman"/>
          <w:color w:val="000000" w:themeColor="text1"/>
          <w:kern w:val="3"/>
          <w:sz w:val="28"/>
          <w:szCs w:val="28"/>
          <w:lang w:eastAsia="zh-CN" w:bidi="hi-IN"/>
        </w:rPr>
        <w:t xml:space="preserve">, 6,8 % – для сорту «Гарант», 1,9 % – для сорту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color w:val="000000" w:themeColor="text1"/>
          <w:kern w:val="3"/>
          <w:sz w:val="28"/>
          <w:szCs w:val="28"/>
          <w:lang w:eastAsia="zh-CN" w:bidi="hi-IN"/>
        </w:rPr>
        <w:t xml:space="preserve">, 1,3 % – для сорту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color w:val="000000" w:themeColor="text1"/>
          <w:kern w:val="3"/>
          <w:sz w:val="28"/>
          <w:szCs w:val="28"/>
          <w:lang w:eastAsia="zh-CN" w:bidi="hi-IN"/>
        </w:rPr>
        <w:t xml:space="preserve">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3.7).</w:t>
      </w:r>
    </w:p>
    <w:p w:rsidR="004E47FD" w:rsidRPr="00CC7883" w:rsidRDefault="00783B7A" w:rsidP="00047411">
      <w:pPr>
        <w:widowControl w:val="0"/>
        <w:autoSpaceDN w:val="0"/>
        <w:spacing w:after="0" w:line="360" w:lineRule="auto"/>
        <w:ind w:firstLine="709"/>
        <w:jc w:val="both"/>
        <w:textAlignment w:val="baseline"/>
        <w:rPr>
          <w:rFonts w:ascii="Times New Roman" w:eastAsia="NSimSun" w:hAnsi="Times New Roman" w:cs="Times New Roman"/>
          <w:iCs/>
          <w:color w:val="000000" w:themeColor="text1"/>
          <w:kern w:val="3"/>
          <w:sz w:val="28"/>
          <w:szCs w:val="28"/>
        </w:rPr>
      </w:pPr>
      <w:r w:rsidRPr="00CC7883">
        <w:rPr>
          <w:rFonts w:ascii="Times New Roman" w:eastAsia="NSimSun" w:hAnsi="Times New Roman" w:cs="Times New Roman"/>
          <w:color w:val="000000" w:themeColor="text1"/>
          <w:kern w:val="3"/>
          <w:sz w:val="28"/>
          <w:szCs w:val="28"/>
          <w:lang w:eastAsia="zh-CN" w:bidi="hi-IN"/>
        </w:rPr>
        <w:t>У дослідних варіантах на 10-ту добу досліджен</w:t>
      </w:r>
      <w:r w:rsidR="00D446B8">
        <w:rPr>
          <w:rFonts w:ascii="Times New Roman" w:eastAsia="NSimSun" w:hAnsi="Times New Roman" w:cs="Times New Roman"/>
          <w:color w:val="000000" w:themeColor="text1"/>
          <w:kern w:val="3"/>
          <w:sz w:val="28"/>
          <w:szCs w:val="28"/>
          <w:lang w:eastAsia="zh-CN" w:bidi="hi-IN"/>
        </w:rPr>
        <w:t>ня</w:t>
      </w:r>
      <w:r w:rsidRPr="00CC7883">
        <w:rPr>
          <w:rFonts w:ascii="Times New Roman" w:eastAsia="NSimSun" w:hAnsi="Times New Roman" w:cs="Times New Roman"/>
          <w:color w:val="000000" w:themeColor="text1"/>
          <w:kern w:val="3"/>
          <w:sz w:val="28"/>
          <w:szCs w:val="28"/>
          <w:lang w:eastAsia="zh-CN" w:bidi="hi-IN"/>
        </w:rPr>
        <w:t xml:space="preserve"> найкращий показник проліферації пазушних бруньок був у варіанті з агроперлітом. У зазначений строк кількість ініціальних експлантів винограду з добре вираженою проліферацією пазушної бруньки перевищувала контрольні значення на 7,5 % («Добриня»), 22,5 % («Гарант»), 25,0 % («Ярило»), у сорту «Загрей» цей показник був на рівні контролю.</w:t>
      </w:r>
      <w:r w:rsidR="00416C54" w:rsidRPr="00CC7883">
        <w:rPr>
          <w:rFonts w:ascii="Times New Roman" w:eastAsia="NSimSun" w:hAnsi="Times New Roman" w:cs="Times New Roman"/>
          <w:color w:val="000000" w:themeColor="text1"/>
          <w:kern w:val="3"/>
          <w:sz w:val="28"/>
          <w:szCs w:val="28"/>
          <w:lang w:eastAsia="zh-CN" w:bidi="hi-IN"/>
        </w:rPr>
        <w:t xml:space="preserve"> </w:t>
      </w:r>
      <w:r w:rsidR="004E47FD" w:rsidRPr="00CC7883">
        <w:rPr>
          <w:rFonts w:ascii="Times New Roman" w:eastAsia="NSimSun" w:hAnsi="Times New Roman" w:cs="Times New Roman"/>
          <w:iCs/>
          <w:color w:val="000000" w:themeColor="text1"/>
          <w:kern w:val="3"/>
          <w:sz w:val="28"/>
          <w:szCs w:val="28"/>
        </w:rPr>
        <w:t xml:space="preserve">Культивування ініціальних експлантів винограду на поживних мінеральних субстратах </w:t>
      </w:r>
      <w:r w:rsidR="00C94822">
        <w:rPr>
          <w:rFonts w:ascii="Times New Roman" w:eastAsia="NSimSun" w:hAnsi="Times New Roman" w:cs="Times New Roman"/>
          <w:iCs/>
          <w:color w:val="000000" w:themeColor="text1"/>
          <w:kern w:val="3"/>
          <w:sz w:val="28"/>
          <w:szCs w:val="28"/>
        </w:rPr>
        <w:t xml:space="preserve">– </w:t>
      </w:r>
      <w:r w:rsidR="004E47FD" w:rsidRPr="00CC7883">
        <w:rPr>
          <w:rFonts w:ascii="Times New Roman" w:eastAsia="NSimSun" w:hAnsi="Times New Roman" w:cs="Times New Roman"/>
          <w:iCs/>
          <w:color w:val="000000" w:themeColor="text1"/>
          <w:kern w:val="3"/>
          <w:sz w:val="28"/>
          <w:szCs w:val="28"/>
        </w:rPr>
        <w:t>вермикуліт</w:t>
      </w:r>
      <w:r w:rsidR="003A0DA7">
        <w:rPr>
          <w:rFonts w:ascii="Times New Roman" w:eastAsia="NSimSun" w:hAnsi="Times New Roman" w:cs="Times New Roman"/>
          <w:iCs/>
          <w:color w:val="000000" w:themeColor="text1"/>
          <w:kern w:val="3"/>
          <w:sz w:val="28"/>
          <w:szCs w:val="28"/>
        </w:rPr>
        <w:t>і</w:t>
      </w:r>
      <w:r w:rsidR="004E47FD" w:rsidRPr="00CC7883">
        <w:rPr>
          <w:rFonts w:ascii="Times New Roman" w:eastAsia="NSimSun" w:hAnsi="Times New Roman" w:cs="Times New Roman"/>
          <w:iCs/>
          <w:color w:val="000000" w:themeColor="text1"/>
          <w:kern w:val="3"/>
          <w:sz w:val="28"/>
          <w:szCs w:val="28"/>
        </w:rPr>
        <w:t>, суміші агроперліту і вермикуліту не дало відмінних від контролю результатів, за ви</w:t>
      </w:r>
      <w:r w:rsidR="00E03BDE">
        <w:rPr>
          <w:rFonts w:ascii="Times New Roman" w:eastAsia="NSimSun" w:hAnsi="Times New Roman" w:cs="Times New Roman"/>
          <w:iCs/>
          <w:color w:val="000000" w:themeColor="text1"/>
          <w:kern w:val="3"/>
          <w:sz w:val="28"/>
          <w:szCs w:val="28"/>
        </w:rPr>
        <w:t>нятком</w:t>
      </w:r>
      <w:r w:rsidR="004E47FD" w:rsidRPr="00CC7883">
        <w:rPr>
          <w:rFonts w:ascii="Times New Roman" w:eastAsia="NSimSun" w:hAnsi="Times New Roman" w:cs="Times New Roman"/>
          <w:iCs/>
          <w:color w:val="000000" w:themeColor="text1"/>
          <w:kern w:val="3"/>
          <w:sz w:val="28"/>
          <w:szCs w:val="28"/>
        </w:rPr>
        <w:t xml:space="preserve"> сорту </w:t>
      </w:r>
      <w:r w:rsidR="004E47FD" w:rsidRPr="00CC7883">
        <w:rPr>
          <w:rFonts w:ascii="Times New Roman" w:hAnsi="Times New Roman" w:cs="Times New Roman"/>
          <w:color w:val="000000" w:themeColor="text1"/>
          <w:sz w:val="28"/>
          <w:szCs w:val="28"/>
        </w:rPr>
        <w:t>«Ярило»</w:t>
      </w:r>
      <w:r w:rsidR="004E47FD" w:rsidRPr="00CC7883">
        <w:rPr>
          <w:rFonts w:ascii="Times New Roman" w:eastAsia="NSimSun" w:hAnsi="Times New Roman" w:cs="Times New Roman"/>
          <w:iCs/>
          <w:color w:val="000000" w:themeColor="text1"/>
          <w:kern w:val="3"/>
          <w:sz w:val="28"/>
          <w:szCs w:val="28"/>
        </w:rPr>
        <w:t xml:space="preserve">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004E47FD" w:rsidRPr="00CC7883">
        <w:rPr>
          <w:rFonts w:ascii="Times New Roman" w:eastAsia="NSimSun" w:hAnsi="Times New Roman" w:cs="Times New Roman"/>
          <w:iCs/>
          <w:color w:val="000000" w:themeColor="text1"/>
          <w:kern w:val="3"/>
          <w:sz w:val="28"/>
          <w:szCs w:val="28"/>
        </w:rPr>
        <w:t>3.8).</w:t>
      </w:r>
    </w:p>
    <w:p w:rsidR="00A829EF" w:rsidRPr="00CC7883" w:rsidRDefault="00A829EF" w:rsidP="00047411">
      <w:pPr>
        <w:widowControl w:val="0"/>
        <w:autoSpaceDN w:val="0"/>
        <w:spacing w:after="0" w:line="360" w:lineRule="auto"/>
        <w:ind w:firstLine="709"/>
        <w:jc w:val="both"/>
        <w:textAlignment w:val="baseline"/>
        <w:rPr>
          <w:rFonts w:ascii="Times New Roman" w:eastAsia="NSimSun" w:hAnsi="Times New Roman" w:cs="Times New Roman"/>
          <w:iCs/>
          <w:color w:val="000000" w:themeColor="text1"/>
          <w:kern w:val="3"/>
          <w:sz w:val="28"/>
          <w:szCs w:val="28"/>
        </w:rPr>
      </w:pPr>
      <w:r w:rsidRPr="00CC7883">
        <w:rPr>
          <w:rFonts w:ascii="Times New Roman" w:eastAsia="NSimSun" w:hAnsi="Times New Roman" w:cs="Times New Roman"/>
          <w:iCs/>
          <w:color w:val="000000" w:themeColor="text1"/>
          <w:kern w:val="3"/>
          <w:sz w:val="28"/>
          <w:szCs w:val="28"/>
        </w:rPr>
        <w:t>На 30-ту добу досліджен</w:t>
      </w:r>
      <w:r w:rsidR="00D446B8">
        <w:rPr>
          <w:rFonts w:ascii="Times New Roman" w:eastAsia="NSimSun" w:hAnsi="Times New Roman" w:cs="Times New Roman"/>
          <w:iCs/>
          <w:color w:val="000000" w:themeColor="text1"/>
          <w:kern w:val="3"/>
          <w:sz w:val="28"/>
          <w:szCs w:val="28"/>
        </w:rPr>
        <w:t>ня</w:t>
      </w:r>
      <w:r w:rsidRPr="00CC7883">
        <w:rPr>
          <w:rFonts w:ascii="Times New Roman" w:eastAsia="NSimSun" w:hAnsi="Times New Roman" w:cs="Times New Roman"/>
          <w:iCs/>
          <w:color w:val="000000" w:themeColor="text1"/>
          <w:kern w:val="3"/>
          <w:sz w:val="28"/>
          <w:szCs w:val="28"/>
        </w:rPr>
        <w:t xml:space="preserve"> найбільша кількість ініціальних експлантів із проліферацією пазушної бруньки була від</w:t>
      </w:r>
      <w:r w:rsidR="00045919">
        <w:rPr>
          <w:rFonts w:ascii="Times New Roman" w:eastAsia="NSimSun" w:hAnsi="Times New Roman" w:cs="Times New Roman"/>
          <w:iCs/>
          <w:color w:val="000000" w:themeColor="text1"/>
          <w:kern w:val="3"/>
          <w:sz w:val="28"/>
          <w:szCs w:val="28"/>
        </w:rPr>
        <w:t>значена</w:t>
      </w:r>
      <w:r w:rsidRPr="00CC7883">
        <w:rPr>
          <w:rFonts w:ascii="Times New Roman" w:eastAsia="NSimSun" w:hAnsi="Times New Roman" w:cs="Times New Roman"/>
          <w:iCs/>
          <w:color w:val="000000" w:themeColor="text1"/>
          <w:kern w:val="3"/>
          <w:sz w:val="28"/>
          <w:szCs w:val="28"/>
        </w:rPr>
        <w:t xml:space="preserve"> у контрольних варіантах: 55,3–72,0 % (перший варіант) і 53,7–63,7 % (другий варіант).</w:t>
      </w:r>
    </w:p>
    <w:p w:rsidR="004E47FD" w:rsidRPr="00CC7883" w:rsidRDefault="002A03C9"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iCs/>
          <w:color w:val="000000" w:themeColor="text1"/>
          <w:kern w:val="3"/>
          <w:sz w:val="28"/>
          <w:szCs w:val="28"/>
        </w:rPr>
        <w:t>У варіантах з агроперлітом кількість таких експлантів була меншою за контрольні значення на 24,5 % («Добриня»), 12,8 % («Гарант»), 21,2 % («Ярило»), 22,8 % («Загрей»); у варіантах з вермикулітом – відповідно менші на 31,2 % («Добриня», «Ярило»), 29,5 %</w:t>
      </w:r>
      <w:r w:rsidR="00586335">
        <w:rPr>
          <w:rFonts w:ascii="Times New Roman" w:eastAsia="NSimSun" w:hAnsi="Times New Roman" w:cs="Times New Roman"/>
          <w:iCs/>
          <w:color w:val="000000" w:themeColor="text1"/>
          <w:kern w:val="3"/>
          <w:sz w:val="28"/>
          <w:szCs w:val="28"/>
        </w:rPr>
        <w:t xml:space="preserve"> («Гарант»)</w:t>
      </w:r>
      <w:r w:rsidRPr="00CC7883">
        <w:rPr>
          <w:rFonts w:ascii="Times New Roman" w:eastAsia="NSimSun" w:hAnsi="Times New Roman" w:cs="Times New Roman"/>
          <w:iCs/>
          <w:color w:val="000000" w:themeColor="text1"/>
          <w:kern w:val="3"/>
          <w:sz w:val="28"/>
          <w:szCs w:val="28"/>
        </w:rPr>
        <w:t>, 32,8 %</w:t>
      </w:r>
      <w:r w:rsidR="00586335">
        <w:rPr>
          <w:rFonts w:ascii="Times New Roman" w:eastAsia="NSimSun" w:hAnsi="Times New Roman" w:cs="Times New Roman"/>
          <w:iCs/>
          <w:color w:val="000000" w:themeColor="text1"/>
          <w:kern w:val="3"/>
          <w:sz w:val="28"/>
          <w:szCs w:val="28"/>
        </w:rPr>
        <w:t xml:space="preserve"> («Загрей»)</w:t>
      </w:r>
      <w:r w:rsidRPr="00CC7883">
        <w:rPr>
          <w:rFonts w:ascii="Times New Roman" w:eastAsia="NSimSun" w:hAnsi="Times New Roman" w:cs="Times New Roman"/>
          <w:iCs/>
          <w:color w:val="000000" w:themeColor="text1"/>
          <w:kern w:val="3"/>
          <w:sz w:val="28"/>
          <w:szCs w:val="28"/>
        </w:rPr>
        <w:t>; варіантах з сумішшю агроперліт + вермикуліт – менші на 24,5 %, 21,2 %, 12,8</w:t>
      </w:r>
      <w:r w:rsidR="0026149E">
        <w:rPr>
          <w:rFonts w:ascii="Times New Roman" w:eastAsia="NSimSun" w:hAnsi="Times New Roman" w:cs="Times New Roman"/>
          <w:iCs/>
          <w:color w:val="000000" w:themeColor="text1"/>
          <w:kern w:val="3"/>
          <w:sz w:val="28"/>
          <w:szCs w:val="28"/>
        </w:rPr>
        <w:t> </w:t>
      </w:r>
      <w:r w:rsidRPr="00CC7883">
        <w:rPr>
          <w:rFonts w:ascii="Times New Roman" w:eastAsia="NSimSun" w:hAnsi="Times New Roman" w:cs="Times New Roman"/>
          <w:iCs/>
          <w:color w:val="000000" w:themeColor="text1"/>
          <w:kern w:val="3"/>
          <w:sz w:val="28"/>
          <w:szCs w:val="28"/>
        </w:rPr>
        <w:t>%, 22,8 %.</w:t>
      </w:r>
      <w:r w:rsidR="004E47FD" w:rsidRPr="00CC7883">
        <w:rPr>
          <w:rFonts w:ascii="Times New Roman" w:eastAsia="NSimSun" w:hAnsi="Times New Roman" w:cs="Times New Roman"/>
          <w:color w:val="000000" w:themeColor="text1"/>
          <w:kern w:val="3"/>
          <w:sz w:val="28"/>
          <w:szCs w:val="28"/>
          <w:lang w:eastAsia="zh-CN" w:bidi="hi-IN"/>
        </w:rPr>
        <w:br w:type="page"/>
      </w:r>
    </w:p>
    <w:p w:rsidR="004E47FD" w:rsidRPr="00CC7883" w:rsidRDefault="0079603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hAnsi="Times New Roman" w:cs="Times New Roman"/>
          <w:noProof/>
          <w:color w:val="000000" w:themeColor="text1"/>
          <w:lang w:val="ru-RU" w:eastAsia="ru-RU"/>
        </w:rPr>
        <w:lastRenderedPageBreak/>
        <w:drawing>
          <wp:inline distT="0" distB="0" distL="0" distR="0">
            <wp:extent cx="5934075" cy="3396987"/>
            <wp:effectExtent l="19050" t="0" r="9525" b="0"/>
            <wp:docPr id="1953616846" name="Диаграм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10 доба</w:t>
      </w:r>
    </w:p>
    <w:p w:rsidR="004E47FD" w:rsidRPr="00CC7883" w:rsidRDefault="004E47FD"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lang w:eastAsia="zh-CN" w:bidi="hi-IN"/>
        </w:rPr>
      </w:pP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hAnsi="Times New Roman" w:cs="Times New Roman"/>
          <w:noProof/>
          <w:color w:val="000000" w:themeColor="text1"/>
          <w:lang w:val="ru-RU" w:eastAsia="ru-RU"/>
        </w:rPr>
        <w:drawing>
          <wp:inline distT="0" distB="0" distL="0" distR="0">
            <wp:extent cx="5895975" cy="3626069"/>
            <wp:effectExtent l="19050" t="0" r="9525" b="0"/>
            <wp:docPr id="11" name="Диаграмма 1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30 доба</w:t>
      </w:r>
    </w:p>
    <w:p w:rsidR="00796030" w:rsidRDefault="00796030" w:rsidP="00047411">
      <w:pPr>
        <w:widowControl w:val="0"/>
        <w:autoSpaceDN w:val="0"/>
        <w:spacing w:after="0" w:line="360" w:lineRule="auto"/>
        <w:jc w:val="center"/>
        <w:textAlignment w:val="baseline"/>
        <w:rPr>
          <w:rFonts w:ascii="Times New Roman" w:eastAsia="NSimSun" w:hAnsi="Times New Roman" w:cs="Times New Roman"/>
          <w:iCs/>
          <w:color w:val="000000" w:themeColor="text1"/>
          <w:kern w:val="3"/>
          <w:sz w:val="28"/>
          <w:szCs w:val="28"/>
        </w:rPr>
      </w:pPr>
      <w:r w:rsidRPr="00CC7883">
        <w:rPr>
          <w:rFonts w:ascii="Times New Roman" w:eastAsia="NSimSun" w:hAnsi="Times New Roman" w:cs="Times New Roman"/>
          <w:iCs/>
          <w:color w:val="000000" w:themeColor="text1"/>
          <w:kern w:val="3"/>
          <w:sz w:val="28"/>
          <w:szCs w:val="28"/>
        </w:rPr>
        <w:t>Рис. 3.7. Проліферація пазушних бруньок ініціальних експлантів винограду на різних типах поживних субстратів (середнє за 2019–2022 рр.)</w:t>
      </w:r>
    </w:p>
    <w:p w:rsidR="00C634FF" w:rsidRPr="00CC7883" w:rsidRDefault="00C634FF" w:rsidP="00047411">
      <w:pPr>
        <w:widowControl w:val="0"/>
        <w:autoSpaceDN w:val="0"/>
        <w:spacing w:after="0" w:line="360" w:lineRule="auto"/>
        <w:jc w:val="center"/>
        <w:textAlignment w:val="baseline"/>
        <w:rPr>
          <w:rFonts w:ascii="Times New Roman" w:eastAsia="NSimSun" w:hAnsi="Times New Roman" w:cs="Times New Roman"/>
          <w:iCs/>
          <w:color w:val="000000" w:themeColor="text1"/>
          <w:kern w:val="3"/>
          <w:sz w:val="28"/>
          <w:szCs w:val="28"/>
        </w:rPr>
      </w:pPr>
    </w:p>
    <w:p w:rsidR="00796030" w:rsidRPr="00CC7883" w:rsidRDefault="0079603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lang w:eastAsia="zh-CN" w:bidi="hi-IN"/>
        </w:rPr>
      </w:pP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iCs/>
          <w:color w:val="000000" w:themeColor="text1"/>
          <w:kern w:val="3"/>
          <w:sz w:val="28"/>
          <w:szCs w:val="28"/>
        </w:rPr>
      </w:pPr>
      <w:r w:rsidRPr="00CC7883">
        <w:rPr>
          <w:rFonts w:ascii="Times New Roman" w:eastAsia="NSimSun" w:hAnsi="Times New Roman" w:cs="Times New Roman"/>
          <w:iCs/>
          <w:noProof/>
          <w:color w:val="000000" w:themeColor="text1"/>
          <w:kern w:val="3"/>
          <w:sz w:val="28"/>
          <w:szCs w:val="28"/>
          <w:lang w:val="ru-RU" w:eastAsia="ru-RU"/>
        </w:rPr>
        <w:drawing>
          <wp:inline distT="0" distB="0" distL="0" distR="0">
            <wp:extent cx="4353121" cy="1619745"/>
            <wp:effectExtent l="19050" t="19050" r="9525" b="19050"/>
            <wp:docPr id="1671798764" name="Рисунок 5" descr="Зображення, що містить ваза, Прозорий матеріал, у приміщенні, акваріум&#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798764" name="Рисунок 5" descr="Зображення, що містить ваза, Прозорий матеріал, у приміщенні, акваріум&#10;&#10;Вміст на основі ШІ може бути неправильним."/>
                    <pic:cNvPicPr preferRelativeResize="0">
                      <a:picLocks noChangeAspect="1" noChangeArrowheads="1"/>
                    </pic:cNvPicPr>
                  </pic:nvPicPr>
                  <pic:blipFill rotWithShape="1">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7247" t="7560" r="3006"/>
                    <a:stretch>
                      <a:fillRect/>
                    </a:stretch>
                  </pic:blipFill>
                  <pic:spPr bwMode="auto">
                    <a:xfrm>
                      <a:off x="0" y="0"/>
                      <a:ext cx="4468597" cy="1662712"/>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iCs/>
          <w:color w:val="000000" w:themeColor="text1"/>
          <w:kern w:val="3"/>
          <w:sz w:val="28"/>
          <w:szCs w:val="28"/>
        </w:rPr>
      </w:pPr>
      <w:r w:rsidRPr="00CC7883">
        <w:rPr>
          <w:rFonts w:ascii="Times New Roman" w:eastAsia="NSimSun" w:hAnsi="Times New Roman" w:cs="Times New Roman"/>
          <w:iCs/>
          <w:color w:val="000000" w:themeColor="text1"/>
          <w:kern w:val="3"/>
          <w:sz w:val="28"/>
          <w:szCs w:val="28"/>
        </w:rPr>
        <w:t>Контроль</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noProof/>
          <w:color w:val="000000" w:themeColor="text1"/>
          <w:kern w:val="3"/>
          <w:sz w:val="28"/>
          <w:szCs w:val="28"/>
          <w:lang w:val="ru-RU" w:eastAsia="ru-RU"/>
        </w:rPr>
        <w:drawing>
          <wp:inline distT="0" distB="0" distL="0" distR="0">
            <wp:extent cx="4360291" cy="1726623"/>
            <wp:effectExtent l="19050" t="19050" r="21590" b="26035"/>
            <wp:docPr id="598143579" name="Рисунок 6" descr="Зображення, що містить Контейнери для зберігання продуктів, Банка, у приміщенні, криш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143579" name="Рисунок 6" descr="Зображення, що містить Контейнери для зберігання продуктів, Банка, у приміщенні, кришка&#10;&#10;Автоматично згенерований опис"/>
                    <pic:cNvPicPr preferRelativeResize="0">
                      <a:picLocks noChangeAspect="1" noChangeArrowheads="1"/>
                    </pic:cNvPicPr>
                  </pic:nvPicPr>
                  <pic:blipFill>
                    <a:blip r:embed="rId4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01416" cy="1742908"/>
                    </a:xfrm>
                    <a:prstGeom prst="rect">
                      <a:avLst/>
                    </a:prstGeom>
                    <a:noFill/>
                    <a:ln>
                      <a:solidFill>
                        <a:sysClr val="windowText" lastClr="000000"/>
                      </a:solidFill>
                    </a:ln>
                  </pic:spPr>
                </pic:pic>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color w:val="000000" w:themeColor="text1"/>
          <w:kern w:val="3"/>
          <w:sz w:val="26"/>
          <w:szCs w:val="28"/>
          <w:lang w:eastAsia="zh-CN" w:bidi="hi-IN"/>
        </w:rPr>
        <w:t>Агроперліт</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noProof/>
          <w:color w:val="000000" w:themeColor="text1"/>
          <w:kern w:val="3"/>
          <w:sz w:val="28"/>
          <w:szCs w:val="28"/>
          <w:lang w:val="ru-RU" w:eastAsia="ru-RU"/>
        </w:rPr>
        <w:drawing>
          <wp:inline distT="0" distB="0" distL="0" distR="0">
            <wp:extent cx="4473277" cy="1584118"/>
            <wp:effectExtent l="19050" t="19050" r="22860" b="16510"/>
            <wp:docPr id="1506911715" name="Рисунок 8" descr="Зображення, що містить Банка, у приміщенні, Контейнери для зберігання продуктів, пляш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911715" name="Рисунок 8" descr="Зображення, що містить Банка, у приміщенні, Контейнери для зберігання продуктів, пляшка&#10;&#10;Автоматично згенерований опис"/>
                    <pic:cNvPicPr preferRelativeResize="0">
                      <a:picLocks noChangeAspect="1" noChangeArrowheads="1"/>
                    </pic:cNvPicPr>
                  </pic:nvPicPr>
                  <pic:blipFill>
                    <a:blip r:embed="rId4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12132" cy="1597878"/>
                    </a:xfrm>
                    <a:prstGeom prst="rect">
                      <a:avLst/>
                    </a:prstGeom>
                    <a:noFill/>
                    <a:ln>
                      <a:solidFill>
                        <a:sysClr val="windowText" lastClr="000000"/>
                      </a:solidFill>
                    </a:ln>
                  </pic:spPr>
                </pic:pic>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Вермикуліт</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noProof/>
          <w:color w:val="000000" w:themeColor="text1"/>
          <w:kern w:val="3"/>
          <w:sz w:val="28"/>
          <w:szCs w:val="28"/>
          <w:lang w:val="ru-RU" w:eastAsia="ru-RU"/>
        </w:rPr>
        <w:drawing>
          <wp:inline distT="0" distB="0" distL="0" distR="0">
            <wp:extent cx="4416899" cy="1702872"/>
            <wp:effectExtent l="19050" t="19050" r="22225" b="12065"/>
            <wp:docPr id="1898308081" name="Фігура6" descr="Зображення, що містить Контейнери для зберігання продуктів, Банка, у приміщенні, пляш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6358336" name="Фігура6" descr="Зображення, що містить Контейнери для зберігання продуктів, Банка, у приміщенні, пляшка&#10;&#10;Автоматично згенерований опис"/>
                    <pic:cNvPicPr preferRelativeResize="0"/>
                  </pic:nvPicPr>
                  <pic:blipFill>
                    <a:blip r:embed="rId48" cstate="print">
                      <a:lum/>
                      <a:alphaModFix/>
                    </a:blip>
                    <a:srcRect/>
                    <a:stretch>
                      <a:fillRect/>
                    </a:stretch>
                  </pic:blipFill>
                  <pic:spPr>
                    <a:xfrm>
                      <a:off x="0" y="0"/>
                      <a:ext cx="4470757" cy="1723636"/>
                    </a:xfrm>
                    <a:prstGeom prst="rect">
                      <a:avLst/>
                    </a:prstGeom>
                    <a:noFill/>
                    <a:ln>
                      <a:solidFill>
                        <a:sysClr val="windowText" lastClr="000000"/>
                      </a:solidFill>
                      <a:prstDash/>
                    </a:ln>
                  </pic:spPr>
                </pic:pic>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Агроперліт + вермикуліт</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 xml:space="preserve">Рис. 3.8. Ініціальні експланти винограду на 10-ту добу культивування в умовах </w:t>
      </w:r>
      <w:r w:rsidR="00C85F8F" w:rsidRPr="00CC7883">
        <w:rPr>
          <w:rFonts w:ascii="Times New Roman" w:hAnsi="Times New Roman" w:cs="Times New Roman"/>
          <w:i/>
          <w:iCs/>
          <w:color w:val="000000" w:themeColor="text1"/>
          <w:sz w:val="28"/>
          <w:szCs w:val="28"/>
        </w:rPr>
        <w:t>in vitro</w:t>
      </w:r>
    </w:p>
    <w:p w:rsidR="00796030" w:rsidRPr="00CC7883" w:rsidRDefault="00796030" w:rsidP="00047411">
      <w:pPr>
        <w:widowControl w:val="0"/>
        <w:spacing w:after="0" w:line="360" w:lineRule="auto"/>
        <w:ind w:firstLine="709"/>
        <w:jc w:val="both"/>
        <w:outlineLvl w:val="1"/>
        <w:rPr>
          <w:rFonts w:ascii="Times New Roman" w:hAnsi="Times New Roman" w:cs="Times New Roman"/>
          <w:b/>
          <w:bCs/>
          <w:color w:val="000000" w:themeColor="text1"/>
          <w:sz w:val="28"/>
          <w:szCs w:val="28"/>
        </w:rPr>
      </w:pPr>
      <w:bookmarkStart w:id="35" w:name="_Toc220058934"/>
      <w:r w:rsidRPr="00CC7883">
        <w:rPr>
          <w:rFonts w:ascii="Times New Roman" w:hAnsi="Times New Roman" w:cs="Times New Roman"/>
          <w:b/>
          <w:bCs/>
          <w:color w:val="000000" w:themeColor="text1"/>
          <w:sz w:val="28"/>
          <w:szCs w:val="28"/>
        </w:rPr>
        <w:lastRenderedPageBreak/>
        <w:t>3.3. Ризогенез</w:t>
      </w:r>
      <w:bookmarkEnd w:id="35"/>
    </w:p>
    <w:p w:rsidR="00796030" w:rsidRPr="00CC7883" w:rsidRDefault="00796030" w:rsidP="00047411">
      <w:pPr>
        <w:widowControl w:val="0"/>
        <w:spacing w:after="0" w:line="360" w:lineRule="auto"/>
        <w:jc w:val="both"/>
        <w:rPr>
          <w:rFonts w:ascii="Times New Roman" w:hAnsi="Times New Roman" w:cs="Times New Roman"/>
          <w:b/>
          <w:bCs/>
          <w:color w:val="000000" w:themeColor="text1"/>
          <w:sz w:val="28"/>
          <w:szCs w:val="28"/>
        </w:rPr>
      </w:pPr>
    </w:p>
    <w:p w:rsidR="00796030" w:rsidRPr="00CC7883" w:rsidRDefault="00796030"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i/>
          <w:iCs/>
          <w:color w:val="000000" w:themeColor="text1"/>
          <w:kern w:val="3"/>
          <w:sz w:val="28"/>
          <w:szCs w:val="28"/>
        </w:rPr>
        <w:t>Поживні середовища</w:t>
      </w:r>
      <w:r w:rsidRPr="00CC7883">
        <w:rPr>
          <w:rFonts w:ascii="Times New Roman" w:eastAsia="NSimSun" w:hAnsi="Times New Roman" w:cs="Times New Roman"/>
          <w:color w:val="000000" w:themeColor="text1"/>
          <w:kern w:val="3"/>
          <w:sz w:val="28"/>
          <w:szCs w:val="28"/>
        </w:rPr>
        <w:t xml:space="preserve">. Для адаптації мікроклональних рослин до умов </w:t>
      </w:r>
      <w:r w:rsidR="001221F9" w:rsidRPr="00CC7883">
        <w:rPr>
          <w:rFonts w:ascii="Times New Roman" w:hAnsi="Times New Roman" w:cs="Times New Roman"/>
          <w:i/>
          <w:color w:val="000000" w:themeColor="text1"/>
          <w:sz w:val="28"/>
          <w:szCs w:val="28"/>
        </w:rPr>
        <w:t>in vivo</w:t>
      </w:r>
      <w:r w:rsidRPr="00CC7883">
        <w:rPr>
          <w:rFonts w:ascii="Times New Roman" w:eastAsia="NSimSun" w:hAnsi="Times New Roman" w:cs="Times New Roman"/>
          <w:color w:val="000000" w:themeColor="text1"/>
          <w:kern w:val="3"/>
          <w:sz w:val="28"/>
          <w:szCs w:val="28"/>
        </w:rPr>
        <w:t xml:space="preserve"> важливого значення набуває структура кореневої системи, оскільки саме вона відповідає за споживання води та поживних речовин. Тому чим краще розвинена, розгалужена коренева система мікроклонів винограду, тим краще це для адаптації рослин.</w:t>
      </w:r>
    </w:p>
    <w:p w:rsidR="00796030" w:rsidRPr="00CC7883" w:rsidRDefault="00796030"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 xml:space="preserve">На утворення коренів та подальший розвиток кореневої системи впливає багато факторів. У літературі вказують, що зменшення кількості макросолей у поживному середовищі та зміна у ньому співвідношень фітогормонів під час укорінення рослин </w:t>
      </w:r>
      <w:r w:rsidR="00C85F8F" w:rsidRPr="00CC7883">
        <w:rPr>
          <w:rFonts w:ascii="Times New Roman" w:hAnsi="Times New Roman" w:cs="Times New Roman"/>
          <w:i/>
          <w:iCs/>
          <w:color w:val="000000" w:themeColor="text1"/>
          <w:sz w:val="28"/>
          <w:szCs w:val="28"/>
        </w:rPr>
        <w:t>in vitro</w:t>
      </w:r>
      <w:r w:rsidRPr="00CC7883">
        <w:rPr>
          <w:rFonts w:ascii="Times New Roman" w:eastAsia="NSimSun" w:hAnsi="Times New Roman" w:cs="Times New Roman"/>
          <w:color w:val="000000" w:themeColor="text1"/>
          <w:kern w:val="3"/>
          <w:sz w:val="28"/>
          <w:szCs w:val="28"/>
        </w:rPr>
        <w:t xml:space="preserve"> сприяє активному ризогенезу одновічкових</w:t>
      </w:r>
      <w:r w:rsidR="00B9668A" w:rsidRPr="00CC7883">
        <w:rPr>
          <w:rFonts w:ascii="Times New Roman" w:eastAsia="NSimSun" w:hAnsi="Times New Roman" w:cs="Times New Roman"/>
          <w:color w:val="000000" w:themeColor="text1"/>
          <w:kern w:val="3"/>
          <w:sz w:val="28"/>
          <w:szCs w:val="28"/>
        </w:rPr>
        <w:t xml:space="preserve"> експлантів багатьох рослин [2</w:t>
      </w:r>
      <w:r w:rsidR="00B02031" w:rsidRPr="00CC7883">
        <w:rPr>
          <w:rFonts w:ascii="Times New Roman" w:eastAsia="NSimSun" w:hAnsi="Times New Roman" w:cs="Times New Roman"/>
          <w:color w:val="000000" w:themeColor="text1"/>
          <w:kern w:val="3"/>
          <w:sz w:val="28"/>
          <w:szCs w:val="28"/>
        </w:rPr>
        <w:t>05</w:t>
      </w:r>
      <w:r w:rsidRPr="00CC7883">
        <w:rPr>
          <w:rFonts w:ascii="Times New Roman" w:eastAsia="NSimSun" w:hAnsi="Times New Roman" w:cs="Times New Roman"/>
          <w:color w:val="000000" w:themeColor="text1"/>
          <w:kern w:val="3"/>
          <w:sz w:val="28"/>
          <w:szCs w:val="28"/>
        </w:rPr>
        <w:t>].</w:t>
      </w:r>
    </w:p>
    <w:p w:rsidR="0079090D" w:rsidRPr="00CC7883" w:rsidRDefault="00796030"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Результати наш</w:t>
      </w:r>
      <w:r w:rsidR="00D446B8">
        <w:rPr>
          <w:rFonts w:ascii="Times New Roman" w:eastAsia="NSimSun" w:hAnsi="Times New Roman" w:cs="Times New Roman"/>
          <w:color w:val="000000" w:themeColor="text1"/>
          <w:kern w:val="3"/>
          <w:sz w:val="28"/>
          <w:szCs w:val="28"/>
        </w:rPr>
        <w:t>ого</w:t>
      </w:r>
      <w:r w:rsidRPr="00CC7883">
        <w:rPr>
          <w:rFonts w:ascii="Times New Roman" w:eastAsia="NSimSun" w:hAnsi="Times New Roman" w:cs="Times New Roman"/>
          <w:color w:val="000000" w:themeColor="text1"/>
          <w:kern w:val="3"/>
          <w:sz w:val="28"/>
          <w:szCs w:val="28"/>
        </w:rPr>
        <w:t xml:space="preserve"> досліджен</w:t>
      </w:r>
      <w:r w:rsidR="00D446B8">
        <w:rPr>
          <w:rFonts w:ascii="Times New Roman" w:eastAsia="NSimSun" w:hAnsi="Times New Roman" w:cs="Times New Roman"/>
          <w:color w:val="000000" w:themeColor="text1"/>
          <w:kern w:val="3"/>
          <w:sz w:val="28"/>
          <w:szCs w:val="28"/>
        </w:rPr>
        <w:t>ня</w:t>
      </w:r>
      <w:r w:rsidRPr="00CC7883">
        <w:rPr>
          <w:rFonts w:ascii="Times New Roman" w:eastAsia="NSimSun" w:hAnsi="Times New Roman" w:cs="Times New Roman"/>
          <w:color w:val="000000" w:themeColor="text1"/>
          <w:kern w:val="3"/>
          <w:sz w:val="28"/>
          <w:szCs w:val="28"/>
        </w:rPr>
        <w:t xml:space="preserve"> показують, що ініціальні експланти винограду сортів </w:t>
      </w:r>
      <w:r w:rsidRPr="00CC7883">
        <w:rPr>
          <w:rFonts w:ascii="Times New Roman" w:eastAsia="NSimSun" w:hAnsi="Times New Roman" w:cs="Times New Roman"/>
          <w:bCs/>
          <w:color w:val="000000" w:themeColor="text1"/>
          <w:kern w:val="3"/>
          <w:sz w:val="28"/>
          <w:szCs w:val="28"/>
          <w:lang w:eastAsia="zh-CN" w:bidi="hi-IN"/>
        </w:rPr>
        <w:t>«Добриня»</w:t>
      </w:r>
      <w:r w:rsidRPr="00CC7883">
        <w:rPr>
          <w:rFonts w:ascii="Times New Roman" w:eastAsia="NSimSun" w:hAnsi="Times New Roman" w:cs="Times New Roman"/>
          <w:color w:val="000000" w:themeColor="text1"/>
          <w:kern w:val="3"/>
          <w:sz w:val="28"/>
          <w:szCs w:val="28"/>
        </w:rPr>
        <w:t xml:space="preserve">, «Гарант», </w:t>
      </w:r>
      <w:r w:rsidRPr="00CC7883">
        <w:rPr>
          <w:rFonts w:ascii="Times New Roman" w:hAnsi="Times New Roman" w:cs="Times New Roman"/>
          <w:color w:val="000000" w:themeColor="text1"/>
          <w:sz w:val="28"/>
          <w:szCs w:val="28"/>
        </w:rPr>
        <w:t>«Ярило»</w:t>
      </w:r>
      <w:r w:rsidRPr="00CC7883">
        <w:rPr>
          <w:rFonts w:ascii="Times New Roman" w:eastAsia="NSimSun" w:hAnsi="Times New Roman" w:cs="Times New Roman"/>
          <w:color w:val="000000" w:themeColor="text1"/>
          <w:kern w:val="3"/>
          <w:sz w:val="28"/>
          <w:szCs w:val="28"/>
        </w:rPr>
        <w:t xml:space="preserve"> і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color w:val="000000" w:themeColor="text1"/>
          <w:kern w:val="3"/>
          <w:sz w:val="28"/>
          <w:szCs w:val="28"/>
        </w:rPr>
        <w:t xml:space="preserve">, які культивували на різних типах поживних середовищ, відрізнялися за інтенсивністю процесу ризогенезу. Було </w:t>
      </w:r>
      <w:r w:rsidR="00F074CE">
        <w:rPr>
          <w:rFonts w:ascii="Times New Roman" w:eastAsia="NSimSun" w:hAnsi="Times New Roman" w:cs="Times New Roman"/>
          <w:color w:val="000000" w:themeColor="text1"/>
          <w:kern w:val="3"/>
          <w:sz w:val="28"/>
          <w:szCs w:val="28"/>
        </w:rPr>
        <w:t>відзначено</w:t>
      </w:r>
      <w:r w:rsidRPr="00CC7883">
        <w:rPr>
          <w:rFonts w:ascii="Times New Roman" w:eastAsia="NSimSun" w:hAnsi="Times New Roman" w:cs="Times New Roman"/>
          <w:color w:val="000000" w:themeColor="text1"/>
          <w:kern w:val="3"/>
          <w:sz w:val="28"/>
          <w:szCs w:val="28"/>
        </w:rPr>
        <w:t xml:space="preserve">, що </w:t>
      </w:r>
      <w:r w:rsidR="00C94822">
        <w:rPr>
          <w:rFonts w:ascii="Times New Roman" w:eastAsia="NSimSun" w:hAnsi="Times New Roman" w:cs="Times New Roman"/>
          <w:color w:val="000000" w:themeColor="text1"/>
          <w:kern w:val="3"/>
          <w:sz w:val="28"/>
          <w:szCs w:val="28"/>
        </w:rPr>
        <w:t>за</w:t>
      </w:r>
      <w:r w:rsidRPr="00CC7883">
        <w:rPr>
          <w:rFonts w:ascii="Times New Roman" w:eastAsia="NSimSun" w:hAnsi="Times New Roman" w:cs="Times New Roman"/>
          <w:color w:val="000000" w:themeColor="text1"/>
          <w:kern w:val="3"/>
          <w:sz w:val="28"/>
          <w:szCs w:val="28"/>
        </w:rPr>
        <w:t xml:space="preserve"> вміст</w:t>
      </w:r>
      <w:r w:rsidR="00C94822">
        <w:rPr>
          <w:rFonts w:ascii="Times New Roman" w:eastAsia="NSimSun" w:hAnsi="Times New Roman" w:cs="Times New Roman"/>
          <w:color w:val="000000" w:themeColor="text1"/>
          <w:kern w:val="3"/>
          <w:sz w:val="28"/>
          <w:szCs w:val="28"/>
        </w:rPr>
        <w:t>у</w:t>
      </w:r>
      <w:r w:rsidRPr="00CC7883">
        <w:rPr>
          <w:rFonts w:ascii="Times New Roman" w:eastAsia="NSimSun" w:hAnsi="Times New Roman" w:cs="Times New Roman"/>
          <w:color w:val="000000" w:themeColor="text1"/>
          <w:kern w:val="3"/>
          <w:sz w:val="28"/>
          <w:szCs w:val="28"/>
        </w:rPr>
        <w:t xml:space="preserve"> у поживному середовищі 0,5 мг/л 6-БАП; 0,6 мг/л ІОК, на базальній частині ініціальних експлантів утворювались об’ємні калусні маси, особливо це було характерно для варіантів, де застосовували препарати, які стимулюють утворення коренів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kern w:val="3"/>
          <w:sz w:val="28"/>
          <w:szCs w:val="28"/>
        </w:rPr>
        <w:t xml:space="preserve"> Радіфарм та Clonex</w:t>
      </w:r>
      <w:r w:rsidR="00115B07"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gel (</w:t>
      </w:r>
      <w:r w:rsidR="00433A0E" w:rsidRPr="00CC7883">
        <w:rPr>
          <w:rFonts w:ascii="Times New Roman" w:eastAsia="NSimSun" w:hAnsi="Times New Roman" w:cs="Times New Roman"/>
          <w:color w:val="000000" w:themeColor="text1"/>
          <w:kern w:val="3"/>
          <w:sz w:val="28"/>
          <w:szCs w:val="28"/>
          <w:lang w:eastAsia="zh-CN" w:bidi="hi-IN"/>
        </w:rPr>
        <w:t>рис.</w:t>
      </w:r>
      <w:r w:rsidR="00433A0E"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3.9).</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noProof/>
          <w:color w:val="000000" w:themeColor="text1"/>
          <w:kern w:val="3"/>
          <w:lang w:val="ru-RU" w:eastAsia="ru-RU"/>
        </w:rPr>
        <w:drawing>
          <wp:inline distT="0" distB="0" distL="0" distR="0">
            <wp:extent cx="3939540" cy="2076450"/>
            <wp:effectExtent l="19050" t="19050" r="3810" b="0"/>
            <wp:docPr id="1417254426" name="Зображення2" descr="Зображення, що містить у приміщенні, акваріум, безалкогольний напій, ваз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254426" name="Зображення2" descr="Зображення, що містить у приміщенні, акваріум, безалкогольний напій, ваза&#10;&#10;Автоматично згенерований опис"/>
                    <pic:cNvPicPr preferRelativeResize="0"/>
                  </pic:nvPicPr>
                  <pic:blipFill>
                    <a:blip r:embed="rId49" cstate="print">
                      <a:lum/>
                      <a:alphaModFix/>
                    </a:blip>
                    <a:srcRect/>
                    <a:stretch>
                      <a:fillRect/>
                    </a:stretch>
                  </pic:blipFill>
                  <pic:spPr>
                    <a:xfrm>
                      <a:off x="0" y="0"/>
                      <a:ext cx="3939806" cy="2076590"/>
                    </a:xfrm>
                    <a:prstGeom prst="rect">
                      <a:avLst/>
                    </a:prstGeom>
                    <a:noFill/>
                    <a:ln>
                      <a:solidFill>
                        <a:sysClr val="windowText" lastClr="000000"/>
                      </a:solidFill>
                      <a:prstDash/>
                    </a:ln>
                  </pic:spPr>
                </pic:pic>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rPr>
        <w:t xml:space="preserve">Рис. 3.9. Утворення калусних мас на базальній частині ініціальних експлантів винограду сорту </w:t>
      </w:r>
      <w:r w:rsidRPr="00CC7883">
        <w:rPr>
          <w:rFonts w:ascii="Times New Roman" w:eastAsia="NSimSun" w:hAnsi="Times New Roman" w:cs="Times New Roman"/>
          <w:bCs/>
          <w:color w:val="000000" w:themeColor="text1"/>
          <w:kern w:val="3"/>
          <w:sz w:val="28"/>
          <w:szCs w:val="28"/>
          <w:lang w:eastAsia="zh-CN" w:bidi="hi-IN"/>
        </w:rPr>
        <w:t>«Добриня»</w:t>
      </w:r>
    </w:p>
    <w:p w:rsidR="0060413B" w:rsidRPr="00CC7883" w:rsidRDefault="0060413B"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lang w:eastAsia="zh-CN" w:bidi="hi-IN"/>
        </w:rPr>
      </w:pP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lastRenderedPageBreak/>
        <w:t>Процес ризогенезу ініціальних експлантів винограду розпочинався на 7-му добу досліджен</w:t>
      </w:r>
      <w:r w:rsidR="00D446B8">
        <w:rPr>
          <w:rFonts w:ascii="Times New Roman" w:eastAsia="NSimSun" w:hAnsi="Times New Roman" w:cs="Times New Roman"/>
          <w:color w:val="000000" w:themeColor="text1"/>
          <w:kern w:val="3"/>
          <w:sz w:val="28"/>
          <w:szCs w:val="28"/>
        </w:rPr>
        <w:t>ня</w:t>
      </w:r>
      <w:r w:rsidRPr="00CC7883">
        <w:rPr>
          <w:rFonts w:ascii="Times New Roman" w:eastAsia="NSimSun" w:hAnsi="Times New Roman" w:cs="Times New Roman"/>
          <w:color w:val="000000" w:themeColor="text1"/>
          <w:kern w:val="3"/>
          <w:sz w:val="28"/>
          <w:szCs w:val="28"/>
        </w:rPr>
        <w:t xml:space="preserve"> у варіантах з Clonex gel та з додаванням до поживного середовища мінеральних субстратів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kern w:val="3"/>
          <w:sz w:val="28"/>
          <w:szCs w:val="28"/>
        </w:rPr>
        <w:t xml:space="preserve"> агроперліт і вермикуліт. Так</w:t>
      </w:r>
      <w:r w:rsidR="00E50059">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у сорту </w:t>
      </w:r>
      <w:r w:rsidRPr="00CC7883">
        <w:rPr>
          <w:rFonts w:ascii="Times New Roman" w:eastAsia="NSimSun" w:hAnsi="Times New Roman" w:cs="Times New Roman"/>
          <w:bCs/>
          <w:color w:val="000000" w:themeColor="text1"/>
          <w:kern w:val="3"/>
          <w:sz w:val="28"/>
          <w:szCs w:val="28"/>
          <w:lang w:eastAsia="zh-CN" w:bidi="hi-IN"/>
        </w:rPr>
        <w:t>«Добриня»</w:t>
      </w:r>
      <w:r w:rsidRPr="00CC7883">
        <w:rPr>
          <w:rFonts w:ascii="Times New Roman" w:eastAsia="NSimSun" w:hAnsi="Times New Roman" w:cs="Times New Roman"/>
          <w:color w:val="000000" w:themeColor="text1"/>
          <w:kern w:val="3"/>
          <w:sz w:val="28"/>
          <w:szCs w:val="28"/>
        </w:rPr>
        <w:t xml:space="preserve"> у цей термін ризогенез розпочинався </w:t>
      </w:r>
      <w:r w:rsidR="00E50059">
        <w:rPr>
          <w:rFonts w:ascii="Times New Roman" w:eastAsia="NSimSun" w:hAnsi="Times New Roman" w:cs="Times New Roman"/>
          <w:color w:val="000000" w:themeColor="text1"/>
          <w:kern w:val="3"/>
          <w:sz w:val="28"/>
          <w:szCs w:val="28"/>
        </w:rPr>
        <w:t>в</w:t>
      </w:r>
      <w:r w:rsidRPr="00CC7883">
        <w:rPr>
          <w:rFonts w:ascii="Times New Roman" w:eastAsia="NSimSun" w:hAnsi="Times New Roman" w:cs="Times New Roman"/>
          <w:color w:val="000000" w:themeColor="text1"/>
          <w:kern w:val="3"/>
          <w:sz w:val="28"/>
          <w:szCs w:val="28"/>
        </w:rPr>
        <w:t xml:space="preserve"> ініціальних експлантів п’ятого (2,6 %), одинадцятого (1,5 %) та дванадцятого (5,6 %) варіантів, у сорту «Гарант»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kern w:val="3"/>
          <w:sz w:val="28"/>
          <w:szCs w:val="28"/>
        </w:rPr>
        <w:t xml:space="preserve"> у ініціальних експлантів другого (5,3 %), одинадцятого (3,0</w:t>
      </w:r>
      <w:r w:rsidR="0026149E">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 та дванадцятого (13,0 %) варіантів, у сорту </w:t>
      </w:r>
      <w:r w:rsidRPr="00CC7883">
        <w:rPr>
          <w:rFonts w:ascii="Times New Roman" w:hAnsi="Times New Roman" w:cs="Times New Roman"/>
          <w:color w:val="000000" w:themeColor="text1"/>
          <w:sz w:val="28"/>
          <w:szCs w:val="28"/>
        </w:rPr>
        <w:t>«Ярило»</w:t>
      </w:r>
      <w:r w:rsidR="0068065D" w:rsidRPr="00CC7883">
        <w:rPr>
          <w:rFonts w:ascii="Times New Roman" w:hAnsi="Times New Roman" w:cs="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kern w:val="3"/>
          <w:sz w:val="28"/>
          <w:szCs w:val="28"/>
        </w:rPr>
        <w:t xml:space="preserve"> у ініціальних експлантів п’ятого (9,8 %) та шостого (9,5 %) варіантів, у сорту </w:t>
      </w:r>
      <w:r w:rsidRPr="00CC7883">
        <w:rPr>
          <w:rFonts w:ascii="Times New Roman" w:hAnsi="Times New Roman" w:cs="Times New Roman"/>
          <w:color w:val="000000" w:themeColor="text1"/>
          <w:sz w:val="28"/>
          <w:szCs w:val="28"/>
        </w:rPr>
        <w:t>«Загрей»</w:t>
      </w:r>
      <w:r w:rsidRPr="00CC7883">
        <w:rPr>
          <w:rFonts w:ascii="Times New Roman" w:eastAsia="NSimSun" w:hAnsi="Times New Roman" w:cs="Times New Roman"/>
          <w:color w:val="000000" w:themeColor="text1"/>
          <w:kern w:val="3"/>
          <w:sz w:val="28"/>
          <w:szCs w:val="28"/>
        </w:rPr>
        <w:t xml:space="preserve"> – п’ятого (5,4 %) і шостого (6,2 %) варіантів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3.10).</w:t>
      </w:r>
    </w:p>
    <w:p w:rsidR="007A5318" w:rsidRPr="00CC7883" w:rsidRDefault="007A5318" w:rsidP="00047411">
      <w:pPr>
        <w:widowControl w:val="0"/>
        <w:spacing w:after="0" w:line="360" w:lineRule="auto"/>
        <w:ind w:firstLine="708"/>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На 10-ту добу досліджен</w:t>
      </w:r>
      <w:r w:rsidR="00D446B8">
        <w:rPr>
          <w:rFonts w:ascii="Times New Roman" w:eastAsia="NSimSun" w:hAnsi="Times New Roman" w:cs="Times New Roman"/>
          <w:color w:val="000000" w:themeColor="text1"/>
          <w:kern w:val="3"/>
          <w:sz w:val="28"/>
          <w:szCs w:val="28"/>
        </w:rPr>
        <w:t>ня</w:t>
      </w:r>
      <w:r w:rsidRPr="00CC7883">
        <w:rPr>
          <w:rFonts w:ascii="Times New Roman" w:eastAsia="NSimSun" w:hAnsi="Times New Roman" w:cs="Times New Roman"/>
          <w:color w:val="000000" w:themeColor="text1"/>
          <w:kern w:val="3"/>
          <w:sz w:val="28"/>
          <w:szCs w:val="28"/>
        </w:rPr>
        <w:t xml:space="preserve"> ризогенез розпочинався у більшості ініціальних експлантів </w:t>
      </w:r>
      <w:r w:rsidR="002F0D54">
        <w:rPr>
          <w:rFonts w:ascii="Times New Roman" w:eastAsia="NSimSun" w:hAnsi="Times New Roman" w:cs="Times New Roman"/>
          <w:color w:val="000000" w:themeColor="text1"/>
          <w:kern w:val="3"/>
          <w:sz w:val="28"/>
          <w:szCs w:val="28"/>
        </w:rPr>
        <w:t>у</w:t>
      </w:r>
      <w:r w:rsidRPr="00CC7883">
        <w:rPr>
          <w:rFonts w:ascii="Times New Roman" w:eastAsia="NSimSun" w:hAnsi="Times New Roman" w:cs="Times New Roman"/>
          <w:color w:val="000000" w:themeColor="text1"/>
          <w:kern w:val="3"/>
          <w:sz w:val="28"/>
          <w:szCs w:val="28"/>
        </w:rPr>
        <w:t>сіх дослідних варіантів та контрольних, кількість яких збільшувалась на 6,0–16,0 % порівняно з кількістю</w:t>
      </w:r>
      <w:r w:rsidR="00E96B5F">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встановленою на 7-му добу досліджен</w:t>
      </w:r>
      <w:r w:rsidR="00D446B8">
        <w:rPr>
          <w:rFonts w:ascii="Times New Roman" w:eastAsia="NSimSun" w:hAnsi="Times New Roman" w:cs="Times New Roman"/>
          <w:color w:val="000000" w:themeColor="text1"/>
          <w:kern w:val="3"/>
          <w:sz w:val="28"/>
          <w:szCs w:val="28"/>
        </w:rPr>
        <w:t>ня</w:t>
      </w:r>
      <w:r w:rsidRPr="00CC7883">
        <w:rPr>
          <w:rFonts w:ascii="Times New Roman" w:eastAsia="NSimSun" w:hAnsi="Times New Roman" w:cs="Times New Roman"/>
          <w:color w:val="000000" w:themeColor="text1"/>
          <w:kern w:val="3"/>
          <w:sz w:val="28"/>
          <w:szCs w:val="28"/>
        </w:rPr>
        <w:t>.</w:t>
      </w:r>
    </w:p>
    <w:p w:rsidR="007A5318" w:rsidRPr="00CC7883" w:rsidRDefault="007A5318"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На 15-ту добу досліджен</w:t>
      </w:r>
      <w:r w:rsidR="00D446B8">
        <w:rPr>
          <w:rFonts w:ascii="Times New Roman" w:eastAsia="NSimSun" w:hAnsi="Times New Roman" w:cs="Times New Roman"/>
          <w:color w:val="000000" w:themeColor="text1"/>
          <w:kern w:val="3"/>
          <w:sz w:val="28"/>
          <w:szCs w:val="28"/>
        </w:rPr>
        <w:t>ня</w:t>
      </w:r>
      <w:r w:rsidRPr="00CC7883">
        <w:rPr>
          <w:rFonts w:ascii="Times New Roman" w:eastAsia="NSimSun" w:hAnsi="Times New Roman" w:cs="Times New Roman"/>
          <w:color w:val="000000" w:themeColor="text1"/>
          <w:kern w:val="3"/>
          <w:sz w:val="28"/>
          <w:szCs w:val="28"/>
        </w:rPr>
        <w:t xml:space="preserve"> найбільша кількість ініціальних експлантів винограду, у яких інтенсивно утворювалися корені</w:t>
      </w:r>
      <w:r w:rsidR="00B27ACC">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була після культивування на поживних середовищах із меншим вмістом фітогормонів загалом (0,2 мг/л 6-БАП; 0,3 мг/л ІОК) та з додаванням препаратів Clonex</w:t>
      </w:r>
      <w:r w:rsidR="00115B07"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gel, Радіфарм, а також агроперліту.</w:t>
      </w:r>
    </w:p>
    <w:p w:rsidR="00047411" w:rsidRDefault="002A03C9"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підщепних сортів цих варіантів (третій, п’ятий, сьомий, одинадцятий) кількість ініціальних експлантів із кореневими зачатками збільшувалась відносно контролю у середньому на 10,2–30,1 %, у технічних сортів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kern w:val="3"/>
          <w:sz w:val="28"/>
          <w:szCs w:val="28"/>
        </w:rPr>
        <w:t xml:space="preserve"> відповідно на 14,5–34,4</w:t>
      </w:r>
      <w:r w:rsidR="00C11D2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3.11).</w:t>
      </w:r>
    </w:p>
    <w:p w:rsidR="002A03C9" w:rsidRPr="002879CB" w:rsidRDefault="002A03C9"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spacing w:val="-12"/>
          <w:kern w:val="3"/>
          <w:sz w:val="28"/>
          <w:szCs w:val="28"/>
        </w:rPr>
      </w:pPr>
      <w:r w:rsidRPr="002879CB">
        <w:rPr>
          <w:rFonts w:ascii="Times New Roman" w:eastAsia="NSimSun" w:hAnsi="Times New Roman" w:cs="Times New Roman"/>
          <w:color w:val="000000" w:themeColor="text1"/>
          <w:spacing w:val="-12"/>
          <w:kern w:val="3"/>
          <w:sz w:val="28"/>
          <w:szCs w:val="28"/>
        </w:rPr>
        <w:t>Повний облік</w:t>
      </w:r>
      <w:r w:rsidR="00416C54" w:rsidRPr="002879CB">
        <w:rPr>
          <w:rFonts w:ascii="Times New Roman" w:eastAsia="NSimSun" w:hAnsi="Times New Roman" w:cs="Times New Roman"/>
          <w:color w:val="000000" w:themeColor="text1"/>
          <w:spacing w:val="-12"/>
          <w:kern w:val="3"/>
          <w:sz w:val="28"/>
          <w:szCs w:val="28"/>
        </w:rPr>
        <w:t xml:space="preserve"> </w:t>
      </w:r>
      <w:r w:rsidRPr="002879CB">
        <w:rPr>
          <w:rFonts w:ascii="Times New Roman" w:eastAsia="NSimSun" w:hAnsi="Times New Roman" w:cs="Times New Roman"/>
          <w:color w:val="000000" w:themeColor="text1"/>
          <w:spacing w:val="-12"/>
          <w:kern w:val="3"/>
          <w:sz w:val="28"/>
          <w:szCs w:val="28"/>
        </w:rPr>
        <w:t>ризогенезу ініціальних експлантів винограду проводили на 30-ту добу досліджен</w:t>
      </w:r>
      <w:r w:rsidR="00D446B8" w:rsidRPr="002879CB">
        <w:rPr>
          <w:rFonts w:ascii="Times New Roman" w:eastAsia="NSimSun" w:hAnsi="Times New Roman" w:cs="Times New Roman"/>
          <w:color w:val="000000" w:themeColor="text1"/>
          <w:spacing w:val="-12"/>
          <w:kern w:val="3"/>
          <w:sz w:val="28"/>
          <w:szCs w:val="28"/>
        </w:rPr>
        <w:t>ня</w:t>
      </w:r>
      <w:r w:rsidRPr="002879CB">
        <w:rPr>
          <w:rFonts w:ascii="Times New Roman" w:eastAsia="NSimSun" w:hAnsi="Times New Roman" w:cs="Times New Roman"/>
          <w:color w:val="000000" w:themeColor="text1"/>
          <w:spacing w:val="-12"/>
          <w:kern w:val="3"/>
          <w:sz w:val="28"/>
          <w:szCs w:val="28"/>
        </w:rPr>
        <w:t>.</w:t>
      </w:r>
      <w:r w:rsidR="0068065D" w:rsidRPr="002879CB">
        <w:rPr>
          <w:rFonts w:ascii="Times New Roman" w:eastAsia="NSimSun" w:hAnsi="Times New Roman" w:cs="Times New Roman"/>
          <w:color w:val="000000" w:themeColor="text1"/>
          <w:spacing w:val="-12"/>
          <w:kern w:val="3"/>
          <w:sz w:val="28"/>
          <w:szCs w:val="28"/>
        </w:rPr>
        <w:t xml:space="preserve"> </w:t>
      </w:r>
      <w:r w:rsidRPr="002879CB">
        <w:rPr>
          <w:rFonts w:ascii="Times New Roman" w:eastAsia="NSimSun" w:hAnsi="Times New Roman" w:cs="Times New Roman"/>
          <w:color w:val="000000" w:themeColor="text1"/>
          <w:spacing w:val="-12"/>
          <w:kern w:val="3"/>
          <w:sz w:val="28"/>
          <w:szCs w:val="28"/>
        </w:rPr>
        <w:t>Згідно з даними, найкращі результати щодо інтенсивності ризогенезу були від</w:t>
      </w:r>
      <w:r w:rsidR="00240B07" w:rsidRPr="002879CB">
        <w:rPr>
          <w:rFonts w:ascii="Times New Roman" w:eastAsia="NSimSun" w:hAnsi="Times New Roman" w:cs="Times New Roman"/>
          <w:color w:val="000000" w:themeColor="text1"/>
          <w:spacing w:val="-12"/>
          <w:kern w:val="3"/>
          <w:sz w:val="28"/>
          <w:szCs w:val="28"/>
        </w:rPr>
        <w:t>значені</w:t>
      </w:r>
      <w:r w:rsidRPr="002879CB">
        <w:rPr>
          <w:rFonts w:ascii="Times New Roman" w:eastAsia="NSimSun" w:hAnsi="Times New Roman" w:cs="Times New Roman"/>
          <w:color w:val="000000" w:themeColor="text1"/>
          <w:spacing w:val="-12"/>
          <w:kern w:val="3"/>
          <w:sz w:val="28"/>
          <w:szCs w:val="28"/>
        </w:rPr>
        <w:t xml:space="preserve"> у всіх сортів на поживних середовищах з Clonex gel (п’ятий варіант), агроперлітом (сьомий варіант), сумішшю агроперліту і вермикуліту (одинадцятий варіант) та з препаратом Радіфарм (третій варіант).</w:t>
      </w:r>
      <w:r w:rsidR="0068065D" w:rsidRPr="002879CB">
        <w:rPr>
          <w:rFonts w:ascii="Times New Roman" w:eastAsia="NSimSun" w:hAnsi="Times New Roman" w:cs="Times New Roman"/>
          <w:color w:val="000000" w:themeColor="text1"/>
          <w:spacing w:val="-12"/>
          <w:kern w:val="3"/>
          <w:sz w:val="28"/>
          <w:szCs w:val="28"/>
        </w:rPr>
        <w:t xml:space="preserve"> Після культивування ініціальних експлантів підщепних сортів винограду на вказаних поживних середовищах утворення кореневих зачатків або коренів спостерігалося у п’ятого варіанту </w:t>
      </w:r>
      <w:r w:rsidR="0068065D" w:rsidRPr="002879CB">
        <w:rPr>
          <w:rFonts w:ascii="Times New Roman" w:eastAsia="NSimSun" w:hAnsi="Times New Roman" w:cs="Times New Roman"/>
          <w:color w:val="000000" w:themeColor="text1"/>
          <w:spacing w:val="-12"/>
          <w:kern w:val="3"/>
          <w:sz w:val="28"/>
          <w:szCs w:val="28"/>
          <w:lang w:eastAsia="zh-CN" w:bidi="hi-IN"/>
        </w:rPr>
        <w:t>–</w:t>
      </w:r>
      <w:r w:rsidR="0068065D" w:rsidRPr="002879CB">
        <w:rPr>
          <w:rFonts w:ascii="Times New Roman" w:eastAsia="NSimSun" w:hAnsi="Times New Roman" w:cs="Times New Roman"/>
          <w:color w:val="000000" w:themeColor="text1"/>
          <w:spacing w:val="-12"/>
          <w:kern w:val="3"/>
          <w:sz w:val="28"/>
          <w:szCs w:val="28"/>
        </w:rPr>
        <w:t xml:space="preserve"> 79,2 %, сьомого </w:t>
      </w:r>
      <w:r w:rsidR="0068065D" w:rsidRPr="002879CB">
        <w:rPr>
          <w:rFonts w:ascii="Times New Roman" w:eastAsia="NSimSun" w:hAnsi="Times New Roman" w:cs="Times New Roman"/>
          <w:color w:val="000000" w:themeColor="text1"/>
          <w:spacing w:val="-12"/>
          <w:kern w:val="3"/>
          <w:sz w:val="28"/>
          <w:szCs w:val="28"/>
          <w:lang w:eastAsia="zh-CN" w:bidi="hi-IN"/>
        </w:rPr>
        <w:t>–</w:t>
      </w:r>
      <w:r w:rsidR="0068065D" w:rsidRPr="002879CB">
        <w:rPr>
          <w:rFonts w:ascii="Times New Roman" w:eastAsia="NSimSun" w:hAnsi="Times New Roman" w:cs="Times New Roman"/>
          <w:color w:val="000000" w:themeColor="text1"/>
          <w:spacing w:val="-12"/>
          <w:kern w:val="3"/>
          <w:sz w:val="28"/>
          <w:szCs w:val="28"/>
        </w:rPr>
        <w:t xml:space="preserve"> 72,5 %, одинадцятого </w:t>
      </w:r>
      <w:r w:rsidR="0068065D" w:rsidRPr="002879CB">
        <w:rPr>
          <w:rFonts w:ascii="Times New Roman" w:eastAsia="NSimSun" w:hAnsi="Times New Roman" w:cs="Times New Roman"/>
          <w:color w:val="000000" w:themeColor="text1"/>
          <w:spacing w:val="-12"/>
          <w:kern w:val="3"/>
          <w:sz w:val="28"/>
          <w:szCs w:val="28"/>
          <w:lang w:eastAsia="zh-CN" w:bidi="hi-IN"/>
        </w:rPr>
        <w:t>–</w:t>
      </w:r>
      <w:r w:rsidR="0068065D" w:rsidRPr="002879CB">
        <w:rPr>
          <w:rFonts w:ascii="Times New Roman" w:eastAsia="NSimSun" w:hAnsi="Times New Roman" w:cs="Times New Roman"/>
          <w:color w:val="000000" w:themeColor="text1"/>
          <w:spacing w:val="-12"/>
          <w:kern w:val="3"/>
          <w:sz w:val="28"/>
          <w:szCs w:val="28"/>
        </w:rPr>
        <w:t xml:space="preserve"> 60,5</w:t>
      </w:r>
      <w:r w:rsidR="004601BF" w:rsidRPr="002879CB">
        <w:rPr>
          <w:rFonts w:ascii="Times New Roman" w:eastAsia="NSimSun" w:hAnsi="Times New Roman" w:cs="Times New Roman"/>
          <w:color w:val="000000" w:themeColor="text1"/>
          <w:spacing w:val="-12"/>
          <w:kern w:val="3"/>
          <w:sz w:val="28"/>
          <w:szCs w:val="28"/>
        </w:rPr>
        <w:t> </w:t>
      </w:r>
      <w:r w:rsidR="0068065D" w:rsidRPr="002879CB">
        <w:rPr>
          <w:rFonts w:ascii="Times New Roman" w:eastAsia="NSimSun" w:hAnsi="Times New Roman" w:cs="Times New Roman"/>
          <w:color w:val="000000" w:themeColor="text1"/>
          <w:spacing w:val="-12"/>
          <w:kern w:val="3"/>
          <w:sz w:val="28"/>
          <w:szCs w:val="28"/>
        </w:rPr>
        <w:t xml:space="preserve">% та третього </w:t>
      </w:r>
      <w:r w:rsidR="0068065D" w:rsidRPr="002879CB">
        <w:rPr>
          <w:rFonts w:ascii="Times New Roman" w:eastAsia="NSimSun" w:hAnsi="Times New Roman" w:cs="Times New Roman"/>
          <w:color w:val="000000" w:themeColor="text1"/>
          <w:spacing w:val="-12"/>
          <w:kern w:val="3"/>
          <w:sz w:val="28"/>
          <w:szCs w:val="28"/>
          <w:lang w:eastAsia="zh-CN" w:bidi="hi-IN"/>
        </w:rPr>
        <w:t>–</w:t>
      </w:r>
      <w:r w:rsidR="0068065D" w:rsidRPr="002879CB">
        <w:rPr>
          <w:rFonts w:ascii="Times New Roman" w:eastAsia="NSimSun" w:hAnsi="Times New Roman" w:cs="Times New Roman"/>
          <w:color w:val="000000" w:themeColor="text1"/>
          <w:spacing w:val="-12"/>
          <w:kern w:val="3"/>
          <w:sz w:val="28"/>
          <w:szCs w:val="28"/>
        </w:rPr>
        <w:t xml:space="preserve"> 58,3 %.</w:t>
      </w:r>
    </w:p>
    <w:p w:rsidR="00796030" w:rsidRPr="00CC7883" w:rsidRDefault="00796030" w:rsidP="002879CB">
      <w:pPr>
        <w:widowControl w:val="0"/>
        <w:autoSpaceDN w:val="0"/>
        <w:spacing w:before="240"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lastRenderedPageBreak/>
        <w:drawing>
          <wp:inline distT="0" distB="0" distL="0" distR="0">
            <wp:extent cx="5522595" cy="1578634"/>
            <wp:effectExtent l="19050" t="0" r="20955" b="2516"/>
            <wp:docPr id="12" name="Диаграмма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F2234579-15A4-D060-20FA-8ACB0E3FEF2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0"/>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7 доба</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drawing>
          <wp:inline distT="0" distB="0" distL="0" distR="0">
            <wp:extent cx="5525135" cy="1647645"/>
            <wp:effectExtent l="19050" t="0" r="18415" b="0"/>
            <wp:docPr id="13" name="Диаграмма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100-000007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1"/>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10 доба</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drawing>
          <wp:inline distT="0" distB="0" distL="0" distR="0">
            <wp:extent cx="5547014" cy="1757548"/>
            <wp:effectExtent l="19050" t="0" r="15586" b="0"/>
            <wp:docPr id="681773702" name="Диаграм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1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2"/>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15 доба</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drawing>
          <wp:inline distT="0" distB="0" distL="0" distR="0">
            <wp:extent cx="5570765" cy="1698171"/>
            <wp:effectExtent l="19050" t="0" r="10885" b="0"/>
            <wp:docPr id="2108320424" name="Диаграм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100-000009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3"/>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30 доба</w:t>
      </w:r>
    </w:p>
    <w:p w:rsidR="00796030" w:rsidRPr="00CC7883" w:rsidRDefault="00796030" w:rsidP="002879CB">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Рис. 3.10. Ризогенез ініціальних експлантів винограду на різних типах поживних середовищ (середнє за 2019–2022 рр.)</w:t>
      </w:r>
    </w:p>
    <w:p w:rsidR="00796030" w:rsidRPr="00CC7883" w:rsidRDefault="00796030" w:rsidP="00047411">
      <w:pPr>
        <w:widowControl w:val="0"/>
        <w:spacing w:after="0" w:line="360" w:lineRule="auto"/>
        <w:ind w:firstLine="708"/>
        <w:jc w:val="both"/>
        <w:rPr>
          <w:rFonts w:ascii="Times New Roman" w:eastAsia="NSimSun" w:hAnsi="Times New Roman" w:cs="Times New Roman"/>
          <w:color w:val="000000" w:themeColor="text1"/>
          <w:kern w:val="3"/>
          <w:sz w:val="28"/>
          <w:szCs w:val="28"/>
        </w:rPr>
      </w:pP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noProof/>
          <w:color w:val="000000" w:themeColor="text1"/>
          <w:kern w:val="3"/>
          <w:lang w:val="ru-RU" w:eastAsia="ru-RU"/>
        </w:rPr>
        <w:lastRenderedPageBreak/>
        <w:drawing>
          <wp:inline distT="0" distB="0" distL="0" distR="0">
            <wp:extent cx="5014800" cy="2374803"/>
            <wp:effectExtent l="19050" t="19050" r="0" b="698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4" cstate="print"/>
                    <a:srcRect l="9019" t="-5" r="-179" b="-5"/>
                    <a:stretch/>
                  </pic:blipFill>
                  <pic:spPr bwMode="auto">
                    <a:xfrm>
                      <a:off x="0" y="0"/>
                      <a:ext cx="5017923" cy="2376282"/>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Контроль</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noProof/>
          <w:color w:val="000000" w:themeColor="text1"/>
          <w:kern w:val="3"/>
          <w:lang w:val="ru-RU" w:eastAsia="ru-RU"/>
        </w:rPr>
        <w:drawing>
          <wp:inline distT="0" distB="0" distL="0" distR="0">
            <wp:extent cx="5014800" cy="2376000"/>
            <wp:effectExtent l="19050" t="19050" r="0" b="5715"/>
            <wp:docPr id="180283414" name="Зображення3" descr="Зображення, що містить мистецтво, рослина, овоч&#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83414" name="Зображення3" descr="Зображення, що містить мистецтво, рослина, овоч&#10;&#10;Автоматично згенерований опис"/>
                    <pic:cNvPicPr preferRelativeResize="0"/>
                  </pic:nvPicPr>
                  <pic:blipFill rotWithShape="1">
                    <a:blip r:embed="rId55" cstate="print">
                      <a:lum/>
                      <a:alphaModFix/>
                    </a:blip>
                    <a:srcRect l="8889"/>
                    <a:stretch>
                      <a:fillRect/>
                    </a:stretch>
                  </pic:blipFill>
                  <pic:spPr bwMode="auto">
                    <a:xfrm>
                      <a:off x="0" y="0"/>
                      <a:ext cx="5014800" cy="237600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MS + агроперліт + вермикуліт</w:t>
      </w:r>
    </w:p>
    <w:p w:rsidR="000A65C7"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Рис. 3.11. Розвиток коренів ініціальних експлантів винограду на поживному середовищі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00D44EFF" w:rsidRPr="00F62136">
        <w:rPr>
          <w:rFonts w:ascii="Times New Roman" w:eastAsia="NSimSun" w:hAnsi="Times New Roman" w:cs="Times New Roman"/>
          <w:color w:val="000000" w:themeColor="text1"/>
          <w:kern w:val="3"/>
          <w:sz w:val="28"/>
          <w:szCs w:val="28"/>
        </w:rPr>
        <w:t xml:space="preserve"> </w:t>
      </w:r>
      <w:r w:rsidRPr="00CC7883">
        <w:rPr>
          <w:rFonts w:ascii="Times New Roman" w:hAnsi="Times New Roman" w:cs="Times New Roman"/>
          <w:color w:val="000000" w:themeColor="text1"/>
          <w:sz w:val="28"/>
          <w:szCs w:val="28"/>
        </w:rPr>
        <w:t xml:space="preserve">+ 0,3 мг/л ІОК + 0,2 мг/л 6-БАП </w:t>
      </w:r>
      <w:r w:rsidRPr="00CC7883">
        <w:rPr>
          <w:rFonts w:ascii="Times New Roman" w:eastAsia="NSimSun" w:hAnsi="Times New Roman" w:cs="Times New Roman"/>
          <w:color w:val="000000" w:themeColor="text1"/>
          <w:kern w:val="3"/>
          <w:sz w:val="28"/>
          <w:szCs w:val="28"/>
        </w:rPr>
        <w:t xml:space="preserve">+ агроперліт + вермикуліт </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(15 доба) </w:t>
      </w: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kern w:val="3"/>
          <w:sz w:val="28"/>
          <w:szCs w:val="28"/>
        </w:rPr>
      </w:pPr>
    </w:p>
    <w:p w:rsidR="00796030" w:rsidRPr="00CC7883" w:rsidRDefault="00796030" w:rsidP="00047411">
      <w:pPr>
        <w:widowControl w:val="0"/>
        <w:autoSpaceDN w:val="0"/>
        <w:spacing w:after="0" w:line="360" w:lineRule="auto"/>
        <w:jc w:val="both"/>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color w:val="000000" w:themeColor="text1"/>
          <w:spacing w:val="-8"/>
          <w:kern w:val="3"/>
          <w:sz w:val="28"/>
          <w:szCs w:val="28"/>
        </w:rPr>
        <w:t xml:space="preserve">У технічних сортів винограду ці показники становили: 61,2 % для п’ятого варіанту, 55,4 %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pacing w:val="-8"/>
          <w:kern w:val="3"/>
          <w:sz w:val="28"/>
          <w:szCs w:val="28"/>
        </w:rPr>
        <w:t xml:space="preserve"> сьомого, 52,2 %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pacing w:val="-8"/>
          <w:kern w:val="3"/>
          <w:sz w:val="28"/>
          <w:szCs w:val="28"/>
        </w:rPr>
        <w:t xml:space="preserve"> одинадцятого та 48,9 %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pacing w:val="-8"/>
          <w:kern w:val="3"/>
          <w:sz w:val="28"/>
          <w:szCs w:val="28"/>
        </w:rPr>
        <w:t xml:space="preserve"> третього. У першому контрольному варіанті кількість ініціальних експлантів, що характеризувалась наявністю коренів</w:t>
      </w:r>
      <w:r w:rsidR="00F26F32">
        <w:rPr>
          <w:rFonts w:ascii="Times New Roman" w:eastAsia="NSimSun" w:hAnsi="Times New Roman" w:cs="Times New Roman"/>
          <w:color w:val="000000" w:themeColor="text1"/>
          <w:spacing w:val="-8"/>
          <w:kern w:val="3"/>
          <w:sz w:val="28"/>
          <w:szCs w:val="28"/>
        </w:rPr>
        <w:t>,</w:t>
      </w:r>
      <w:r w:rsidRPr="00CC7883">
        <w:rPr>
          <w:rFonts w:ascii="Times New Roman" w:eastAsia="NSimSun" w:hAnsi="Times New Roman" w:cs="Times New Roman"/>
          <w:color w:val="000000" w:themeColor="text1"/>
          <w:spacing w:val="-8"/>
          <w:kern w:val="3"/>
          <w:sz w:val="28"/>
          <w:szCs w:val="28"/>
        </w:rPr>
        <w:t xml:space="preserve"> дорівнювала 48,9 % (підщепні сорти) та 41,0 % (технічні сорти). Але слід від</w:t>
      </w:r>
      <w:r w:rsidR="005538FA">
        <w:rPr>
          <w:rFonts w:ascii="Times New Roman" w:eastAsia="NSimSun" w:hAnsi="Times New Roman" w:cs="Times New Roman"/>
          <w:color w:val="000000" w:themeColor="text1"/>
          <w:spacing w:val="-8"/>
          <w:kern w:val="3"/>
          <w:sz w:val="28"/>
          <w:szCs w:val="28"/>
        </w:rPr>
        <w:t>значити</w:t>
      </w:r>
      <w:r w:rsidRPr="00CC7883">
        <w:rPr>
          <w:rFonts w:ascii="Times New Roman" w:eastAsia="NSimSun" w:hAnsi="Times New Roman" w:cs="Times New Roman"/>
          <w:color w:val="000000" w:themeColor="text1"/>
          <w:spacing w:val="-8"/>
          <w:kern w:val="3"/>
          <w:sz w:val="28"/>
          <w:szCs w:val="28"/>
        </w:rPr>
        <w:t>, що в ініціальних експлантів винограду контрольних варіантів утворювалося по 2–3 корені, які у подальшому набували більшої довжини, проте не були розгалуженими</w:t>
      </w:r>
      <w:r w:rsidR="005538FA">
        <w:rPr>
          <w:rFonts w:ascii="Times New Roman" w:eastAsia="NSimSun" w:hAnsi="Times New Roman" w:cs="Times New Roman"/>
          <w:color w:val="000000" w:themeColor="text1"/>
          <w:spacing w:val="-8"/>
          <w:kern w:val="3"/>
          <w:sz w:val="28"/>
          <w:szCs w:val="28"/>
        </w:rPr>
        <w:t>;</w:t>
      </w:r>
      <w:r w:rsidRPr="00CC7883">
        <w:rPr>
          <w:rFonts w:ascii="Times New Roman" w:eastAsia="NSimSun" w:hAnsi="Times New Roman" w:cs="Times New Roman"/>
          <w:color w:val="000000" w:themeColor="text1"/>
          <w:spacing w:val="-8"/>
          <w:kern w:val="3"/>
          <w:sz w:val="28"/>
          <w:szCs w:val="28"/>
        </w:rPr>
        <w:t xml:space="preserve"> у ініціальних експлантів винограду дослідних варіантів, навпаки, коренів утворювалося більше (5–8 шт.), вони мали велику кількість </w:t>
      </w:r>
      <w:r w:rsidRPr="00CC7883">
        <w:rPr>
          <w:rFonts w:ascii="Times New Roman" w:eastAsia="NSimSun" w:hAnsi="Times New Roman" w:cs="Times New Roman"/>
          <w:color w:val="000000" w:themeColor="text1"/>
          <w:spacing w:val="-8"/>
          <w:kern w:val="3"/>
          <w:sz w:val="28"/>
          <w:szCs w:val="28"/>
        </w:rPr>
        <w:lastRenderedPageBreak/>
        <w:t xml:space="preserve">коренів другого і навіть третього порядків, відповідно їх довжина була меншою. Цей факт є надзвичайно важливим для переведення мікроклонів винограду з умов </w:t>
      </w:r>
      <w:r w:rsidRPr="00695ABA">
        <w:rPr>
          <w:rFonts w:ascii="Times New Roman" w:eastAsia="NSimSun" w:hAnsi="Times New Roman" w:cs="Times New Roman"/>
          <w:i/>
          <w:color w:val="000000" w:themeColor="text1"/>
          <w:spacing w:val="-8"/>
          <w:kern w:val="3"/>
          <w:sz w:val="28"/>
          <w:szCs w:val="28"/>
        </w:rPr>
        <w:t>in vitro</w:t>
      </w:r>
      <w:r w:rsidRPr="00CC7883">
        <w:rPr>
          <w:rFonts w:ascii="Times New Roman" w:eastAsia="NSimSun" w:hAnsi="Times New Roman" w:cs="Times New Roman"/>
          <w:color w:val="000000" w:themeColor="text1"/>
          <w:spacing w:val="-8"/>
          <w:kern w:val="3"/>
          <w:sz w:val="28"/>
          <w:szCs w:val="28"/>
        </w:rPr>
        <w:t xml:space="preserve"> в умови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NSimSun" w:hAnsi="Times New Roman" w:cs="Times New Roman"/>
          <w:color w:val="000000" w:themeColor="text1"/>
          <w:spacing w:val="-8"/>
          <w:kern w:val="3"/>
          <w:sz w:val="28"/>
          <w:szCs w:val="28"/>
        </w:rPr>
        <w:t>.</w:t>
      </w: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color w:val="000000" w:themeColor="text1"/>
          <w:spacing w:val="-8"/>
          <w:kern w:val="3"/>
          <w:sz w:val="28"/>
          <w:szCs w:val="28"/>
        </w:rPr>
        <w:t>На 30-ту добу культивування порівняння кількості ініціальних експлантів із кореневими зачатками залежно від фітогормонального складу поживного середовища показало, що експланти винограду, культивовані на середовищах із нижчим вмістом фітогормонів (0,2 мг/л 6-БАП; 0,3 мг/л ІОК), мали вищий відсоток ризогенезу порівняно з тими, що культивували на поживних середовищах із підвищеним вмістом фітогормонів (0,5 мг/л 6-БАП; 0,6 мг/л ІОК).</w:t>
      </w: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i/>
          <w:color w:val="000000" w:themeColor="text1"/>
          <w:spacing w:val="-8"/>
          <w:kern w:val="3"/>
          <w:sz w:val="28"/>
          <w:szCs w:val="28"/>
        </w:rPr>
        <w:t>Поживні субстрати</w:t>
      </w:r>
      <w:r w:rsidRPr="00CC7883">
        <w:rPr>
          <w:rFonts w:ascii="Times New Roman" w:eastAsia="NSimSun" w:hAnsi="Times New Roman" w:cs="Times New Roman"/>
          <w:color w:val="000000" w:themeColor="text1"/>
          <w:spacing w:val="-8"/>
          <w:kern w:val="3"/>
          <w:sz w:val="28"/>
          <w:szCs w:val="28"/>
        </w:rPr>
        <w:t xml:space="preserve">. </w:t>
      </w:r>
      <w:r w:rsidR="005E11E7">
        <w:rPr>
          <w:rFonts w:ascii="Times New Roman" w:eastAsia="NSimSun" w:hAnsi="Times New Roman" w:cs="Times New Roman"/>
          <w:color w:val="000000" w:themeColor="text1"/>
          <w:kern w:val="3"/>
          <w:sz w:val="28"/>
          <w:szCs w:val="28"/>
        </w:rPr>
        <w:t>Порівняно</w:t>
      </w:r>
      <w:r w:rsidRPr="00CC7883">
        <w:rPr>
          <w:rFonts w:ascii="Times New Roman" w:eastAsia="NSimSun" w:hAnsi="Times New Roman" w:cs="Times New Roman"/>
          <w:color w:val="000000" w:themeColor="text1"/>
          <w:spacing w:val="-8"/>
          <w:kern w:val="3"/>
          <w:sz w:val="28"/>
          <w:szCs w:val="28"/>
        </w:rPr>
        <w:t xml:space="preserve"> з поживними середовищами процес ризогенезу на поживних субстратах розпочинався пізніше. Це можна пояснити тим, що у поживних середовищах фітогормони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pacing w:val="-8"/>
          <w:kern w:val="3"/>
          <w:sz w:val="28"/>
          <w:szCs w:val="28"/>
        </w:rPr>
        <w:t xml:space="preserve"> ІОК і 6-БАП рівномірно розчинені. Вони швидко засвоюються, стимулюють поділ клітин, відповідно швидше формуються перші кореневі зачатки. На субстратах ті самі фітогормони присутні у розчині (MS без сахарози і агару), яким проводили полив субстрату перед висаджуванням експлантів, але через пористу структуру агроперліту і вермикуліту вони розподілялися нерівномірно й частково адсорбувалися на поверхні частинок субстратів. Крім того, на субстратах відсутня сахароза, тому експланти повинні перейти на автотрофне живлення, що потребує часу. Перші прояви кореневих зачатків на базальній частині ініціальних експлантів проявлялись ближче до 15 доби. </w:t>
      </w: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color w:val="000000" w:themeColor="text1"/>
          <w:spacing w:val="-8"/>
          <w:kern w:val="3"/>
          <w:sz w:val="28"/>
          <w:szCs w:val="28"/>
        </w:rPr>
        <w:t>Так, на 15-ту добу ризогенез розпочинався у більшості ініціальних експлантів всіх дослідних варіантів, які культивувались на поживних субстратах. У контролів (MS + 0,3 мг/л ІОК + 0,2 мг/л 6-БАП; MS + 0,6 мг/л ІОК + 0,5 мг/л 6-БАП) ініціація кореневих зачатків починалась раніше (7–10 доба). Таким чином</w:t>
      </w:r>
      <w:r w:rsidR="00C94822">
        <w:rPr>
          <w:rFonts w:ascii="Times New Roman" w:eastAsia="NSimSun" w:hAnsi="Times New Roman" w:cs="Times New Roman"/>
          <w:color w:val="000000" w:themeColor="text1"/>
          <w:spacing w:val="-8"/>
          <w:kern w:val="3"/>
          <w:sz w:val="28"/>
          <w:szCs w:val="28"/>
        </w:rPr>
        <w:t>,</w:t>
      </w:r>
      <w:r w:rsidRPr="00CC7883">
        <w:rPr>
          <w:rFonts w:ascii="Times New Roman" w:eastAsia="NSimSun" w:hAnsi="Times New Roman" w:cs="Times New Roman"/>
          <w:color w:val="000000" w:themeColor="text1"/>
          <w:spacing w:val="-8"/>
          <w:kern w:val="3"/>
          <w:sz w:val="28"/>
          <w:szCs w:val="28"/>
        </w:rPr>
        <w:t xml:space="preserve"> ініціальних експлантів із кореневими зачатками на 15-ту добу у третьому–п’ятому варіантах було менше, ніж у першому і другому варіантах. Цей показник зменшувався на 14,6–15,9 % (</w:t>
      </w:r>
      <w:r w:rsidRPr="00CC7883">
        <w:rPr>
          <w:rFonts w:ascii="Times New Roman" w:eastAsia="NSimSun" w:hAnsi="Times New Roman" w:cs="Times New Roman"/>
          <w:bCs/>
          <w:color w:val="000000" w:themeColor="text1"/>
          <w:kern w:val="3"/>
          <w:sz w:val="28"/>
          <w:szCs w:val="28"/>
          <w:lang w:eastAsia="zh-CN" w:bidi="hi-IN"/>
        </w:rPr>
        <w:t>«Добриня»</w:t>
      </w:r>
      <w:r w:rsidRPr="00CC7883">
        <w:rPr>
          <w:rFonts w:ascii="Times New Roman" w:eastAsia="NSimSun" w:hAnsi="Times New Roman" w:cs="Times New Roman"/>
          <w:color w:val="000000" w:themeColor="text1"/>
          <w:spacing w:val="-8"/>
          <w:kern w:val="3"/>
          <w:sz w:val="28"/>
          <w:szCs w:val="28"/>
        </w:rPr>
        <w:t>), 14,2–16,3 % («Гарант»), 7,1–8,6 % («Ярило»), 5,5–6,8 % («Загрей») відносно контролів.</w:t>
      </w: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color w:val="000000" w:themeColor="text1"/>
          <w:spacing w:val="-8"/>
          <w:kern w:val="3"/>
          <w:sz w:val="28"/>
          <w:szCs w:val="28"/>
        </w:rPr>
        <w:t xml:space="preserve">Кількість ініціальних експлантів із кореневими зачатками дослідних </w:t>
      </w:r>
      <w:r w:rsidRPr="00CC7883">
        <w:rPr>
          <w:rFonts w:ascii="Times New Roman" w:eastAsia="NSimSun" w:hAnsi="Times New Roman" w:cs="Times New Roman"/>
          <w:color w:val="000000" w:themeColor="text1"/>
          <w:spacing w:val="-8"/>
          <w:kern w:val="3"/>
          <w:sz w:val="28"/>
          <w:szCs w:val="28"/>
        </w:rPr>
        <w:lastRenderedPageBreak/>
        <w:t>варіантів (третій–п’ятий) на 30-ту добу істотно збільшилася порівняно з контролями. Це можна пояснити тим, що в умовах переходу експлантів на автотрофне живлення (за відсутності сахарози у поживному розчині) активізуються процеси фотосинтезу та дихання, що сприяє інтенсивнішому коренеутворенню на пізніших етапах культивування.</w:t>
      </w:r>
    </w:p>
    <w:p w:rsidR="00796030" w:rsidRPr="00CC7883" w:rsidRDefault="0079603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color w:val="000000" w:themeColor="text1"/>
          <w:spacing w:val="-8"/>
          <w:kern w:val="3"/>
          <w:sz w:val="28"/>
          <w:szCs w:val="28"/>
        </w:rPr>
        <w:t xml:space="preserve">Кількість ініціальних експлантів із проявом ризогенезу контрольних варіантів (перший–другий) становила 19,9–53,2 % і 19,0–44,6 % для сортів </w:t>
      </w:r>
      <w:r w:rsidRPr="00CC7883">
        <w:rPr>
          <w:rFonts w:ascii="Times New Roman" w:eastAsia="NSimSun" w:hAnsi="Times New Roman" w:cs="Times New Roman"/>
          <w:bCs/>
          <w:color w:val="000000" w:themeColor="text1"/>
          <w:kern w:val="3"/>
          <w:sz w:val="28"/>
          <w:szCs w:val="28"/>
          <w:lang w:eastAsia="zh-CN" w:bidi="hi-IN"/>
        </w:rPr>
        <w:t>«Добриня»</w:t>
      </w:r>
      <w:r w:rsidR="00047411">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spacing w:val="-8"/>
          <w:kern w:val="3"/>
          <w:sz w:val="28"/>
          <w:szCs w:val="28"/>
        </w:rPr>
        <w:t xml:space="preserve">і «Гарант» та у сортів «Ярило» і «Загрей»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pacing w:val="-8"/>
          <w:kern w:val="3"/>
          <w:sz w:val="28"/>
          <w:szCs w:val="28"/>
        </w:rPr>
        <w:t xml:space="preserve"> 18,9–41,4 і 16,2–40,7 %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spacing w:val="-8"/>
          <w:kern w:val="3"/>
          <w:sz w:val="28"/>
          <w:szCs w:val="28"/>
        </w:rPr>
        <w:t>3.12).</w:t>
      </w:r>
    </w:p>
    <w:p w:rsidR="00796030" w:rsidRPr="00CC7883" w:rsidRDefault="00796030" w:rsidP="00047411">
      <w:pPr>
        <w:widowControl w:val="0"/>
        <w:autoSpaceDN w:val="0"/>
        <w:spacing w:after="0" w:line="360" w:lineRule="auto"/>
        <w:jc w:val="both"/>
        <w:textAlignment w:val="baseline"/>
        <w:rPr>
          <w:rFonts w:ascii="Times New Roman" w:eastAsia="NSimSun" w:hAnsi="Times New Roman" w:cs="Times New Roman"/>
          <w:color w:val="000000" w:themeColor="text1"/>
          <w:spacing w:val="-8"/>
          <w:kern w:val="3"/>
          <w:sz w:val="28"/>
          <w:szCs w:val="28"/>
        </w:rPr>
      </w:pPr>
      <w:r w:rsidRPr="00CC7883">
        <w:rPr>
          <w:rFonts w:ascii="Times New Roman" w:hAnsi="Times New Roman" w:cs="Times New Roman"/>
          <w:noProof/>
          <w:color w:val="000000" w:themeColor="text1"/>
          <w:lang w:val="ru-RU" w:eastAsia="ru-RU"/>
        </w:rPr>
        <w:drawing>
          <wp:inline distT="0" distB="0" distL="0" distR="0">
            <wp:extent cx="5924550" cy="1733550"/>
            <wp:effectExtent l="19050" t="0" r="19050" b="0"/>
            <wp:docPr id="10" name="Диаграмма 1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6"/>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color w:val="000000" w:themeColor="text1"/>
          <w:spacing w:val="-8"/>
          <w:kern w:val="3"/>
          <w:sz w:val="28"/>
          <w:szCs w:val="28"/>
        </w:rPr>
        <w:t>15 доба</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spacing w:val="-8"/>
          <w:kern w:val="3"/>
          <w:sz w:val="28"/>
          <w:szCs w:val="28"/>
        </w:rPr>
      </w:pPr>
      <w:r w:rsidRPr="00CC7883">
        <w:rPr>
          <w:rFonts w:ascii="Times New Roman" w:hAnsi="Times New Roman" w:cs="Times New Roman"/>
          <w:noProof/>
          <w:color w:val="000000" w:themeColor="text1"/>
          <w:lang w:val="ru-RU" w:eastAsia="ru-RU"/>
        </w:rPr>
        <w:drawing>
          <wp:inline distT="0" distB="0" distL="0" distR="0">
            <wp:extent cx="5905500" cy="1828800"/>
            <wp:effectExtent l="19050" t="0" r="19050" b="0"/>
            <wp:docPr id="14" name="Диаграмма 1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7"/>
              </a:graphicData>
            </a:graphic>
          </wp:inline>
        </w:drawing>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color w:val="000000" w:themeColor="text1"/>
          <w:spacing w:val="-8"/>
          <w:kern w:val="3"/>
          <w:sz w:val="28"/>
          <w:szCs w:val="28"/>
        </w:rPr>
        <w:t>30 доба</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color w:val="000000" w:themeColor="text1"/>
          <w:spacing w:val="-8"/>
          <w:kern w:val="3"/>
          <w:sz w:val="28"/>
          <w:szCs w:val="28"/>
        </w:rPr>
        <w:t>Рис. 3.12. Ризогенез ініціальних експлантів винограду на різних типах поживних субстратів (середнє за 2019–2022 рр.)</w:t>
      </w:r>
    </w:p>
    <w:p w:rsidR="00796030" w:rsidRPr="00CC7883" w:rsidRDefault="00796030" w:rsidP="00047411">
      <w:pPr>
        <w:widowControl w:val="0"/>
        <w:autoSpaceDN w:val="0"/>
        <w:spacing w:after="0" w:line="360" w:lineRule="auto"/>
        <w:jc w:val="center"/>
        <w:textAlignment w:val="baseline"/>
        <w:rPr>
          <w:rFonts w:ascii="Times New Roman" w:eastAsia="NSimSun" w:hAnsi="Times New Roman" w:cs="Times New Roman"/>
          <w:color w:val="000000" w:themeColor="text1"/>
          <w:spacing w:val="-8"/>
          <w:kern w:val="3"/>
          <w:sz w:val="28"/>
          <w:szCs w:val="28"/>
        </w:rPr>
      </w:pPr>
    </w:p>
    <w:p w:rsidR="00D035D8" w:rsidRPr="00CC7883" w:rsidRDefault="00D035D8"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color w:val="000000" w:themeColor="text1"/>
          <w:spacing w:val="-8"/>
          <w:kern w:val="3"/>
          <w:sz w:val="28"/>
          <w:szCs w:val="28"/>
        </w:rPr>
        <w:t xml:space="preserve">Кращий показник спостерігався у п’ятому варіанті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pacing w:val="-8"/>
          <w:kern w:val="3"/>
          <w:sz w:val="28"/>
          <w:szCs w:val="28"/>
        </w:rPr>
        <w:t xml:space="preserve"> на субстраті агроперліт + вермикуліт (1:1). Частка ініціальних експлантів із кореневими зачатками становила 71,5 % для сорту «Добриня», 73,5 % для сорту «Гарант», 65,5 % для </w:t>
      </w:r>
      <w:r w:rsidRPr="00CC7883">
        <w:rPr>
          <w:rFonts w:ascii="Times New Roman" w:eastAsia="NSimSun" w:hAnsi="Times New Roman" w:cs="Times New Roman"/>
          <w:color w:val="000000" w:themeColor="text1"/>
          <w:spacing w:val="-8"/>
          <w:kern w:val="3"/>
          <w:sz w:val="28"/>
          <w:szCs w:val="28"/>
        </w:rPr>
        <w:lastRenderedPageBreak/>
        <w:t xml:space="preserve">сорту «Ярило», 69,0 % для сорту «Загрей», що перевищувало контрольні значення в середньому на 35,0–41,7 % для підщепних і 35,4–40,6 % для технічних сортів. </w:t>
      </w:r>
    </w:p>
    <w:p w:rsidR="00D035D8" w:rsidRPr="00CC7883" w:rsidRDefault="00D035D8"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spacing w:val="-8"/>
          <w:kern w:val="3"/>
          <w:sz w:val="28"/>
          <w:szCs w:val="28"/>
        </w:rPr>
      </w:pPr>
      <w:r w:rsidRPr="00CC7883">
        <w:rPr>
          <w:rFonts w:ascii="Times New Roman" w:eastAsia="NSimSun" w:hAnsi="Times New Roman" w:cs="Times New Roman"/>
          <w:color w:val="000000" w:themeColor="text1"/>
          <w:spacing w:val="-8"/>
          <w:kern w:val="3"/>
          <w:sz w:val="28"/>
          <w:szCs w:val="28"/>
        </w:rPr>
        <w:t>В інших варіантах цей показник на 30-ту добу дорівнював 66,0–71,0 % (агроперліт) для підщепних і 60,5–63,5 % для технічних сортів, а також 50,0–57,0</w:t>
      </w:r>
      <w:r w:rsidR="004601BF" w:rsidRPr="00CC7883">
        <w:rPr>
          <w:rFonts w:ascii="Times New Roman" w:eastAsia="NSimSun" w:hAnsi="Times New Roman" w:cs="Times New Roman"/>
          <w:color w:val="000000" w:themeColor="text1"/>
          <w:spacing w:val="-8"/>
          <w:kern w:val="3"/>
          <w:sz w:val="28"/>
          <w:szCs w:val="28"/>
        </w:rPr>
        <w:t> </w:t>
      </w:r>
      <w:r w:rsidRPr="00CC7883">
        <w:rPr>
          <w:rFonts w:ascii="Times New Roman" w:eastAsia="NSimSun" w:hAnsi="Times New Roman" w:cs="Times New Roman"/>
          <w:color w:val="000000" w:themeColor="text1"/>
          <w:spacing w:val="-8"/>
          <w:kern w:val="3"/>
          <w:sz w:val="28"/>
          <w:szCs w:val="28"/>
        </w:rPr>
        <w:t>% (вермикуліт) і 54,0–56,5 % відповідно, що також збільшува</w:t>
      </w:r>
      <w:r w:rsidR="00C94822">
        <w:rPr>
          <w:rFonts w:ascii="Times New Roman" w:eastAsia="NSimSun" w:hAnsi="Times New Roman" w:cs="Times New Roman"/>
          <w:color w:val="000000" w:themeColor="text1"/>
          <w:spacing w:val="-8"/>
          <w:kern w:val="3"/>
          <w:sz w:val="28"/>
          <w:szCs w:val="28"/>
        </w:rPr>
        <w:t>вся</w:t>
      </w:r>
      <w:r w:rsidRPr="00CC7883">
        <w:rPr>
          <w:rFonts w:ascii="Times New Roman" w:eastAsia="NSimSun" w:hAnsi="Times New Roman" w:cs="Times New Roman"/>
          <w:color w:val="000000" w:themeColor="text1"/>
          <w:spacing w:val="-8"/>
          <w:kern w:val="3"/>
          <w:sz w:val="28"/>
          <w:szCs w:val="28"/>
        </w:rPr>
        <w:t xml:space="preserve"> відносно контролю в середньому на 18,2–39,2 % і 25,6–33,4 %, але зменшувались порівняно з п’ятим варіантом на 2,5–23,5 % (підщепні) і 2,0–15,0 % (технічні).</w:t>
      </w:r>
    </w:p>
    <w:p w:rsidR="00D035D8" w:rsidRPr="00CC7883" w:rsidRDefault="004601BF"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spacing w:val="-8"/>
          <w:kern w:val="3"/>
          <w:sz w:val="28"/>
          <w:szCs w:val="28"/>
        </w:rPr>
        <w:t>За матеріалами розділу «</w:t>
      </w:r>
      <w:r w:rsidR="00D035D8" w:rsidRPr="00CC7883">
        <w:rPr>
          <w:rFonts w:ascii="Times New Roman" w:eastAsia="NSimSun" w:hAnsi="Times New Roman" w:cs="Times New Roman"/>
          <w:color w:val="000000" w:themeColor="text1"/>
          <w:spacing w:val="-8"/>
          <w:kern w:val="3"/>
          <w:sz w:val="28"/>
          <w:szCs w:val="28"/>
        </w:rPr>
        <w:t xml:space="preserve">Регенераційна здатність </w:t>
      </w:r>
      <w:r w:rsidR="00240FD1">
        <w:rPr>
          <w:rFonts w:ascii="Times New Roman" w:eastAsia="NSimSun" w:hAnsi="Times New Roman" w:cs="Times New Roman"/>
          <w:color w:val="000000" w:themeColor="text1"/>
          <w:spacing w:val="-8"/>
          <w:kern w:val="3"/>
          <w:sz w:val="28"/>
          <w:szCs w:val="28"/>
        </w:rPr>
        <w:t>ініціальних експлантів винограду</w:t>
      </w:r>
      <w:r w:rsidR="00D035D8" w:rsidRPr="00CC7883">
        <w:rPr>
          <w:rFonts w:ascii="Times New Roman" w:eastAsia="NSimSun" w:hAnsi="Times New Roman" w:cs="Times New Roman"/>
          <w:color w:val="000000" w:themeColor="text1"/>
          <w:spacing w:val="-8"/>
          <w:kern w:val="3"/>
          <w:sz w:val="28"/>
          <w:szCs w:val="28"/>
        </w:rPr>
        <w:t xml:space="preserve"> </w:t>
      </w:r>
      <w:r w:rsidR="00C85F8F" w:rsidRPr="00CC7883">
        <w:rPr>
          <w:rFonts w:ascii="Times New Roman" w:hAnsi="Times New Roman" w:cs="Times New Roman"/>
          <w:i/>
          <w:iCs/>
          <w:color w:val="000000" w:themeColor="text1"/>
          <w:sz w:val="28"/>
          <w:szCs w:val="28"/>
        </w:rPr>
        <w:t>in vitro</w:t>
      </w:r>
      <w:r w:rsidRPr="00CC7883">
        <w:rPr>
          <w:rFonts w:ascii="Times New Roman" w:eastAsia="NSimSun" w:hAnsi="Times New Roman" w:cs="Times New Roman"/>
          <w:color w:val="000000" w:themeColor="text1"/>
          <w:spacing w:val="-8"/>
          <w:kern w:val="3"/>
          <w:sz w:val="28"/>
          <w:szCs w:val="28"/>
        </w:rPr>
        <w:t>»</w:t>
      </w:r>
      <w:r w:rsidR="00D035D8" w:rsidRPr="00CC7883">
        <w:rPr>
          <w:rFonts w:ascii="Times New Roman" w:eastAsia="NSimSun" w:hAnsi="Times New Roman" w:cs="Times New Roman"/>
          <w:color w:val="000000" w:themeColor="text1"/>
          <w:spacing w:val="-8"/>
          <w:kern w:val="3"/>
          <w:sz w:val="28"/>
          <w:szCs w:val="28"/>
        </w:rPr>
        <w:t xml:space="preserve"> надруковано 6 наукових праць </w:t>
      </w:r>
      <w:r w:rsidR="00B9668A" w:rsidRPr="00CC7883">
        <w:rPr>
          <w:rFonts w:ascii="Times New Roman" w:eastAsia="NSimSun" w:hAnsi="Times New Roman" w:cs="Times New Roman"/>
          <w:color w:val="000000" w:themeColor="text1"/>
          <w:kern w:val="3"/>
          <w:sz w:val="28"/>
          <w:szCs w:val="28"/>
          <w:lang w:eastAsia="zh-CN" w:bidi="hi-IN"/>
        </w:rPr>
        <w:t>[28</w:t>
      </w:r>
      <w:r w:rsidR="00B05C98" w:rsidRPr="00F62136">
        <w:rPr>
          <w:rFonts w:ascii="Times New Roman" w:eastAsia="NSimSun" w:hAnsi="Times New Roman" w:cs="Times New Roman"/>
          <w:color w:val="000000" w:themeColor="text1"/>
          <w:kern w:val="3"/>
          <w:sz w:val="28"/>
          <w:szCs w:val="28"/>
          <w:lang w:val="ru-RU" w:eastAsia="zh-CN" w:bidi="hi-IN"/>
        </w:rPr>
        <w:t>,</w:t>
      </w:r>
      <w:r w:rsidR="00B9668A" w:rsidRPr="00CC7883">
        <w:rPr>
          <w:rFonts w:ascii="Times New Roman" w:eastAsia="NSimSun" w:hAnsi="Times New Roman" w:cs="Times New Roman"/>
          <w:color w:val="000000" w:themeColor="text1"/>
          <w:kern w:val="3"/>
          <w:sz w:val="28"/>
          <w:szCs w:val="28"/>
          <w:lang w:eastAsia="zh-CN" w:bidi="hi-IN"/>
        </w:rPr>
        <w:t xml:space="preserve"> 20</w:t>
      </w:r>
      <w:r w:rsidR="00B05C98" w:rsidRPr="00F62136">
        <w:rPr>
          <w:rFonts w:ascii="Times New Roman" w:eastAsia="NSimSun" w:hAnsi="Times New Roman" w:cs="Times New Roman"/>
          <w:color w:val="000000" w:themeColor="text1"/>
          <w:kern w:val="3"/>
          <w:sz w:val="28"/>
          <w:szCs w:val="28"/>
          <w:lang w:val="ru-RU" w:eastAsia="zh-CN" w:bidi="hi-IN"/>
        </w:rPr>
        <w:t>,</w:t>
      </w:r>
      <w:r w:rsidR="00B9668A" w:rsidRPr="00CC7883">
        <w:rPr>
          <w:rFonts w:ascii="Times New Roman" w:eastAsia="NSimSun" w:hAnsi="Times New Roman" w:cs="Times New Roman"/>
          <w:color w:val="000000" w:themeColor="text1"/>
          <w:kern w:val="3"/>
          <w:sz w:val="28"/>
          <w:szCs w:val="28"/>
          <w:lang w:eastAsia="zh-CN" w:bidi="hi-IN"/>
        </w:rPr>
        <w:t xml:space="preserve"> 32</w:t>
      </w:r>
      <w:r w:rsidR="00B05C98" w:rsidRPr="00F62136">
        <w:rPr>
          <w:rFonts w:ascii="Times New Roman" w:eastAsia="NSimSun" w:hAnsi="Times New Roman" w:cs="Times New Roman"/>
          <w:color w:val="000000" w:themeColor="text1"/>
          <w:kern w:val="3"/>
          <w:sz w:val="28"/>
          <w:szCs w:val="28"/>
          <w:lang w:val="ru-RU" w:eastAsia="zh-CN" w:bidi="hi-IN"/>
        </w:rPr>
        <w:t>,</w:t>
      </w:r>
      <w:r w:rsidR="00B02031" w:rsidRPr="00CC7883">
        <w:rPr>
          <w:rFonts w:ascii="Times New Roman" w:eastAsia="NSimSun" w:hAnsi="Times New Roman" w:cs="Times New Roman"/>
          <w:color w:val="000000" w:themeColor="text1"/>
          <w:kern w:val="3"/>
          <w:sz w:val="28"/>
          <w:szCs w:val="28"/>
          <w:lang w:eastAsia="zh-CN" w:bidi="hi-IN"/>
        </w:rPr>
        <w:t xml:space="preserve"> 26</w:t>
      </w:r>
      <w:r w:rsidR="002D22A1" w:rsidRPr="00CC7883">
        <w:rPr>
          <w:rFonts w:ascii="Times New Roman" w:eastAsia="NSimSun" w:hAnsi="Times New Roman" w:cs="Times New Roman"/>
          <w:color w:val="000000" w:themeColor="text1"/>
          <w:kern w:val="3"/>
          <w:sz w:val="28"/>
          <w:szCs w:val="28"/>
          <w:lang w:eastAsia="zh-CN" w:bidi="hi-IN"/>
        </w:rPr>
        <w:t>9</w:t>
      </w:r>
      <w:r w:rsidR="00B05C98" w:rsidRPr="00F62136">
        <w:rPr>
          <w:rFonts w:ascii="Times New Roman" w:eastAsia="NSimSun" w:hAnsi="Times New Roman" w:cs="Times New Roman"/>
          <w:color w:val="000000" w:themeColor="text1"/>
          <w:kern w:val="3"/>
          <w:sz w:val="28"/>
          <w:szCs w:val="28"/>
          <w:lang w:val="ru-RU" w:eastAsia="zh-CN" w:bidi="hi-IN"/>
        </w:rPr>
        <w:t>,</w:t>
      </w:r>
      <w:r w:rsidR="00B9668A" w:rsidRPr="00CC7883">
        <w:rPr>
          <w:rFonts w:ascii="Times New Roman" w:eastAsia="NSimSun" w:hAnsi="Times New Roman" w:cs="Times New Roman"/>
          <w:color w:val="000000" w:themeColor="text1"/>
          <w:kern w:val="3"/>
          <w:sz w:val="28"/>
          <w:szCs w:val="28"/>
          <w:lang w:eastAsia="zh-CN" w:bidi="hi-IN"/>
        </w:rPr>
        <w:t xml:space="preserve"> 27</w:t>
      </w:r>
      <w:r w:rsidR="00B05C98" w:rsidRPr="00F62136">
        <w:rPr>
          <w:rFonts w:ascii="Times New Roman" w:eastAsia="NSimSun" w:hAnsi="Times New Roman" w:cs="Times New Roman"/>
          <w:color w:val="000000" w:themeColor="text1"/>
          <w:kern w:val="3"/>
          <w:sz w:val="28"/>
          <w:szCs w:val="28"/>
          <w:lang w:val="ru-RU" w:eastAsia="zh-CN" w:bidi="hi-IN"/>
        </w:rPr>
        <w:t>,</w:t>
      </w:r>
      <w:r w:rsidR="00B9668A" w:rsidRPr="00CC7883">
        <w:rPr>
          <w:rFonts w:ascii="Times New Roman" w:eastAsia="NSimSun" w:hAnsi="Times New Roman" w:cs="Times New Roman"/>
          <w:color w:val="000000" w:themeColor="text1"/>
          <w:kern w:val="3"/>
          <w:sz w:val="28"/>
          <w:szCs w:val="28"/>
          <w:lang w:eastAsia="zh-CN" w:bidi="hi-IN"/>
        </w:rPr>
        <w:t xml:space="preserve"> 33</w:t>
      </w:r>
      <w:r w:rsidR="00D035D8" w:rsidRPr="00CC7883">
        <w:rPr>
          <w:rFonts w:ascii="Times New Roman" w:eastAsia="NSimSun" w:hAnsi="Times New Roman" w:cs="Times New Roman"/>
          <w:color w:val="000000" w:themeColor="text1"/>
          <w:kern w:val="3"/>
          <w:sz w:val="28"/>
          <w:szCs w:val="28"/>
          <w:lang w:eastAsia="zh-CN" w:bidi="hi-IN"/>
        </w:rPr>
        <w:t>].</w:t>
      </w:r>
    </w:p>
    <w:p w:rsidR="00A20FDD" w:rsidRPr="00CC7883" w:rsidRDefault="00A20FDD" w:rsidP="00047411">
      <w:pPr>
        <w:widowControl w:val="0"/>
        <w:rPr>
          <w:rFonts w:ascii="Times New Roman" w:eastAsia="NSimSun" w:hAnsi="Times New Roman" w:cs="Times New Roman"/>
          <w:b/>
          <w:bCs/>
          <w:caps/>
          <w:color w:val="000000" w:themeColor="text1"/>
          <w:sz w:val="28"/>
          <w:szCs w:val="28"/>
        </w:rPr>
      </w:pPr>
    </w:p>
    <w:p w:rsidR="00796030" w:rsidRPr="00CC7883" w:rsidRDefault="00796030" w:rsidP="00047411">
      <w:pPr>
        <w:widowControl w:val="0"/>
        <w:ind w:firstLine="709"/>
        <w:outlineLvl w:val="1"/>
        <w:rPr>
          <w:rFonts w:ascii="Times New Roman" w:eastAsia="NSimSun" w:hAnsi="Times New Roman" w:cs="Times New Roman"/>
          <w:b/>
          <w:bCs/>
          <w:color w:val="000000" w:themeColor="text1"/>
          <w:sz w:val="28"/>
          <w:szCs w:val="28"/>
        </w:rPr>
      </w:pPr>
      <w:bookmarkStart w:id="36" w:name="_Toc220058935"/>
      <w:r w:rsidRPr="00CC7883">
        <w:rPr>
          <w:rFonts w:ascii="Times New Roman" w:eastAsia="NSimSun" w:hAnsi="Times New Roman" w:cs="Times New Roman"/>
          <w:b/>
          <w:bCs/>
          <w:caps/>
          <w:color w:val="000000" w:themeColor="text1"/>
          <w:sz w:val="28"/>
          <w:szCs w:val="28"/>
        </w:rPr>
        <w:t>В</w:t>
      </w:r>
      <w:r w:rsidRPr="00CC7883">
        <w:rPr>
          <w:rFonts w:ascii="Times New Roman" w:eastAsia="NSimSun" w:hAnsi="Times New Roman" w:cs="Times New Roman"/>
          <w:b/>
          <w:bCs/>
          <w:color w:val="000000" w:themeColor="text1"/>
          <w:sz w:val="28"/>
          <w:szCs w:val="28"/>
        </w:rPr>
        <w:t>исновки до розділу 3</w:t>
      </w:r>
      <w:bookmarkEnd w:id="36"/>
    </w:p>
    <w:p w:rsidR="00796030" w:rsidRPr="00CC7883" w:rsidRDefault="00796030" w:rsidP="00047411">
      <w:pPr>
        <w:widowControl w:val="0"/>
        <w:rPr>
          <w:rFonts w:ascii="Times New Roman" w:eastAsia="NSimSun" w:hAnsi="Times New Roman" w:cs="Times New Roman"/>
          <w:caps/>
          <w:color w:val="000000" w:themeColor="text1"/>
          <w:sz w:val="28"/>
          <w:szCs w:val="28"/>
        </w:rPr>
      </w:pPr>
    </w:p>
    <w:p w:rsidR="00796030" w:rsidRPr="00CC7883" w:rsidRDefault="00796030" w:rsidP="00047411">
      <w:pPr>
        <w:widowControl w:val="0"/>
        <w:numPr>
          <w:ilvl w:val="0"/>
          <w:numId w:val="20"/>
        </w:numPr>
        <w:spacing w:after="0" w:line="360" w:lineRule="auto"/>
        <w:ind w:left="0" w:firstLine="0"/>
        <w:jc w:val="both"/>
        <w:rPr>
          <w:rFonts w:ascii="Times New Roman" w:eastAsia="NSimSun" w:hAnsi="Times New Roman" w:cs="Times New Roman"/>
          <w:color w:val="000000" w:themeColor="text1"/>
          <w:sz w:val="28"/>
          <w:szCs w:val="28"/>
        </w:rPr>
      </w:pPr>
      <w:r w:rsidRPr="00CC7883">
        <w:rPr>
          <w:rFonts w:ascii="Times New Roman" w:eastAsia="NSimSun" w:hAnsi="Times New Roman" w:cs="Times New Roman"/>
          <w:color w:val="000000" w:themeColor="text1"/>
          <w:sz w:val="28"/>
          <w:szCs w:val="28"/>
        </w:rPr>
        <w:t>Приживлюваність, проліферація пазушних бруньок та ризогенез</w:t>
      </w:r>
      <w:r w:rsidR="00416C54" w:rsidRPr="00CC7883">
        <w:rPr>
          <w:rFonts w:ascii="Times New Roman" w:eastAsia="NSimSun" w:hAnsi="Times New Roman" w:cs="Times New Roman"/>
          <w:color w:val="000000" w:themeColor="text1"/>
          <w:sz w:val="28"/>
          <w:szCs w:val="28"/>
        </w:rPr>
        <w:t xml:space="preserve"> </w:t>
      </w:r>
      <w:r w:rsidRPr="00CC7883">
        <w:rPr>
          <w:rFonts w:ascii="Times New Roman" w:eastAsia="NSimSun" w:hAnsi="Times New Roman" w:cs="Times New Roman"/>
          <w:color w:val="000000" w:themeColor="text1"/>
          <w:sz w:val="28"/>
          <w:szCs w:val="28"/>
        </w:rPr>
        <w:t xml:space="preserve">ініціальних експлантів винограду в умовах </w:t>
      </w:r>
      <w:r w:rsidRPr="00CC7883">
        <w:rPr>
          <w:rFonts w:ascii="Times New Roman" w:eastAsia="NSimSun" w:hAnsi="Times New Roman" w:cs="Times New Roman"/>
          <w:i/>
          <w:iCs/>
          <w:color w:val="000000" w:themeColor="text1"/>
          <w:sz w:val="28"/>
          <w:szCs w:val="28"/>
        </w:rPr>
        <w:t>in vitro</w:t>
      </w:r>
      <w:r w:rsidRPr="00CC7883">
        <w:rPr>
          <w:rFonts w:ascii="Times New Roman" w:eastAsia="NSimSun" w:hAnsi="Times New Roman" w:cs="Times New Roman"/>
          <w:color w:val="000000" w:themeColor="text1"/>
          <w:sz w:val="28"/>
          <w:szCs w:val="28"/>
        </w:rPr>
        <w:t xml:space="preserve"> залежали від складу поживного середовища (концентрації фітогормонів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z w:val="28"/>
          <w:szCs w:val="28"/>
        </w:rPr>
        <w:t xml:space="preserve"> 6-БАП та ІОК, додаткових компонентів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z w:val="28"/>
          <w:szCs w:val="28"/>
        </w:rPr>
        <w:t xml:space="preserve"> препаратів Радіфарм, Clonex gel, агроперліт, </w:t>
      </w:r>
      <w:r w:rsidRPr="00CC7883">
        <w:rPr>
          <w:rFonts w:ascii="Times New Roman" w:eastAsia="NSimSun" w:hAnsi="Times New Roman" w:cs="Times New Roman"/>
          <w:color w:val="000000" w:themeColor="text1"/>
          <w:kern w:val="3"/>
          <w:sz w:val="28"/>
          <w:szCs w:val="28"/>
          <w:lang w:eastAsia="zh-CN" w:bidi="hi-IN"/>
        </w:rPr>
        <w:t>вермикуліт</w:t>
      </w:r>
      <w:r w:rsidRPr="00CC7883">
        <w:rPr>
          <w:rFonts w:ascii="Times New Roman" w:eastAsia="NSimSun" w:hAnsi="Times New Roman" w:cs="Times New Roman"/>
          <w:color w:val="000000" w:themeColor="text1"/>
          <w:sz w:val="28"/>
          <w:szCs w:val="28"/>
        </w:rPr>
        <w:t>), мінерального субстрату та сорту винограду.</w:t>
      </w:r>
    </w:p>
    <w:p w:rsidR="00796030" w:rsidRPr="00CC7883" w:rsidRDefault="00796030" w:rsidP="00047411">
      <w:pPr>
        <w:pStyle w:val="a7"/>
        <w:widowControl w:val="0"/>
        <w:numPr>
          <w:ilvl w:val="0"/>
          <w:numId w:val="20"/>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Найвища приживлюваність ініціальних експлантів винограду була на поживних середовищах з нижчим вмістом фітогормонів (</w:t>
      </w:r>
      <w:r w:rsidRPr="00CC7883">
        <w:rPr>
          <w:rFonts w:ascii="Times New Roman" w:hAnsi="Times New Roman" w:cs="Times New Roman"/>
          <w:color w:val="000000" w:themeColor="text1"/>
          <w:spacing w:val="-8"/>
          <w:sz w:val="28"/>
          <w:szCs w:val="28"/>
        </w:rPr>
        <w:t>0,2 мг/л 6-БАП; 0,3</w:t>
      </w:r>
      <w:r w:rsidR="0026149E">
        <w:rPr>
          <w:rFonts w:ascii="Times New Roman" w:hAnsi="Times New Roman" w:cs="Times New Roman"/>
          <w:color w:val="000000" w:themeColor="text1"/>
          <w:spacing w:val="-8"/>
          <w:sz w:val="28"/>
          <w:szCs w:val="28"/>
        </w:rPr>
        <w:t> </w:t>
      </w:r>
      <w:r w:rsidRPr="00CC7883">
        <w:rPr>
          <w:rFonts w:ascii="Times New Roman" w:hAnsi="Times New Roman" w:cs="Times New Roman"/>
          <w:color w:val="000000" w:themeColor="text1"/>
          <w:spacing w:val="-8"/>
          <w:sz w:val="28"/>
          <w:szCs w:val="28"/>
        </w:rPr>
        <w:t>мг/л ІОК</w:t>
      </w:r>
      <w:r w:rsidRPr="00CC7883">
        <w:rPr>
          <w:rFonts w:ascii="Times New Roman" w:hAnsi="Times New Roman" w:cs="Times New Roman"/>
          <w:color w:val="000000" w:themeColor="text1"/>
          <w:sz w:val="28"/>
          <w:szCs w:val="28"/>
        </w:rPr>
        <w:t xml:space="preserve">) у поєднанні з препаратом Clonex gel, агроперлітом, </w:t>
      </w:r>
      <w:r w:rsidRPr="00CC7883">
        <w:rPr>
          <w:rFonts w:ascii="Times New Roman" w:hAnsi="Times New Roman" w:cs="Times New Roman"/>
          <w:color w:val="000000" w:themeColor="text1"/>
          <w:sz w:val="28"/>
          <w:szCs w:val="28"/>
          <w:lang w:eastAsia="zh-CN" w:bidi="hi-IN"/>
        </w:rPr>
        <w:t>вермикуліт</w:t>
      </w:r>
      <w:r w:rsidRPr="00CC7883">
        <w:rPr>
          <w:rFonts w:ascii="Times New Roman" w:hAnsi="Times New Roman" w:cs="Times New Roman"/>
          <w:color w:val="000000" w:themeColor="text1"/>
          <w:sz w:val="28"/>
          <w:szCs w:val="28"/>
        </w:rPr>
        <w:t xml:space="preserve">ом та їх сумішшю. Це стосується як підщепних, так і технічних сортів винограду. Такі поживні середовища сприяли покращенню адаптації експлантів винограду і забезпечували найвищі показники приживлюваності </w:t>
      </w:r>
      <w:r w:rsidRPr="00CC7883">
        <w:rPr>
          <w:rFonts w:ascii="Times New Roman" w:hAnsi="Times New Roman" w:cs="Times New Roman"/>
          <w:color w:val="000000" w:themeColor="text1"/>
          <w:sz w:val="28"/>
          <w:szCs w:val="28"/>
          <w:lang w:eastAsia="zh-CN" w:bidi="hi-IN"/>
        </w:rPr>
        <w:t>–</w:t>
      </w:r>
      <w:r w:rsidRPr="00CC7883">
        <w:rPr>
          <w:rFonts w:ascii="Times New Roman" w:hAnsi="Times New Roman" w:cs="Times New Roman"/>
          <w:color w:val="000000" w:themeColor="text1"/>
          <w:sz w:val="28"/>
          <w:szCs w:val="28"/>
        </w:rPr>
        <w:t xml:space="preserve"> до 96,0–99,0 % (</w:t>
      </w:r>
      <w:r w:rsidRPr="00CC7883">
        <w:rPr>
          <w:rFonts w:ascii="Times New Roman" w:hAnsi="Times New Roman" w:cs="Times New Roman"/>
          <w:bCs/>
          <w:color w:val="000000" w:themeColor="text1"/>
          <w:sz w:val="28"/>
          <w:szCs w:val="28"/>
          <w:lang w:eastAsia="zh-CN" w:bidi="hi-IN"/>
        </w:rPr>
        <w:t>«Добриня»</w:t>
      </w:r>
      <w:r w:rsidRPr="00CC7883">
        <w:rPr>
          <w:rFonts w:ascii="Times New Roman" w:hAnsi="Times New Roman" w:cs="Times New Roman"/>
          <w:color w:val="000000" w:themeColor="text1"/>
          <w:sz w:val="28"/>
          <w:szCs w:val="28"/>
        </w:rPr>
        <w:t xml:space="preserve">, «Гарант») та 93,2–94,7 % («Ярило», «Загрей»), </w:t>
      </w:r>
      <w:r w:rsidR="00BA7139" w:rsidRPr="00CC7883">
        <w:rPr>
          <w:rFonts w:ascii="Times New Roman" w:hAnsi="Times New Roman" w:cs="Times New Roman"/>
          <w:color w:val="000000" w:themeColor="text1"/>
          <w:sz w:val="28"/>
          <w:szCs w:val="28"/>
        </w:rPr>
        <w:t>порівняно з</w:t>
      </w:r>
      <w:r w:rsidRPr="00CC7883">
        <w:rPr>
          <w:rFonts w:ascii="Times New Roman" w:hAnsi="Times New Roman" w:cs="Times New Roman"/>
          <w:color w:val="000000" w:themeColor="text1"/>
          <w:sz w:val="28"/>
          <w:szCs w:val="28"/>
        </w:rPr>
        <w:t xml:space="preserve"> 73,3–84,7 % у контрольних варіантах. </w:t>
      </w:r>
    </w:p>
    <w:p w:rsidR="00796030" w:rsidRPr="00CC7883" w:rsidRDefault="00796030" w:rsidP="00047411">
      <w:pPr>
        <w:widowControl w:val="0"/>
        <w:spacing w:after="0" w:line="360" w:lineRule="auto"/>
        <w:ind w:firstLine="709"/>
        <w:jc w:val="both"/>
        <w:rPr>
          <w:rFonts w:ascii="Times New Roman" w:eastAsia="NSimSun" w:hAnsi="Times New Roman" w:cs="Times New Roman"/>
          <w:color w:val="000000" w:themeColor="text1"/>
          <w:sz w:val="28"/>
          <w:szCs w:val="28"/>
        </w:rPr>
      </w:pPr>
      <w:r w:rsidRPr="00CC7883">
        <w:rPr>
          <w:rFonts w:ascii="Times New Roman" w:eastAsia="NSimSun" w:hAnsi="Times New Roman" w:cs="Times New Roman"/>
          <w:color w:val="000000" w:themeColor="text1"/>
          <w:sz w:val="28"/>
          <w:szCs w:val="28"/>
        </w:rPr>
        <w:t xml:space="preserve">На поживних мінеральних субстратах найвища приживлюваність ініціальних експлантів винограду була на агроперліті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z w:val="28"/>
          <w:szCs w:val="28"/>
        </w:rPr>
        <w:t xml:space="preserve"> 75,0–83,3 % (залежно від сорту). Використання </w:t>
      </w:r>
      <w:r w:rsidRPr="00CC7883">
        <w:rPr>
          <w:rFonts w:ascii="Times New Roman" w:eastAsia="NSimSun" w:hAnsi="Times New Roman" w:cs="Times New Roman"/>
          <w:color w:val="000000" w:themeColor="text1"/>
          <w:kern w:val="3"/>
          <w:sz w:val="28"/>
          <w:szCs w:val="28"/>
          <w:lang w:eastAsia="zh-CN" w:bidi="hi-IN"/>
        </w:rPr>
        <w:t>вермикуліт</w:t>
      </w:r>
      <w:r w:rsidRPr="00CC7883">
        <w:rPr>
          <w:rFonts w:ascii="Times New Roman" w:eastAsia="NSimSun" w:hAnsi="Times New Roman" w:cs="Times New Roman"/>
          <w:color w:val="000000" w:themeColor="text1"/>
          <w:sz w:val="28"/>
          <w:szCs w:val="28"/>
        </w:rPr>
        <w:t xml:space="preserve">у та суміші агроперліт + </w:t>
      </w:r>
      <w:r w:rsidRPr="00CC7883">
        <w:rPr>
          <w:rFonts w:ascii="Times New Roman" w:eastAsia="NSimSun" w:hAnsi="Times New Roman" w:cs="Times New Roman"/>
          <w:color w:val="000000" w:themeColor="text1"/>
          <w:kern w:val="3"/>
          <w:sz w:val="28"/>
          <w:szCs w:val="28"/>
          <w:lang w:eastAsia="zh-CN" w:bidi="hi-IN"/>
        </w:rPr>
        <w:t>вермикуліт</w:t>
      </w:r>
      <w:r w:rsidRPr="00CC7883">
        <w:rPr>
          <w:rFonts w:ascii="Times New Roman" w:eastAsia="NSimSun" w:hAnsi="Times New Roman" w:cs="Times New Roman"/>
          <w:color w:val="000000" w:themeColor="text1"/>
          <w:sz w:val="28"/>
          <w:szCs w:val="28"/>
        </w:rPr>
        <w:t xml:space="preserve"> призводило до зниження цього показника до 52,7–74,5 %. Проте при </w:t>
      </w:r>
      <w:r w:rsidRPr="00CC7883">
        <w:rPr>
          <w:rFonts w:ascii="Times New Roman" w:eastAsia="NSimSun" w:hAnsi="Times New Roman" w:cs="Times New Roman"/>
          <w:color w:val="000000" w:themeColor="text1"/>
          <w:sz w:val="28"/>
          <w:szCs w:val="28"/>
        </w:rPr>
        <w:lastRenderedPageBreak/>
        <w:t xml:space="preserve">порівнянні цього показника з контрольними варіантами було встановлено, що на мінеральних субстратах показники приживлюваності були нижчими: на агроперліті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z w:val="28"/>
          <w:szCs w:val="28"/>
        </w:rPr>
        <w:t xml:space="preserve"> на 5,0–13,0 % менше, ніж у контролі, на </w:t>
      </w:r>
      <w:r w:rsidRPr="00CC7883">
        <w:rPr>
          <w:rFonts w:ascii="Times New Roman" w:eastAsia="NSimSun" w:hAnsi="Times New Roman" w:cs="Times New Roman"/>
          <w:color w:val="000000" w:themeColor="text1"/>
          <w:kern w:val="3"/>
          <w:sz w:val="28"/>
          <w:szCs w:val="28"/>
          <w:lang w:eastAsia="zh-CN" w:bidi="hi-IN"/>
        </w:rPr>
        <w:t>вермикуліт</w:t>
      </w:r>
      <w:r w:rsidRPr="00CC7883">
        <w:rPr>
          <w:rFonts w:ascii="Times New Roman" w:eastAsia="NSimSun" w:hAnsi="Times New Roman" w:cs="Times New Roman"/>
          <w:color w:val="000000" w:themeColor="text1"/>
          <w:sz w:val="28"/>
          <w:szCs w:val="28"/>
        </w:rPr>
        <w:t xml:space="preserve">і та суміші агроперліт + </w:t>
      </w:r>
      <w:r w:rsidRPr="00CC7883">
        <w:rPr>
          <w:rFonts w:ascii="Times New Roman" w:eastAsia="NSimSun" w:hAnsi="Times New Roman" w:cs="Times New Roman"/>
          <w:color w:val="000000" w:themeColor="text1"/>
          <w:kern w:val="3"/>
          <w:sz w:val="28"/>
          <w:szCs w:val="28"/>
          <w:lang w:eastAsia="zh-CN" w:bidi="hi-IN"/>
        </w:rPr>
        <w:t>вермикуліт</w:t>
      </w:r>
      <w:r w:rsidR="00416C54"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NSimSun" w:hAnsi="Times New Roman" w:cs="Times New Roman"/>
          <w:color w:val="000000" w:themeColor="text1"/>
          <w:sz w:val="28"/>
          <w:szCs w:val="28"/>
        </w:rPr>
        <w:t xml:space="preserve"> на 13,0–34,0 % менше.</w:t>
      </w:r>
    </w:p>
    <w:p w:rsidR="00796030" w:rsidRPr="00CC7883" w:rsidRDefault="00796030" w:rsidP="00047411">
      <w:pPr>
        <w:pStyle w:val="ae"/>
        <w:widowControl w:val="0"/>
        <w:numPr>
          <w:ilvl w:val="0"/>
          <w:numId w:val="20"/>
        </w:numPr>
        <w:spacing w:before="0" w:beforeAutospacing="0" w:after="0" w:afterAutospacing="0" w:line="360" w:lineRule="auto"/>
        <w:ind w:left="0" w:firstLine="0"/>
        <w:jc w:val="both"/>
        <w:rPr>
          <w:color w:val="000000" w:themeColor="text1"/>
          <w:sz w:val="28"/>
          <w:szCs w:val="28"/>
        </w:rPr>
      </w:pPr>
      <w:r w:rsidRPr="00CC7883">
        <w:rPr>
          <w:color w:val="000000" w:themeColor="text1"/>
          <w:sz w:val="28"/>
          <w:szCs w:val="28"/>
        </w:rPr>
        <w:t>На поживних середовищах із нижчим вмістом фітогормонів (</w:t>
      </w:r>
      <w:r w:rsidRPr="00CC7883">
        <w:rPr>
          <w:rFonts w:eastAsia="NSimSun"/>
          <w:color w:val="000000" w:themeColor="text1"/>
          <w:spacing w:val="-8"/>
          <w:kern w:val="3"/>
          <w:sz w:val="28"/>
          <w:szCs w:val="28"/>
        </w:rPr>
        <w:t>0,2 мг/л 6-БАП; 0,3 мг/л ІОК</w:t>
      </w:r>
      <w:r w:rsidRPr="00CC7883">
        <w:rPr>
          <w:color w:val="000000" w:themeColor="text1"/>
          <w:sz w:val="28"/>
          <w:szCs w:val="28"/>
        </w:rPr>
        <w:t>) процес проліферації пазушних бруньок відбувався інтенсивніше порівняно з середовищами, які містили більшу кількість фітогормонів. Найбільша кількість експлантів із розвиненими бруньками була у контрольних варіантах, а також у варіантах, де до поживних середовищ додавали агроперліт (сьомий, восьмий варіанти). На 30-ту добу досліджен</w:t>
      </w:r>
      <w:r w:rsidR="00D446B8">
        <w:rPr>
          <w:color w:val="000000" w:themeColor="text1"/>
          <w:sz w:val="28"/>
          <w:szCs w:val="28"/>
        </w:rPr>
        <w:t>ня</w:t>
      </w:r>
      <w:r w:rsidRPr="00CC7883">
        <w:rPr>
          <w:color w:val="000000" w:themeColor="text1"/>
          <w:sz w:val="28"/>
          <w:szCs w:val="28"/>
        </w:rPr>
        <w:t xml:space="preserve"> рівень проліферації пазушних бруньок у ініціальних експлантів сортів </w:t>
      </w:r>
      <w:r w:rsidRPr="00CC7883">
        <w:rPr>
          <w:rFonts w:eastAsia="NSimSun"/>
          <w:bCs/>
          <w:color w:val="000000" w:themeColor="text1"/>
          <w:kern w:val="3"/>
          <w:sz w:val="28"/>
          <w:szCs w:val="28"/>
          <w:lang w:eastAsia="zh-CN" w:bidi="hi-IN"/>
        </w:rPr>
        <w:t>«Добриня»</w:t>
      </w:r>
      <w:r w:rsidRPr="00CC7883">
        <w:rPr>
          <w:color w:val="000000" w:themeColor="text1"/>
          <w:sz w:val="28"/>
          <w:szCs w:val="28"/>
        </w:rPr>
        <w:t xml:space="preserve"> і «Гарант» становив 66,6–67,0 %, що було близьким до контрольних значень (65,2–68,3 %). У сортів «Ярило» і «Загрей» цей показник був нижчим (47,7–54,3 %), проте також перевищував результати інших дослідних варіантів.</w:t>
      </w:r>
    </w:p>
    <w:p w:rsidR="00796030" w:rsidRPr="00CC7883" w:rsidRDefault="00796030" w:rsidP="00047411">
      <w:pPr>
        <w:pStyle w:val="ae"/>
        <w:widowControl w:val="0"/>
        <w:spacing w:before="0" w:beforeAutospacing="0" w:after="0" w:afterAutospacing="0" w:line="360" w:lineRule="auto"/>
        <w:ind w:firstLine="720"/>
        <w:jc w:val="both"/>
        <w:rPr>
          <w:color w:val="000000" w:themeColor="text1"/>
          <w:sz w:val="28"/>
          <w:szCs w:val="28"/>
        </w:rPr>
      </w:pPr>
      <w:r w:rsidRPr="00CC7883">
        <w:rPr>
          <w:color w:val="000000" w:themeColor="text1"/>
          <w:sz w:val="28"/>
          <w:szCs w:val="28"/>
        </w:rPr>
        <w:t xml:space="preserve">На мінеральних субстратах початок проліферації пазушних бруньок спостерігався вже на 10-ту добу культивування. Найкращі результати </w:t>
      </w:r>
      <w:r w:rsidR="00440E1C" w:rsidRPr="00CC7883">
        <w:rPr>
          <w:rFonts w:eastAsia="NSimSun"/>
          <w:color w:val="000000" w:themeColor="text1"/>
          <w:kern w:val="3"/>
          <w:sz w:val="28"/>
          <w:szCs w:val="28"/>
        </w:rPr>
        <w:t>від</w:t>
      </w:r>
      <w:r w:rsidR="00440E1C">
        <w:rPr>
          <w:rFonts w:eastAsia="NSimSun"/>
          <w:color w:val="000000" w:themeColor="text1"/>
          <w:kern w:val="3"/>
          <w:sz w:val="28"/>
          <w:szCs w:val="28"/>
        </w:rPr>
        <w:t>знача</w:t>
      </w:r>
      <w:r w:rsidR="00440E1C" w:rsidRPr="00CC7883">
        <w:rPr>
          <w:rFonts w:eastAsia="NSimSun"/>
          <w:color w:val="000000" w:themeColor="text1"/>
          <w:kern w:val="3"/>
          <w:sz w:val="28"/>
          <w:szCs w:val="28"/>
        </w:rPr>
        <w:t>ли</w:t>
      </w:r>
      <w:r w:rsidRPr="00CC7883">
        <w:rPr>
          <w:color w:val="000000" w:themeColor="text1"/>
          <w:sz w:val="28"/>
          <w:szCs w:val="28"/>
        </w:rPr>
        <w:t xml:space="preserve"> у варіанті з агроперлітом, де кількість ініціальних експлантів із проліферацією перевищувала контрольні значення на 7,5–25,0 % у сортів </w:t>
      </w:r>
      <w:r w:rsidRPr="00CC7883">
        <w:rPr>
          <w:rFonts w:eastAsia="NSimSun"/>
          <w:bCs/>
          <w:color w:val="000000" w:themeColor="text1"/>
          <w:kern w:val="3"/>
          <w:sz w:val="28"/>
          <w:szCs w:val="28"/>
          <w:lang w:eastAsia="zh-CN" w:bidi="hi-IN"/>
        </w:rPr>
        <w:t>«Добриня»</w:t>
      </w:r>
      <w:r w:rsidRPr="00CC7883">
        <w:rPr>
          <w:color w:val="000000" w:themeColor="text1"/>
          <w:sz w:val="28"/>
          <w:szCs w:val="28"/>
        </w:rPr>
        <w:t>, «Гарант» та «Ярило». Проте на 30-ту добу досліджен</w:t>
      </w:r>
      <w:r w:rsidR="00D446B8">
        <w:rPr>
          <w:color w:val="000000" w:themeColor="text1"/>
          <w:sz w:val="28"/>
          <w:szCs w:val="28"/>
        </w:rPr>
        <w:t>ня</w:t>
      </w:r>
      <w:r w:rsidRPr="00CC7883">
        <w:rPr>
          <w:color w:val="000000" w:themeColor="text1"/>
          <w:sz w:val="28"/>
          <w:szCs w:val="28"/>
        </w:rPr>
        <w:t xml:space="preserve"> показники проліферації пазушних бруньок у дослідних варіантах, у т.</w:t>
      </w:r>
      <w:r w:rsidR="004601BF" w:rsidRPr="00CC7883">
        <w:rPr>
          <w:color w:val="000000" w:themeColor="text1"/>
          <w:sz w:val="28"/>
          <w:szCs w:val="28"/>
        </w:rPr>
        <w:t xml:space="preserve"> </w:t>
      </w:r>
      <w:r w:rsidRPr="00CC7883">
        <w:rPr>
          <w:color w:val="000000" w:themeColor="text1"/>
          <w:sz w:val="28"/>
          <w:szCs w:val="28"/>
        </w:rPr>
        <w:t xml:space="preserve">ч. і на агроперліті, </w:t>
      </w:r>
      <w:r w:rsidR="00E43052">
        <w:rPr>
          <w:color w:val="000000" w:themeColor="text1"/>
          <w:sz w:val="28"/>
          <w:szCs w:val="28"/>
        </w:rPr>
        <w:t>були нижчі за контроль</w:t>
      </w:r>
      <w:r w:rsidR="00AE359E" w:rsidRPr="00CC7883">
        <w:rPr>
          <w:color w:val="000000" w:themeColor="text1"/>
          <w:sz w:val="28"/>
          <w:szCs w:val="28"/>
        </w:rPr>
        <w:t xml:space="preserve"> у середньому</w:t>
      </w:r>
      <w:r w:rsidRPr="00CC7883">
        <w:rPr>
          <w:color w:val="000000" w:themeColor="text1"/>
          <w:sz w:val="28"/>
          <w:szCs w:val="28"/>
        </w:rPr>
        <w:t xml:space="preserve"> на 12,8–31,2 %. </w:t>
      </w:r>
    </w:p>
    <w:p w:rsidR="00796030" w:rsidRPr="00CC7883" w:rsidRDefault="00796030" w:rsidP="00047411">
      <w:pPr>
        <w:pStyle w:val="ae"/>
        <w:widowControl w:val="0"/>
        <w:spacing w:before="0" w:beforeAutospacing="0" w:after="0" w:afterAutospacing="0" w:line="360" w:lineRule="auto"/>
        <w:ind w:firstLine="720"/>
        <w:jc w:val="both"/>
        <w:rPr>
          <w:color w:val="000000" w:themeColor="text1"/>
          <w:sz w:val="28"/>
          <w:szCs w:val="28"/>
        </w:rPr>
      </w:pPr>
      <w:r w:rsidRPr="00CC7883">
        <w:rPr>
          <w:rFonts w:eastAsia="NSimSun"/>
          <w:color w:val="000000" w:themeColor="text1"/>
          <w:sz w:val="28"/>
          <w:szCs w:val="28"/>
        </w:rPr>
        <w:t xml:space="preserve">Встановлено, що використання поживних середовищ із меншим вмістом фітогормонів (0,2 мг/л 6-БАП; 0,3 мг/л ІОК) у поєднанні з біологічно активними препаратами </w:t>
      </w:r>
      <w:r w:rsidRPr="00CC7883">
        <w:rPr>
          <w:rFonts w:eastAsia="NSimSun"/>
          <w:iCs/>
          <w:color w:val="000000" w:themeColor="text1"/>
          <w:sz w:val="28"/>
          <w:szCs w:val="28"/>
        </w:rPr>
        <w:t>Clonex gel,</w:t>
      </w:r>
      <w:r w:rsidR="00416C54" w:rsidRPr="00CC7883">
        <w:rPr>
          <w:rFonts w:eastAsia="NSimSun"/>
          <w:iCs/>
          <w:color w:val="000000" w:themeColor="text1"/>
          <w:sz w:val="28"/>
          <w:szCs w:val="28"/>
        </w:rPr>
        <w:t xml:space="preserve"> </w:t>
      </w:r>
      <w:r w:rsidRPr="00CC7883">
        <w:rPr>
          <w:rFonts w:eastAsia="NSimSun"/>
          <w:iCs/>
          <w:color w:val="000000" w:themeColor="text1"/>
          <w:sz w:val="28"/>
          <w:szCs w:val="28"/>
        </w:rPr>
        <w:t>Радіфарм</w:t>
      </w:r>
      <w:r w:rsidRPr="00CC7883">
        <w:rPr>
          <w:rFonts w:eastAsia="NSimSun"/>
          <w:color w:val="000000" w:themeColor="text1"/>
          <w:sz w:val="28"/>
          <w:szCs w:val="28"/>
        </w:rPr>
        <w:t xml:space="preserve"> та агроперлітом (п’ятий, сьомий, одинадцятий, дев’ятий та третій варіанти) стимулювало швидший початок ризогенезу (з 7 доби), активне утворення кореневих зачатків та формування розгалуженої кореневої системи у ініціальних експлантів винограду. На 15-ту добу досліджен</w:t>
      </w:r>
      <w:r w:rsidR="00D446B8">
        <w:rPr>
          <w:rFonts w:eastAsia="NSimSun"/>
          <w:color w:val="000000" w:themeColor="text1"/>
          <w:sz w:val="28"/>
          <w:szCs w:val="28"/>
        </w:rPr>
        <w:t>ня</w:t>
      </w:r>
      <w:r w:rsidRPr="00CC7883">
        <w:rPr>
          <w:rFonts w:eastAsia="NSimSun"/>
          <w:color w:val="000000" w:themeColor="text1"/>
          <w:sz w:val="28"/>
          <w:szCs w:val="28"/>
        </w:rPr>
        <w:t xml:space="preserve"> кількість експлантів із кореневими зачатками у цих варіантах перевищувала контроль у підщепних сортів на </w:t>
      </w:r>
      <w:r w:rsidRPr="00CC7883">
        <w:rPr>
          <w:rFonts w:eastAsia="NSimSun"/>
          <w:color w:val="000000" w:themeColor="text1"/>
          <w:sz w:val="28"/>
          <w:szCs w:val="28"/>
        </w:rPr>
        <w:lastRenderedPageBreak/>
        <w:t xml:space="preserve">10,2–30,0 %, у технічних </w:t>
      </w:r>
      <w:r w:rsidRPr="00CC7883">
        <w:rPr>
          <w:rFonts w:eastAsia="NSimSun"/>
          <w:color w:val="000000" w:themeColor="text1"/>
          <w:kern w:val="3"/>
          <w:sz w:val="28"/>
          <w:szCs w:val="28"/>
          <w:lang w:eastAsia="zh-CN" w:bidi="hi-IN"/>
        </w:rPr>
        <w:t>–</w:t>
      </w:r>
      <w:r w:rsidRPr="00CC7883">
        <w:rPr>
          <w:rFonts w:eastAsia="NSimSun"/>
          <w:color w:val="000000" w:themeColor="text1"/>
          <w:sz w:val="28"/>
          <w:szCs w:val="28"/>
        </w:rPr>
        <w:t xml:space="preserve"> на 14,5–34,3 %. На 30-ту добу досліджен</w:t>
      </w:r>
      <w:r w:rsidR="00D446B8">
        <w:rPr>
          <w:rFonts w:eastAsia="NSimSun"/>
          <w:color w:val="000000" w:themeColor="text1"/>
          <w:sz w:val="28"/>
          <w:szCs w:val="28"/>
        </w:rPr>
        <w:t>ня</w:t>
      </w:r>
      <w:r w:rsidRPr="00CC7883">
        <w:rPr>
          <w:rFonts w:eastAsia="NSimSun"/>
          <w:color w:val="000000" w:themeColor="text1"/>
          <w:sz w:val="28"/>
          <w:szCs w:val="28"/>
        </w:rPr>
        <w:t xml:space="preserve"> відсоток експлантів із коренями становив 58,2–79,1 % у підщепних сортів і 48,9–61,2</w:t>
      </w:r>
      <w:r w:rsidR="004601BF" w:rsidRPr="00CC7883">
        <w:rPr>
          <w:rFonts w:eastAsia="NSimSun"/>
          <w:color w:val="000000" w:themeColor="text1"/>
          <w:sz w:val="28"/>
          <w:szCs w:val="28"/>
        </w:rPr>
        <w:t> </w:t>
      </w:r>
      <w:r w:rsidRPr="00CC7883">
        <w:rPr>
          <w:rFonts w:eastAsia="NSimSun"/>
          <w:color w:val="000000" w:themeColor="text1"/>
          <w:sz w:val="28"/>
          <w:szCs w:val="28"/>
        </w:rPr>
        <w:t xml:space="preserve">% у технічних, що на 10,0–30,0 % більше від контролю (48,9 % та 41,0 % відповідно). При цьому у ініціальних експлантів контрольних варіантів формувалося по 2–3 довгих, але слаборозгалужених коренів, у ініціальних експлантів дослідних варіантів </w:t>
      </w:r>
      <w:r w:rsidRPr="00CC7883">
        <w:rPr>
          <w:rFonts w:eastAsia="NSimSun"/>
          <w:color w:val="000000" w:themeColor="text1"/>
          <w:kern w:val="3"/>
          <w:sz w:val="28"/>
          <w:szCs w:val="28"/>
          <w:lang w:eastAsia="zh-CN" w:bidi="hi-IN"/>
        </w:rPr>
        <w:t>–</w:t>
      </w:r>
      <w:r w:rsidR="0013282A" w:rsidRPr="00CC7883">
        <w:rPr>
          <w:rFonts w:eastAsia="NSimSun"/>
          <w:color w:val="000000" w:themeColor="text1"/>
          <w:kern w:val="3"/>
          <w:sz w:val="28"/>
          <w:szCs w:val="28"/>
          <w:lang w:eastAsia="zh-CN" w:bidi="hi-IN"/>
        </w:rPr>
        <w:t xml:space="preserve"> </w:t>
      </w:r>
      <w:r w:rsidRPr="00CC7883">
        <w:rPr>
          <w:rFonts w:eastAsia="NSimSun"/>
          <w:color w:val="000000" w:themeColor="text1"/>
          <w:sz w:val="28"/>
          <w:szCs w:val="28"/>
        </w:rPr>
        <w:t>по 5–8 коротших коренів, але з великою кількістю коренів другого і третього порядку.</w:t>
      </w:r>
      <w:r w:rsidRPr="00CC7883">
        <w:rPr>
          <w:color w:val="000000" w:themeColor="text1"/>
          <w:sz w:val="28"/>
          <w:szCs w:val="28"/>
        </w:rPr>
        <w:t xml:space="preserve"> На поживних середовищах із підвищеними концентраціями 6-БАП (0,5 мг/л) та ІОК (0,6 мг/л) у базальній частині експлантів формувалися об’ємні калусні маси, що уповільнювало розвиток коренів.</w:t>
      </w:r>
    </w:p>
    <w:p w:rsidR="00796030" w:rsidRPr="00CC7883" w:rsidRDefault="00796030" w:rsidP="00047411">
      <w:pPr>
        <w:pStyle w:val="ae"/>
        <w:widowControl w:val="0"/>
        <w:spacing w:before="0" w:beforeAutospacing="0" w:after="0" w:afterAutospacing="0" w:line="360" w:lineRule="auto"/>
        <w:ind w:firstLine="709"/>
        <w:jc w:val="both"/>
        <w:rPr>
          <w:color w:val="000000" w:themeColor="text1"/>
          <w:sz w:val="28"/>
          <w:szCs w:val="28"/>
        </w:rPr>
      </w:pPr>
      <w:r w:rsidRPr="00CC7883">
        <w:rPr>
          <w:color w:val="000000" w:themeColor="text1"/>
          <w:sz w:val="28"/>
          <w:szCs w:val="28"/>
        </w:rPr>
        <w:t>На поживних мінеральних субстратах перші кореневі зачатки формувалися ближче до 15 доби, тоді як на стандартних поживних середовищах MS – на 7–10 добу. Вже на 30-ту добу досліджен</w:t>
      </w:r>
      <w:r w:rsidR="00D446B8">
        <w:rPr>
          <w:color w:val="000000" w:themeColor="text1"/>
          <w:sz w:val="28"/>
          <w:szCs w:val="28"/>
        </w:rPr>
        <w:t>ня</w:t>
      </w:r>
      <w:r w:rsidRPr="00CC7883">
        <w:rPr>
          <w:color w:val="000000" w:themeColor="text1"/>
          <w:sz w:val="28"/>
          <w:szCs w:val="28"/>
        </w:rPr>
        <w:t xml:space="preserve"> кількість ініціальних експлантів із кореневими зачатками становил</w:t>
      </w:r>
      <w:r w:rsidR="00D73AD0">
        <w:rPr>
          <w:color w:val="000000" w:themeColor="text1"/>
          <w:sz w:val="28"/>
          <w:szCs w:val="28"/>
        </w:rPr>
        <w:t>а</w:t>
      </w:r>
      <w:r w:rsidRPr="00CC7883">
        <w:rPr>
          <w:color w:val="000000" w:themeColor="text1"/>
          <w:sz w:val="28"/>
          <w:szCs w:val="28"/>
        </w:rPr>
        <w:t xml:space="preserve"> в середньому 50,0–73,5 % для підщепних і 54,0–69,0 % для технічних сортів, що на 18,2–41,7 % перевищували контроль (48,9 % та 41,0 % відповідно).</w:t>
      </w:r>
    </w:p>
    <w:p w:rsidR="00796030" w:rsidRPr="00CC7883" w:rsidRDefault="00796030" w:rsidP="00047411">
      <w:pPr>
        <w:pStyle w:val="ae"/>
        <w:widowControl w:val="0"/>
        <w:numPr>
          <w:ilvl w:val="0"/>
          <w:numId w:val="20"/>
        </w:numPr>
        <w:tabs>
          <w:tab w:val="left" w:pos="1252"/>
        </w:tabs>
        <w:spacing w:before="0" w:beforeAutospacing="0" w:after="0" w:afterAutospacing="0" w:line="360" w:lineRule="auto"/>
        <w:ind w:left="0" w:firstLine="0"/>
        <w:jc w:val="both"/>
        <w:rPr>
          <w:rFonts w:eastAsia="NSimSun"/>
          <w:color w:val="000000" w:themeColor="text1"/>
          <w:spacing w:val="-8"/>
          <w:kern w:val="3"/>
          <w:sz w:val="28"/>
          <w:szCs w:val="28"/>
        </w:rPr>
      </w:pPr>
      <w:r w:rsidRPr="00CC7883">
        <w:rPr>
          <w:color w:val="000000" w:themeColor="text1"/>
          <w:sz w:val="28"/>
          <w:szCs w:val="28"/>
        </w:rPr>
        <w:t>Загалом дослідження показали, що для високого рівня приживлюваності, активної проліферації пазушних бруньок та ризогенезу ініціальних експлантів винограду оптимальними є поживні середовища з меншим</w:t>
      </w:r>
      <w:r w:rsidR="00416C54" w:rsidRPr="00CC7883">
        <w:rPr>
          <w:color w:val="000000" w:themeColor="text1"/>
          <w:sz w:val="28"/>
          <w:szCs w:val="28"/>
        </w:rPr>
        <w:t xml:space="preserve"> </w:t>
      </w:r>
      <w:r w:rsidRPr="00CC7883">
        <w:rPr>
          <w:color w:val="000000" w:themeColor="text1"/>
          <w:sz w:val="28"/>
          <w:szCs w:val="28"/>
        </w:rPr>
        <w:t xml:space="preserve">вмістом фітогормонів. Додавання до них агроперліту, як мінерального субстрату, сприяло більшій приживлюваності та активнішій проліферації порівняно з </w:t>
      </w:r>
      <w:r w:rsidRPr="00CC7883">
        <w:rPr>
          <w:rFonts w:eastAsia="NSimSun"/>
          <w:color w:val="000000" w:themeColor="text1"/>
          <w:kern w:val="3"/>
          <w:sz w:val="28"/>
          <w:szCs w:val="28"/>
          <w:lang w:eastAsia="zh-CN" w:bidi="hi-IN"/>
        </w:rPr>
        <w:t>вермикуліт</w:t>
      </w:r>
      <w:r w:rsidRPr="00CC7883">
        <w:rPr>
          <w:color w:val="000000" w:themeColor="text1"/>
          <w:sz w:val="28"/>
          <w:szCs w:val="28"/>
        </w:rPr>
        <w:t xml:space="preserve">ом і його сумішшю, хоча ці показники залишалися дещо нижчими за контрольні значення. Біологічно активні препарати (Clonex gel, Радіфарм) сприяли більш ранньому та активному ризогенезу і формуванню розгалуженої кореневої системи з більшою кількістю коренів другого і третього порядку, що є важливим для успішної адаптації мікроклонів до умов </w:t>
      </w:r>
      <w:r w:rsidR="00894C28" w:rsidRPr="00CC7883">
        <w:rPr>
          <w:rFonts w:eastAsia="NSimSun"/>
          <w:i/>
          <w:iCs/>
          <w:color w:val="000000" w:themeColor="text1"/>
          <w:kern w:val="3"/>
          <w:sz w:val="28"/>
          <w:szCs w:val="28"/>
          <w:lang w:eastAsia="en-US"/>
        </w:rPr>
        <w:t>in vivo</w:t>
      </w:r>
      <w:r w:rsidRPr="00CC7883">
        <w:rPr>
          <w:color w:val="000000" w:themeColor="text1"/>
          <w:sz w:val="28"/>
          <w:szCs w:val="28"/>
        </w:rPr>
        <w:t>. За сортовими особливостями підщепні сорти (</w:t>
      </w:r>
      <w:r w:rsidRPr="00CC7883">
        <w:rPr>
          <w:rFonts w:eastAsia="NSimSun"/>
          <w:bCs/>
          <w:color w:val="000000" w:themeColor="text1"/>
          <w:kern w:val="3"/>
          <w:sz w:val="28"/>
          <w:szCs w:val="28"/>
          <w:lang w:eastAsia="zh-CN" w:bidi="hi-IN"/>
        </w:rPr>
        <w:t>«Добриня»</w:t>
      </w:r>
      <w:r w:rsidRPr="00CC7883">
        <w:rPr>
          <w:color w:val="000000" w:themeColor="text1"/>
          <w:sz w:val="28"/>
          <w:szCs w:val="28"/>
        </w:rPr>
        <w:t>, «Гарант») відзначалися вищими показниками приживлюваності, проліферації та ризогенезу порівняно з технічними («Ярило», «Загрей»), що свідчить про їх кращу регенераційну здатність.</w:t>
      </w:r>
    </w:p>
    <w:p w:rsidR="008A4327" w:rsidRPr="00CC7883" w:rsidRDefault="008A4327" w:rsidP="00653B23">
      <w:pPr>
        <w:widowControl w:val="0"/>
        <w:jc w:val="center"/>
        <w:rPr>
          <w:rFonts w:ascii="Times New Roman" w:eastAsia="SimSun" w:hAnsi="Times New Roman" w:cs="Times New Roman"/>
          <w:b/>
          <w:bCs/>
          <w:color w:val="000000" w:themeColor="text1"/>
          <w:kern w:val="0"/>
          <w:sz w:val="28"/>
          <w:szCs w:val="28"/>
        </w:rPr>
      </w:pPr>
      <w:bookmarkStart w:id="37" w:name="_Hlk163384350"/>
      <w:bookmarkStart w:id="38" w:name="_Toc220058936"/>
      <w:bookmarkEnd w:id="37"/>
      <w:r w:rsidRPr="00CC7883">
        <w:rPr>
          <w:rFonts w:ascii="Times New Roman" w:eastAsia="SimSun" w:hAnsi="Times New Roman" w:cs="Times New Roman"/>
          <w:b/>
          <w:bCs/>
          <w:color w:val="000000" w:themeColor="text1"/>
          <w:kern w:val="0"/>
          <w:sz w:val="28"/>
          <w:szCs w:val="28"/>
        </w:rPr>
        <w:lastRenderedPageBreak/>
        <w:t>РОЗДІЛ 4</w:t>
      </w:r>
      <w:bookmarkEnd w:id="38"/>
    </w:p>
    <w:p w:rsidR="008A4327" w:rsidRPr="00CC7883" w:rsidRDefault="008A4327" w:rsidP="00047411">
      <w:pPr>
        <w:widowControl w:val="0"/>
        <w:spacing w:after="0" w:line="360" w:lineRule="auto"/>
        <w:jc w:val="center"/>
        <w:outlineLvl w:val="0"/>
        <w:rPr>
          <w:rFonts w:ascii="Times New Roman" w:eastAsia="SimSun" w:hAnsi="Times New Roman" w:cs="Times New Roman"/>
          <w:b/>
          <w:bCs/>
          <w:i/>
          <w:iCs/>
          <w:color w:val="000000" w:themeColor="text1"/>
          <w:kern w:val="0"/>
          <w:sz w:val="28"/>
          <w:szCs w:val="28"/>
        </w:rPr>
      </w:pPr>
      <w:bookmarkStart w:id="39" w:name="_Toc220058937"/>
      <w:r w:rsidRPr="00CC7883">
        <w:rPr>
          <w:rFonts w:ascii="Times New Roman" w:eastAsia="SimSun" w:hAnsi="Times New Roman" w:cs="Times New Roman"/>
          <w:b/>
          <w:bCs/>
          <w:color w:val="000000" w:themeColor="text1"/>
          <w:kern w:val="0"/>
          <w:sz w:val="28"/>
          <w:szCs w:val="28"/>
        </w:rPr>
        <w:t xml:space="preserve">БІОМЕТРИЧНІ ПОКАЗНИКИ РОСТУ І РОЗВИТКУ МІКРОКЛОНІВ ВИНОГРАДУ </w:t>
      </w:r>
      <w:r w:rsidRPr="00CC7883">
        <w:rPr>
          <w:rFonts w:ascii="Times New Roman" w:eastAsia="SimSun" w:hAnsi="Times New Roman" w:cs="Times New Roman"/>
          <w:b/>
          <w:bCs/>
          <w:i/>
          <w:iCs/>
          <w:color w:val="000000" w:themeColor="text1"/>
          <w:kern w:val="0"/>
          <w:sz w:val="28"/>
          <w:szCs w:val="28"/>
        </w:rPr>
        <w:t>IN</w:t>
      </w:r>
      <w:r w:rsidR="001221F9" w:rsidRPr="00CC7883">
        <w:rPr>
          <w:rFonts w:ascii="Times New Roman" w:eastAsia="SimSun" w:hAnsi="Times New Roman" w:cs="Times New Roman"/>
          <w:b/>
          <w:bCs/>
          <w:i/>
          <w:iCs/>
          <w:color w:val="000000" w:themeColor="text1"/>
          <w:kern w:val="0"/>
          <w:sz w:val="28"/>
          <w:szCs w:val="28"/>
        </w:rPr>
        <w:t> </w:t>
      </w:r>
      <w:r w:rsidRPr="00CC7883">
        <w:rPr>
          <w:rFonts w:ascii="Times New Roman" w:eastAsia="SimSun" w:hAnsi="Times New Roman" w:cs="Times New Roman"/>
          <w:b/>
          <w:bCs/>
          <w:i/>
          <w:iCs/>
          <w:color w:val="000000" w:themeColor="text1"/>
          <w:kern w:val="0"/>
          <w:sz w:val="28"/>
          <w:szCs w:val="28"/>
        </w:rPr>
        <w:t>VITRO</w:t>
      </w:r>
      <w:bookmarkEnd w:id="39"/>
    </w:p>
    <w:p w:rsidR="008A4327" w:rsidRPr="00CC7883" w:rsidRDefault="008A4327" w:rsidP="00047411">
      <w:pPr>
        <w:widowControl w:val="0"/>
        <w:spacing w:after="0" w:line="360" w:lineRule="auto"/>
        <w:jc w:val="center"/>
        <w:rPr>
          <w:rFonts w:ascii="Times New Roman" w:eastAsia="SimSun" w:hAnsi="Times New Roman" w:cs="Times New Roman"/>
          <w:b/>
          <w:bCs/>
          <w:color w:val="000000" w:themeColor="text1"/>
          <w:kern w:val="0"/>
          <w:sz w:val="28"/>
          <w:szCs w:val="28"/>
        </w:rPr>
      </w:pPr>
    </w:p>
    <w:p w:rsidR="008A4327" w:rsidRPr="00CC7883" w:rsidRDefault="008A4327" w:rsidP="00047411">
      <w:pPr>
        <w:widowControl w:val="0"/>
        <w:spacing w:after="0" w:line="360" w:lineRule="auto"/>
        <w:ind w:firstLine="709"/>
        <w:jc w:val="both"/>
        <w:outlineLvl w:val="1"/>
        <w:rPr>
          <w:rFonts w:ascii="Times New Roman" w:eastAsia="SimSun" w:hAnsi="Times New Roman" w:cs="Times New Roman"/>
          <w:b/>
          <w:bCs/>
          <w:color w:val="000000" w:themeColor="text1"/>
          <w:kern w:val="0"/>
          <w:sz w:val="28"/>
          <w:szCs w:val="28"/>
        </w:rPr>
      </w:pPr>
      <w:bookmarkStart w:id="40" w:name="_Toc220058938"/>
      <w:r w:rsidRPr="00CC7883">
        <w:rPr>
          <w:rFonts w:ascii="Times New Roman" w:eastAsia="SimSun" w:hAnsi="Times New Roman" w:cs="Times New Roman"/>
          <w:b/>
          <w:bCs/>
          <w:color w:val="000000" w:themeColor="text1"/>
          <w:kern w:val="0"/>
          <w:sz w:val="28"/>
          <w:szCs w:val="28"/>
        </w:rPr>
        <w:t>4.1. Вегетативна надземна маса</w:t>
      </w:r>
      <w:bookmarkEnd w:id="40"/>
    </w:p>
    <w:p w:rsidR="008A4327" w:rsidRPr="00CC7883" w:rsidRDefault="008A4327" w:rsidP="00047411">
      <w:pPr>
        <w:widowControl w:val="0"/>
        <w:spacing w:after="0" w:line="360" w:lineRule="auto"/>
        <w:ind w:firstLine="708"/>
        <w:jc w:val="both"/>
        <w:rPr>
          <w:rFonts w:ascii="Times New Roman" w:eastAsia="SimSun" w:hAnsi="Times New Roman" w:cs="Times New Roman"/>
          <w:b/>
          <w:bCs/>
          <w:color w:val="000000" w:themeColor="text1"/>
          <w:kern w:val="0"/>
          <w:sz w:val="28"/>
          <w:szCs w:val="28"/>
        </w:rPr>
      </w:pPr>
    </w:p>
    <w:p w:rsidR="008A4327" w:rsidRPr="00CC7883" w:rsidRDefault="008A4327" w:rsidP="00047411">
      <w:pPr>
        <w:widowControl w:val="0"/>
        <w:spacing w:after="0" w:line="360" w:lineRule="auto"/>
        <w:ind w:firstLine="709"/>
        <w:jc w:val="both"/>
        <w:rPr>
          <w:rFonts w:ascii="Times New Roman" w:eastAsia="SimSun" w:hAnsi="Times New Roman" w:cs="Times New Roman"/>
          <w:bCs/>
          <w:iCs/>
          <w:color w:val="000000" w:themeColor="text1"/>
          <w:kern w:val="0"/>
          <w:sz w:val="22"/>
          <w:szCs w:val="22"/>
        </w:rPr>
      </w:pPr>
      <w:r w:rsidRPr="00CC7883">
        <w:rPr>
          <w:rFonts w:ascii="Times New Roman" w:eastAsia="SimSun" w:hAnsi="Times New Roman" w:cs="Times New Roman"/>
          <w:i/>
          <w:iCs/>
          <w:color w:val="000000" w:themeColor="text1"/>
          <w:kern w:val="0"/>
          <w:sz w:val="28"/>
          <w:szCs w:val="28"/>
        </w:rPr>
        <w:t>Поживні середовища</w:t>
      </w:r>
      <w:r w:rsidRPr="00CC7883">
        <w:rPr>
          <w:rFonts w:ascii="Times New Roman" w:eastAsia="SimSun" w:hAnsi="Times New Roman" w:cs="Times New Roman"/>
          <w:color w:val="000000" w:themeColor="text1"/>
          <w:kern w:val="0"/>
          <w:sz w:val="28"/>
          <w:szCs w:val="28"/>
        </w:rPr>
        <w:t xml:space="preserve">. Розвиток вегетативної надземної маси рослин дуже тісно пов’язаний з формуванням кореневої системи. </w:t>
      </w:r>
      <w:r w:rsidRPr="00CC7883">
        <w:rPr>
          <w:rFonts w:ascii="Times New Roman" w:eastAsia="SimSun" w:hAnsi="Times New Roman" w:cs="Times New Roman"/>
          <w:bCs/>
          <w:color w:val="000000" w:themeColor="text1"/>
          <w:kern w:val="0"/>
          <w:sz w:val="28"/>
          <w:szCs w:val="28"/>
        </w:rPr>
        <w:t xml:space="preserve">Відомо, що </w:t>
      </w:r>
      <w:r w:rsidRPr="00CC7883">
        <w:rPr>
          <w:rFonts w:ascii="Times New Roman" w:eastAsia="NSimSun" w:hAnsi="Times New Roman" w:cs="Times New Roman"/>
          <w:bCs/>
          <w:color w:val="000000" w:themeColor="text1"/>
          <w:kern w:val="3"/>
          <w:sz w:val="28"/>
          <w:szCs w:val="28"/>
        </w:rPr>
        <w:t xml:space="preserve">у рослин у стерильних умовах часто виникають структурно-функціональні порушення, що знижують їх життєздатність </w:t>
      </w:r>
      <w:r w:rsidR="00290A17" w:rsidRPr="00CC7883">
        <w:rPr>
          <w:rFonts w:ascii="Times New Roman" w:eastAsia="NSimSun" w:hAnsi="Times New Roman" w:cs="Times New Roman"/>
          <w:bCs/>
          <w:color w:val="000000" w:themeColor="text1"/>
          <w:kern w:val="3"/>
          <w:sz w:val="28"/>
          <w:szCs w:val="28"/>
        </w:rPr>
        <w:t xml:space="preserve">в умовах </w:t>
      </w:r>
      <w:r w:rsidR="00290A17" w:rsidRPr="00CC7883">
        <w:rPr>
          <w:rFonts w:ascii="Times New Roman" w:eastAsia="NSimSun" w:hAnsi="Times New Roman" w:cs="Times New Roman"/>
          <w:bCs/>
          <w:i/>
          <w:color w:val="000000" w:themeColor="text1"/>
          <w:kern w:val="3"/>
          <w:sz w:val="28"/>
          <w:szCs w:val="28"/>
        </w:rPr>
        <w:t>in vivo</w:t>
      </w:r>
      <w:r w:rsidRPr="00CC7883">
        <w:rPr>
          <w:rFonts w:ascii="Times New Roman" w:eastAsia="NSimSun" w:hAnsi="Times New Roman" w:cs="Times New Roman"/>
          <w:bCs/>
          <w:color w:val="000000" w:themeColor="text1"/>
          <w:kern w:val="3"/>
          <w:sz w:val="28"/>
          <w:szCs w:val="28"/>
        </w:rPr>
        <w:t>, зокрема недорозвинен</w:t>
      </w:r>
      <w:r w:rsidR="00527F36" w:rsidRPr="00CC7883">
        <w:rPr>
          <w:rFonts w:ascii="Times New Roman" w:eastAsia="NSimSun" w:hAnsi="Times New Roman" w:cs="Times New Roman"/>
          <w:bCs/>
          <w:color w:val="000000" w:themeColor="text1"/>
          <w:kern w:val="3"/>
          <w:sz w:val="28"/>
          <w:szCs w:val="28"/>
        </w:rPr>
        <w:t>а</w:t>
      </w:r>
      <w:r w:rsidR="00A37DB8" w:rsidRPr="00CC7883">
        <w:rPr>
          <w:rFonts w:ascii="Times New Roman" w:eastAsia="NSimSun" w:hAnsi="Times New Roman" w:cs="Times New Roman"/>
          <w:bCs/>
          <w:color w:val="000000" w:themeColor="text1"/>
          <w:kern w:val="3"/>
          <w:sz w:val="28"/>
          <w:szCs w:val="28"/>
        </w:rPr>
        <w:t xml:space="preserve"> </w:t>
      </w:r>
      <w:r w:rsidR="00527F36" w:rsidRPr="00CC7883">
        <w:rPr>
          <w:rFonts w:ascii="Times New Roman" w:eastAsia="NSimSun" w:hAnsi="Times New Roman" w:cs="Times New Roman"/>
          <w:bCs/>
          <w:color w:val="000000" w:themeColor="text1"/>
          <w:kern w:val="3"/>
          <w:sz w:val="28"/>
          <w:szCs w:val="28"/>
        </w:rPr>
        <w:t>кутикула</w:t>
      </w:r>
      <w:r w:rsidRPr="00CC7883">
        <w:rPr>
          <w:rFonts w:ascii="Times New Roman" w:eastAsia="NSimSun" w:hAnsi="Times New Roman" w:cs="Times New Roman"/>
          <w:bCs/>
          <w:color w:val="000000" w:themeColor="text1"/>
          <w:kern w:val="3"/>
          <w:sz w:val="28"/>
          <w:szCs w:val="28"/>
        </w:rPr>
        <w:t xml:space="preserve">, </w:t>
      </w:r>
      <w:r w:rsidR="00527F36" w:rsidRPr="00CC7883">
        <w:rPr>
          <w:rFonts w:ascii="Times New Roman" w:eastAsia="NSimSun" w:hAnsi="Times New Roman" w:cs="Times New Roman"/>
          <w:bCs/>
          <w:color w:val="000000" w:themeColor="text1"/>
          <w:kern w:val="3"/>
          <w:sz w:val="28"/>
          <w:szCs w:val="28"/>
        </w:rPr>
        <w:t>порушена регуляція відкривання та закривання продихів</w:t>
      </w:r>
      <w:r w:rsidRPr="00CC7883">
        <w:rPr>
          <w:rFonts w:ascii="Times New Roman" w:eastAsia="NSimSun" w:hAnsi="Times New Roman" w:cs="Times New Roman"/>
          <w:bCs/>
          <w:color w:val="000000" w:themeColor="text1"/>
          <w:kern w:val="3"/>
          <w:sz w:val="28"/>
          <w:szCs w:val="28"/>
        </w:rPr>
        <w:t xml:space="preserve">, </w:t>
      </w:r>
      <w:r w:rsidR="00527F36" w:rsidRPr="00CC7883">
        <w:rPr>
          <w:rFonts w:ascii="Times New Roman" w:eastAsia="NSimSun" w:hAnsi="Times New Roman" w:cs="Times New Roman"/>
          <w:bCs/>
          <w:color w:val="000000" w:themeColor="text1"/>
          <w:kern w:val="3"/>
          <w:sz w:val="28"/>
          <w:szCs w:val="28"/>
        </w:rPr>
        <w:t>низька фотосинтетична активність рослин</w:t>
      </w:r>
      <w:r w:rsidRPr="00CC7883">
        <w:rPr>
          <w:rFonts w:ascii="Times New Roman" w:eastAsia="NSimSun" w:hAnsi="Times New Roman" w:cs="Times New Roman"/>
          <w:bCs/>
          <w:color w:val="000000" w:themeColor="text1"/>
          <w:kern w:val="3"/>
          <w:sz w:val="28"/>
          <w:szCs w:val="28"/>
        </w:rPr>
        <w:t xml:space="preserve">, вітрифікація та </w:t>
      </w:r>
      <w:r w:rsidR="00527F36" w:rsidRPr="00CC7883">
        <w:rPr>
          <w:rFonts w:ascii="Times New Roman" w:eastAsia="NSimSun" w:hAnsi="Times New Roman" w:cs="Times New Roman"/>
          <w:bCs/>
          <w:color w:val="000000" w:themeColor="text1"/>
          <w:kern w:val="3"/>
          <w:sz w:val="28"/>
          <w:szCs w:val="28"/>
        </w:rPr>
        <w:t xml:space="preserve">неповна сформованість судинної системи </w:t>
      </w:r>
      <w:r w:rsidR="00B9668A" w:rsidRPr="00CC7883">
        <w:rPr>
          <w:rFonts w:ascii="Times New Roman" w:eastAsia="SimSun" w:hAnsi="Times New Roman" w:cs="Times New Roman"/>
          <w:color w:val="000000" w:themeColor="text1"/>
          <w:kern w:val="0"/>
          <w:sz w:val="28"/>
          <w:szCs w:val="28"/>
        </w:rPr>
        <w:t>[41</w:t>
      </w:r>
      <w:r w:rsidRPr="00CC7883">
        <w:rPr>
          <w:rFonts w:ascii="Times New Roman" w:eastAsia="SimSun" w:hAnsi="Times New Roman" w:cs="Times New Roman"/>
          <w:color w:val="000000" w:themeColor="text1"/>
          <w:kern w:val="0"/>
          <w:sz w:val="28"/>
          <w:szCs w:val="28"/>
        </w:rPr>
        <w:t>]. Тому наші дослідження були спрямовані на визначення умов підвищення</w:t>
      </w:r>
      <w:r w:rsidRPr="00CC7883">
        <w:rPr>
          <w:rFonts w:ascii="Times New Roman" w:eastAsia="SimSun" w:hAnsi="Times New Roman" w:cs="Times New Roman"/>
          <w:bCs/>
          <w:color w:val="000000" w:themeColor="text1"/>
          <w:kern w:val="0"/>
          <w:sz w:val="28"/>
          <w:szCs w:val="28"/>
        </w:rPr>
        <w:t xml:space="preserve"> адаптаційного потенціалу мікроклональних рослин і збільшення їх приживлюваності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SimSun" w:hAnsi="Times New Roman" w:cs="Times New Roman"/>
          <w:bCs/>
          <w:i/>
          <w:color w:val="000000" w:themeColor="text1"/>
          <w:kern w:val="0"/>
          <w:sz w:val="28"/>
          <w:szCs w:val="28"/>
        </w:rPr>
        <w:t>.</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Через два місяці культивування мікроклонів винограду різних сортів на модифікованих поживних середовищах було встановлено, що у всіх варіантах, де вміст фітогормонів у поживному середовищі був більшим і дорівнював 0,6</w:t>
      </w:r>
      <w:r w:rsidR="00A37DB8"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мг/л ІОК та 0,5 мг/л </w:t>
      </w:r>
      <w:r w:rsidR="00896867" w:rsidRPr="00CC7883">
        <w:rPr>
          <w:rFonts w:ascii="Times New Roman" w:hAnsi="Times New Roman" w:cs="Times New Roman"/>
          <w:color w:val="000000" w:themeColor="text1"/>
          <w:sz w:val="28"/>
          <w:szCs w:val="28"/>
        </w:rPr>
        <w:t>6-БАП</w:t>
      </w:r>
      <w:r w:rsidRPr="00CC7883">
        <w:rPr>
          <w:rFonts w:ascii="Times New Roman" w:eastAsia="NSimSun" w:hAnsi="Times New Roman" w:cs="Times New Roman"/>
          <w:color w:val="000000" w:themeColor="text1"/>
          <w:kern w:val="3"/>
          <w:sz w:val="28"/>
          <w:szCs w:val="28"/>
        </w:rPr>
        <w:t>, вегетативна надземна маса мікроклональних рослин була менш розвинена. Рослини характеризувалися меншою висотою, кількістю листкових пластинок, площею листків та загалом облистяністю.</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bCs/>
          <w:color w:val="000000" w:themeColor="text1"/>
          <w:kern w:val="3"/>
        </w:rPr>
      </w:pPr>
      <w:r w:rsidRPr="00CC7883">
        <w:rPr>
          <w:rFonts w:ascii="Times New Roman" w:eastAsia="NSimSun" w:hAnsi="Times New Roman" w:cs="Times New Roman"/>
          <w:color w:val="000000" w:themeColor="text1"/>
          <w:kern w:val="3"/>
          <w:sz w:val="28"/>
          <w:szCs w:val="28"/>
        </w:rPr>
        <w:t xml:space="preserve">В обох контрольних варіантах рослини добре розвивалися і це зрозуміло, оскільки </w:t>
      </w:r>
      <w:r w:rsidRPr="00CC7883">
        <w:rPr>
          <w:rFonts w:ascii="Times New Roman" w:eastAsia="NSimSun" w:hAnsi="Times New Roman" w:cs="Times New Roman"/>
          <w:bCs/>
          <w:color w:val="000000" w:themeColor="text1"/>
          <w:kern w:val="3"/>
          <w:sz w:val="28"/>
          <w:szCs w:val="28"/>
        </w:rPr>
        <w:t xml:space="preserve">результати попередніх досліджень показують, що стандартні поживні середовища MS з помірними концентраціями ауксинів і цитокінінів забезпечують інтенсивний ріст і розвиток мікроклонів винограду </w:t>
      </w:r>
      <w:r w:rsidRPr="00CC7883">
        <w:rPr>
          <w:rFonts w:ascii="Times New Roman" w:eastAsia="NSimSun" w:hAnsi="Times New Roman" w:cs="Times New Roman"/>
          <w:bCs/>
          <w:i/>
          <w:color w:val="000000" w:themeColor="text1"/>
          <w:kern w:val="3"/>
          <w:sz w:val="28"/>
          <w:szCs w:val="28"/>
        </w:rPr>
        <w:t>in vitro</w:t>
      </w:r>
      <w:r w:rsidRPr="00CC7883">
        <w:rPr>
          <w:rFonts w:ascii="Times New Roman" w:eastAsia="NSimSun" w:hAnsi="Times New Roman" w:cs="Times New Roman"/>
          <w:bCs/>
          <w:color w:val="000000" w:themeColor="text1"/>
          <w:kern w:val="3"/>
          <w:sz w:val="28"/>
          <w:szCs w:val="28"/>
        </w:rPr>
        <w:t xml:space="preserve">, зокрема на етапі формування вегетативної надземної маси. Разом із тим, інтенсивний ріст мікроклонів на стандартних поживних середовищах не забезпечував їх успішного переходу до умов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NSimSun" w:hAnsi="Times New Roman" w:cs="Times New Roman"/>
          <w:bCs/>
          <w:color w:val="000000" w:themeColor="text1"/>
          <w:kern w:val="3"/>
          <w:sz w:val="28"/>
          <w:szCs w:val="28"/>
        </w:rPr>
        <w:t xml:space="preserve">, що проявлялося значними втратами рослин у процесі адаптації та обмеженим відсотком </w:t>
      </w:r>
      <w:r w:rsidRPr="00CC7883">
        <w:rPr>
          <w:rFonts w:ascii="Times New Roman" w:eastAsia="NSimSun" w:hAnsi="Times New Roman" w:cs="Times New Roman"/>
          <w:bCs/>
          <w:color w:val="000000" w:themeColor="text1"/>
          <w:kern w:val="3"/>
          <w:sz w:val="28"/>
          <w:szCs w:val="28"/>
        </w:rPr>
        <w:lastRenderedPageBreak/>
        <w:t xml:space="preserve">приживлення після перенесення </w:t>
      </w:r>
      <w:r w:rsidR="003B092E" w:rsidRPr="00CC7883">
        <w:rPr>
          <w:rFonts w:ascii="Times New Roman" w:eastAsia="NSimSun" w:hAnsi="Times New Roman" w:cs="Times New Roman"/>
          <w:bCs/>
          <w:color w:val="000000" w:themeColor="text1"/>
          <w:kern w:val="3"/>
          <w:sz w:val="28"/>
          <w:szCs w:val="28"/>
        </w:rPr>
        <w:t>в</w:t>
      </w:r>
      <w:r w:rsidRPr="00CC7883">
        <w:rPr>
          <w:rFonts w:ascii="Times New Roman" w:eastAsia="NSimSun" w:hAnsi="Times New Roman" w:cs="Times New Roman"/>
          <w:bCs/>
          <w:color w:val="000000" w:themeColor="text1"/>
          <w:kern w:val="3"/>
          <w:sz w:val="28"/>
          <w:szCs w:val="28"/>
        </w:rPr>
        <w:t xml:space="preserve"> умови</w:t>
      </w:r>
      <w:r w:rsidR="001221F9" w:rsidRPr="00CC7883">
        <w:rPr>
          <w:rFonts w:ascii="Times New Roman" w:hAnsi="Times New Roman" w:cs="Times New Roman"/>
          <w:i/>
          <w:color w:val="000000" w:themeColor="text1"/>
          <w:sz w:val="28"/>
          <w:szCs w:val="28"/>
        </w:rPr>
        <w:t xml:space="preserve"> in vivo</w:t>
      </w:r>
      <w:r w:rsidRPr="00CC7883">
        <w:rPr>
          <w:rFonts w:ascii="Times New Roman" w:eastAsia="NSimSun" w:hAnsi="Times New Roman" w:cs="Times New Roman"/>
          <w:bCs/>
          <w:color w:val="000000" w:themeColor="text1"/>
          <w:kern w:val="3"/>
          <w:sz w:val="28"/>
          <w:szCs w:val="28"/>
        </w:rPr>
        <w:t xml:space="preserve">. </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Аналіз розвитку вегетативної надземної маси мікроклонів винограду в контрольних варіантах показав, що за висотою рослин та кількістю листкових пластинок вони переважали всі дослідні варіанти. При цьому висота мікроклональних рослин сортів «Добриня» і «Гарант» у контролі 1 дорівнювала 12,1 см і 11,9 см, у контролі 2 – 11,7 см та 11,1 см; висота мікроклональних рослин сортів «Ярило» і «Загрей» – відповідно дорівнювала 10,3 см і 10,0 см, 9,7 см і 9,9 см. Мікроклони винограду сортів «Добриня» і «Гарант» мали по 6,0–7,0 шт. листкових пластинок, мікроклони сортів «Ярило» і «Загрей» – по 4,7–6,0 шт. (</w:t>
      </w:r>
      <w:r w:rsidR="00DC4415" w:rsidRPr="00CC7883">
        <w:rPr>
          <w:rFonts w:ascii="Times New Roman" w:hAnsi="Times New Roman" w:cs="Times New Roman"/>
          <w:color w:val="000000" w:themeColor="text1"/>
          <w:sz w:val="28"/>
          <w:szCs w:val="28"/>
        </w:rPr>
        <w:t>табл.</w:t>
      </w:r>
      <w:r w:rsidR="00F73872">
        <w:rPr>
          <w:rFonts w:ascii="Times New Roman" w:hAnsi="Times New Roman" w:cs="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rPr>
        <w:t xml:space="preserve">4.1,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4.1).</w:t>
      </w:r>
    </w:p>
    <w:p w:rsidR="00290A17" w:rsidRPr="00CC7883" w:rsidRDefault="00290A1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p>
    <w:p w:rsidR="008A4327" w:rsidRPr="00CC7883" w:rsidRDefault="008A4327" w:rsidP="00047411">
      <w:pPr>
        <w:widowControl w:val="0"/>
        <w:autoSpaceDN w:val="0"/>
        <w:spacing w:after="0" w:line="360" w:lineRule="auto"/>
        <w:ind w:firstLine="708"/>
        <w:jc w:val="right"/>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i/>
          <w:iCs/>
          <w:color w:val="000000" w:themeColor="text1"/>
          <w:kern w:val="3"/>
          <w:sz w:val="28"/>
          <w:szCs w:val="28"/>
        </w:rPr>
        <w:t>Таблиця 4.1</w:t>
      </w:r>
    </w:p>
    <w:p w:rsidR="00D1494E" w:rsidRPr="00CC7883" w:rsidRDefault="008A4327"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sz w:val="28"/>
          <w:szCs w:val="28"/>
        </w:rPr>
      </w:pPr>
      <w:r w:rsidRPr="00CC7883">
        <w:rPr>
          <w:rFonts w:ascii="Times New Roman" w:eastAsia="NSimSun" w:hAnsi="Times New Roman" w:cs="Times New Roman"/>
          <w:b/>
          <w:bCs/>
          <w:color w:val="000000" w:themeColor="text1"/>
          <w:kern w:val="3"/>
          <w:sz w:val="28"/>
          <w:szCs w:val="28"/>
        </w:rPr>
        <w:t xml:space="preserve">Біометричні показники розвитку вегетативної надземної маси мікроклонів винограду на різних типах поживних середовищ </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sz w:val="28"/>
          <w:szCs w:val="28"/>
        </w:rPr>
      </w:pPr>
      <w:r w:rsidRPr="00CC7883">
        <w:rPr>
          <w:rFonts w:ascii="Times New Roman" w:eastAsia="NSimSun" w:hAnsi="Times New Roman" w:cs="Times New Roman"/>
          <w:b/>
          <w:bCs/>
          <w:color w:val="000000" w:themeColor="text1"/>
          <w:kern w:val="3"/>
          <w:sz w:val="28"/>
          <w:szCs w:val="28"/>
        </w:rPr>
        <w:t>(середнє за 2019–2022 рр.)</w:t>
      </w:r>
    </w:p>
    <w:tbl>
      <w:tblPr>
        <w:tblW w:w="9609" w:type="dxa"/>
        <w:jc w:val="center"/>
        <w:tblLayout w:type="fixed"/>
        <w:tblCellMar>
          <w:left w:w="10" w:type="dxa"/>
          <w:right w:w="10" w:type="dxa"/>
        </w:tblCellMar>
        <w:tblLook w:val="04A0"/>
      </w:tblPr>
      <w:tblGrid>
        <w:gridCol w:w="2097"/>
        <w:gridCol w:w="1276"/>
        <w:gridCol w:w="1275"/>
        <w:gridCol w:w="143"/>
        <w:gridCol w:w="1291"/>
        <w:gridCol w:w="1559"/>
        <w:gridCol w:w="1968"/>
      </w:tblGrid>
      <w:tr w:rsidR="008A4327" w:rsidRPr="00CC7883" w:rsidTr="001A32EC">
        <w:trPr>
          <w:trHeight w:val="1120"/>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Варіанти досліду</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Висота рослин, см</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Кількість листків, шт.</w:t>
            </w:r>
          </w:p>
        </w:tc>
        <w:tc>
          <w:tcPr>
            <w:tcW w:w="12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color w:val="000000" w:themeColor="text1"/>
                <w:kern w:val="0"/>
                <w:sz w:val="28"/>
                <w:szCs w:val="28"/>
              </w:rPr>
              <w:t>Площа листка, см</w:t>
            </w:r>
            <w:r w:rsidRPr="00CC7883">
              <w:rPr>
                <w:rFonts w:ascii="Times New Roman" w:eastAsia="Calibri" w:hAnsi="Times New Roman" w:cs="Times New Roman"/>
                <w:color w:val="000000" w:themeColor="text1"/>
                <w:kern w:val="0"/>
                <w:sz w:val="28"/>
                <w:szCs w:val="28"/>
                <w:vertAlign w:val="superscript"/>
              </w:rPr>
              <w:t>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color w:val="000000" w:themeColor="text1"/>
                <w:kern w:val="0"/>
                <w:sz w:val="28"/>
                <w:szCs w:val="28"/>
              </w:rPr>
              <w:t>Площа листкової поверхні, 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color w:val="000000" w:themeColor="text1"/>
                <w:kern w:val="0"/>
                <w:sz w:val="28"/>
                <w:szCs w:val="28"/>
              </w:rPr>
              <w:t>Облистяність, дм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p>
        </w:tc>
      </w:tr>
      <w:tr w:rsidR="008A4327" w:rsidRPr="00CC7883" w:rsidTr="001A32EC">
        <w:trPr>
          <w:trHeight w:val="380"/>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2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r>
      <w:tr w:rsidR="008A4327" w:rsidRPr="00CC7883" w:rsidTr="001A32EC">
        <w:trPr>
          <w:jc w:val="center"/>
        </w:trPr>
        <w:tc>
          <w:tcPr>
            <w:tcW w:w="9609"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«Добриня»</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12,1</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7,0</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18,1</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11,7</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6,4</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17,6</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10,5</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6,0</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25,0</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10,5</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6,0</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22,0</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10,3</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6,2</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26,3</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9,3</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6,8</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24,4</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10,3</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6,0</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22,1</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9,7</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6,1</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21,3</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10,3</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6,6</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27,2</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9,0</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6,1</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23,3</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10,9</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7,2</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23,2</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11,0</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6,8</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20,7</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w:t>
            </w:r>
          </w:p>
        </w:tc>
      </w:tr>
      <w:tr w:rsidR="008A4327"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color w:val="000000" w:themeColor="text1"/>
                <w:kern w:val="0"/>
                <w:sz w:val="28"/>
                <w:szCs w:val="28"/>
              </w:rPr>
              <w:t>НІР</w:t>
            </w:r>
            <w:r w:rsidRPr="00CC7883">
              <w:rPr>
                <w:rFonts w:ascii="Times New Roman" w:eastAsia="Calibri" w:hAnsi="Times New Roman" w:cs="Times New Roman"/>
                <w:color w:val="000000" w:themeColor="text1"/>
                <w:kern w:val="0"/>
                <w:sz w:val="28"/>
                <w:szCs w:val="28"/>
                <w:vertAlign w:val="subscript"/>
              </w:rPr>
              <w:t>05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0,80</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0,21</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1,02</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0,46</w:t>
            </w:r>
          </w:p>
        </w:tc>
      </w:tr>
      <w:tr w:rsidR="008A4327" w:rsidRPr="00CC7883" w:rsidTr="001A32EC">
        <w:trPr>
          <w:jc w:val="center"/>
        </w:trPr>
        <w:tc>
          <w:tcPr>
            <w:tcW w:w="9609" w:type="dxa"/>
            <w:gridSpan w:val="7"/>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«Гарант»</w:t>
            </w:r>
          </w:p>
        </w:tc>
      </w:tr>
      <w:tr w:rsidR="002140D5" w:rsidRPr="00CC7883" w:rsidTr="001A32EC">
        <w:trPr>
          <w:jc w:val="center"/>
        </w:trPr>
        <w:tc>
          <w:tcPr>
            <w:tcW w:w="20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11,9</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2"/>
              </w:rPr>
            </w:pPr>
            <w:r w:rsidRPr="00CC7883">
              <w:rPr>
                <w:rFonts w:ascii="Times New Roman" w:eastAsia="NSimSun" w:hAnsi="Times New Roman" w:cs="Times New Roman"/>
                <w:color w:val="000000" w:themeColor="text1"/>
                <w:kern w:val="3"/>
                <w:sz w:val="28"/>
                <w:szCs w:val="22"/>
              </w:rPr>
              <w:t>7,0</w:t>
            </w:r>
          </w:p>
        </w:tc>
        <w:tc>
          <w:tcPr>
            <w:tcW w:w="1434"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2,5</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20,1</w:t>
            </w:r>
          </w:p>
        </w:tc>
        <w:tc>
          <w:tcPr>
            <w:tcW w:w="19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1,7</w:t>
            </w:r>
          </w:p>
        </w:tc>
      </w:tr>
    </w:tbl>
    <w:p w:rsidR="00D1494E" w:rsidRPr="00CC7883" w:rsidRDefault="00D1494E" w:rsidP="001A32EC">
      <w:pPr>
        <w:widowControl w:val="0"/>
        <w:ind w:right="-145"/>
        <w:jc w:val="right"/>
        <w:rPr>
          <w:color w:val="000000" w:themeColor="text1"/>
        </w:rPr>
      </w:pPr>
      <w:r w:rsidRPr="00CC7883">
        <w:rPr>
          <w:color w:val="000000" w:themeColor="text1"/>
        </w:rPr>
        <w:br w:type="page"/>
      </w:r>
      <w:r w:rsidR="001A32EC">
        <w:rPr>
          <w:color w:val="000000" w:themeColor="text1"/>
        </w:rPr>
        <w:lastRenderedPageBreak/>
        <w:t xml:space="preserve"> </w:t>
      </w:r>
      <w:r w:rsidRPr="00CC7883">
        <w:rPr>
          <w:rFonts w:ascii="Times New Roman" w:eastAsia="SimSun" w:hAnsi="Times New Roman" w:cs="Times New Roman"/>
          <w:color w:val="000000" w:themeColor="text1"/>
          <w:kern w:val="0"/>
        </w:rPr>
        <w:t>Продовження табл. 4.1</w:t>
      </w:r>
    </w:p>
    <w:tbl>
      <w:tblPr>
        <w:tblW w:w="9697" w:type="dxa"/>
        <w:jc w:val="center"/>
        <w:tblLayout w:type="fixed"/>
        <w:tblCellMar>
          <w:left w:w="10" w:type="dxa"/>
          <w:right w:w="10" w:type="dxa"/>
        </w:tblCellMar>
        <w:tblLook w:val="04A0"/>
      </w:tblPr>
      <w:tblGrid>
        <w:gridCol w:w="2157"/>
        <w:gridCol w:w="1276"/>
        <w:gridCol w:w="1275"/>
        <w:gridCol w:w="1418"/>
        <w:gridCol w:w="1559"/>
        <w:gridCol w:w="2012"/>
      </w:tblGrid>
      <w:tr w:rsidR="00D1494E"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D1494E" w:rsidRPr="00CC7883" w:rsidRDefault="00D1494E"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D1494E" w:rsidRPr="00CC7883" w:rsidRDefault="00D1494E"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2</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D1494E" w:rsidRPr="00CC7883" w:rsidRDefault="00D1494E"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2"/>
              </w:rPr>
            </w:pPr>
            <w:r w:rsidRPr="00CC7883">
              <w:rPr>
                <w:rFonts w:ascii="Times New Roman" w:eastAsia="NSimSun" w:hAnsi="Times New Roman" w:cs="Times New Roman"/>
                <w:color w:val="000000" w:themeColor="text1"/>
                <w:kern w:val="3"/>
                <w:sz w:val="28"/>
                <w:szCs w:val="22"/>
              </w:rPr>
              <w:t>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D1494E" w:rsidRPr="00CC7883" w:rsidRDefault="00D1494E"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4</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D1494E" w:rsidRPr="00CC7883" w:rsidRDefault="00D1494E"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5</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D1494E" w:rsidRPr="00CC7883" w:rsidRDefault="00D1494E"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6</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11,1</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16,4</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10,0</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24,3</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10,5</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5,8</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22,2</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10,5</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26,5</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8,3</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5,6</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20,2</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10,5</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24,3</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10,3</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21,1</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10,6</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6,6</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26,5</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9,4</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24,0</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11,2</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6,9</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24,5</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10,1</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6,6</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2,7</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20,6</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color w:val="000000" w:themeColor="text1"/>
                <w:kern w:val="0"/>
                <w:sz w:val="28"/>
                <w:szCs w:val="28"/>
              </w:rPr>
              <w:t>НІР</w:t>
            </w:r>
            <w:r w:rsidRPr="00CC7883">
              <w:rPr>
                <w:rFonts w:ascii="Times New Roman" w:eastAsia="Calibri" w:hAnsi="Times New Roman" w:cs="Times New Roman"/>
                <w:color w:val="000000" w:themeColor="text1"/>
                <w:kern w:val="0"/>
                <w:sz w:val="28"/>
                <w:szCs w:val="28"/>
                <w:vertAlign w:val="subscript"/>
              </w:rPr>
              <w:t>05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0,77</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0,34</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0,48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0,95</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0,38</w:t>
            </w:r>
          </w:p>
        </w:tc>
      </w:tr>
      <w:tr w:rsidR="002140D5" w:rsidRPr="00CC7883" w:rsidTr="001A32EC">
        <w:trPr>
          <w:trHeight w:val="419"/>
          <w:jc w:val="center"/>
        </w:trPr>
        <w:tc>
          <w:tcPr>
            <w:tcW w:w="9697"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«Ярило»</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10,3</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6,0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14,3</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1,4</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9,7</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13,4</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1,4</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8,0</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3,1</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18,4</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9,0</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2,7</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19,2</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9,0</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19,9</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8,7</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19,3</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9,1</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20,2</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6,5</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15,7</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9,6</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25,0</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7,9</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18,7</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9,8</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5,6</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18,1</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8,2</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5,4</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15,8</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color w:val="000000" w:themeColor="text1"/>
                <w:kern w:val="0"/>
                <w:sz w:val="28"/>
                <w:szCs w:val="28"/>
              </w:rPr>
              <w:t>НІР</w:t>
            </w:r>
            <w:r w:rsidRPr="00CC7883">
              <w:rPr>
                <w:rFonts w:ascii="Times New Roman" w:eastAsia="Calibri" w:hAnsi="Times New Roman" w:cs="Times New Roman"/>
                <w:color w:val="000000" w:themeColor="text1"/>
                <w:kern w:val="0"/>
                <w:sz w:val="28"/>
                <w:szCs w:val="28"/>
                <w:vertAlign w:val="subscript"/>
              </w:rPr>
              <w:t>05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0,69</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0,40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1,00</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0,44</w:t>
            </w:r>
          </w:p>
        </w:tc>
      </w:tr>
      <w:tr w:rsidR="002140D5" w:rsidRPr="00CC7883" w:rsidTr="001A32EC">
        <w:trPr>
          <w:jc w:val="center"/>
        </w:trPr>
        <w:tc>
          <w:tcPr>
            <w:tcW w:w="9697"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«Загрей»</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10,0</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13,1</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9,9</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4,7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12,7</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7,6</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17,1</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8,4</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4,7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2,7</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18,6</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8,0</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4,8</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15,8</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7,3</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4,0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17,0</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7,6</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4,7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18,8</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7,0</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4,7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16,5</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8,9</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4,6</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21,6</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7,6</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4,7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19,3</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8,7</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4,3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16,2</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7,9</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2"/>
              </w:rPr>
              <w:t>4,7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14,3</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w:t>
            </w:r>
          </w:p>
        </w:tc>
      </w:tr>
      <w:tr w:rsidR="002140D5" w:rsidRPr="00CC7883" w:rsidTr="001A32EC">
        <w:trPr>
          <w:jc w:val="center"/>
        </w:trPr>
        <w:tc>
          <w:tcPr>
            <w:tcW w:w="21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color w:val="000000" w:themeColor="text1"/>
                <w:kern w:val="0"/>
                <w:sz w:val="28"/>
                <w:szCs w:val="28"/>
              </w:rPr>
              <w:t>НІР</w:t>
            </w:r>
            <w:r w:rsidRPr="00CC7883">
              <w:rPr>
                <w:rFonts w:ascii="Times New Roman" w:eastAsia="Calibri" w:hAnsi="Times New Roman" w:cs="Times New Roman"/>
                <w:color w:val="000000" w:themeColor="text1"/>
                <w:kern w:val="0"/>
                <w:sz w:val="28"/>
                <w:szCs w:val="28"/>
                <w:vertAlign w:val="subscript"/>
              </w:rPr>
              <w:t>05</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0,72</w:t>
            </w:r>
          </w:p>
        </w:tc>
        <w:tc>
          <w:tcPr>
            <w:tcW w:w="127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0,32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0,33</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0,81</w:t>
            </w:r>
          </w:p>
        </w:tc>
        <w:tc>
          <w:tcPr>
            <w:tcW w:w="20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140D5" w:rsidRPr="00CC7883" w:rsidRDefault="002140D5"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0,35</w:t>
            </w:r>
          </w:p>
        </w:tc>
      </w:tr>
    </w:tbl>
    <w:p w:rsidR="008A4327" w:rsidRPr="00CC7883" w:rsidRDefault="008A4327"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lang w:val="ru-RU" w:eastAsia="ru-RU"/>
        </w:rPr>
        <w:drawing>
          <wp:inline distT="0" distB="0" distL="0" distR="0">
            <wp:extent cx="4046855" cy="2895600"/>
            <wp:effectExtent l="19050" t="19050" r="0" b="0"/>
            <wp:docPr id="1897891056" name="Рисунок 23" descr="Зображення, що містить ваза, домашня рослина, вазон, у приміщенні&#10;&#10;Автоматично згенерований опис"/>
            <wp:cNvGraphicFramePr/>
            <a:graphic xmlns:a="http://schemas.openxmlformats.org/drawingml/2006/main">
              <a:graphicData uri="http://schemas.openxmlformats.org/drawingml/2006/picture">
                <pic:pic xmlns:pic="http://schemas.openxmlformats.org/drawingml/2006/picture">
                  <pic:nvPicPr>
                    <pic:cNvPr id="1897891056" name="Рисунок 23" descr="Зображення, що містить ваза, домашня рослина, вазон, у приміщенні&#10;&#10;Автоматично згенерований опис"/>
                    <pic:cNvPicPr/>
                  </pic:nvPicPr>
                  <pic:blipFill>
                    <a:blip r:embed="rId58" cstate="print">
                      <a:lum/>
                      <a:alphaModFix/>
                    </a:blip>
                    <a:srcRect/>
                    <a:stretch>
                      <a:fillRect/>
                    </a:stretch>
                  </pic:blipFill>
                  <pic:spPr>
                    <a:xfrm>
                      <a:off x="0" y="0"/>
                      <a:ext cx="4140938" cy="2962918"/>
                    </a:xfrm>
                    <a:prstGeom prst="rect">
                      <a:avLst/>
                    </a:prstGeom>
                    <a:noFill/>
                    <a:ln>
                      <a:solidFill>
                        <a:srgbClr val="000000"/>
                      </a:solidFill>
                      <a:prstDash/>
                    </a:ln>
                  </pic:spPr>
                </pic:pic>
              </a:graphicData>
            </a:graphic>
          </wp:inline>
        </w:drawing>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lang w:val="ru-RU" w:eastAsia="ru-RU"/>
        </w:rPr>
        <w:drawing>
          <wp:inline distT="0" distB="0" distL="0" distR="0">
            <wp:extent cx="4085590" cy="2819400"/>
            <wp:effectExtent l="19050" t="19050" r="0" b="0"/>
            <wp:docPr id="2090806031" name="Рисунок 22" descr="Зображення, що містить ваза, домашня рослина, вазон, Прозорість&#10;&#10;Автоматично згенерований опис"/>
            <wp:cNvGraphicFramePr/>
            <a:graphic xmlns:a="http://schemas.openxmlformats.org/drawingml/2006/main">
              <a:graphicData uri="http://schemas.openxmlformats.org/drawingml/2006/picture">
                <pic:pic xmlns:pic="http://schemas.openxmlformats.org/drawingml/2006/picture">
                  <pic:nvPicPr>
                    <pic:cNvPr id="2090806031" name="Рисунок 22" descr="Зображення, що містить ваза, домашня рослина, вазон, Прозорість&#10;&#10;Автоматично згенерований опис"/>
                    <pic:cNvPicPr/>
                  </pic:nvPicPr>
                  <pic:blipFill>
                    <a:blip r:embed="rId59" cstate="print">
                      <a:lum/>
                      <a:alphaModFix/>
                    </a:blip>
                    <a:srcRect/>
                    <a:stretch>
                      <a:fillRect/>
                    </a:stretch>
                  </pic:blipFill>
                  <pic:spPr>
                    <a:xfrm>
                      <a:off x="0" y="0"/>
                      <a:ext cx="4215663" cy="2909161"/>
                    </a:xfrm>
                    <a:prstGeom prst="rect">
                      <a:avLst/>
                    </a:prstGeom>
                    <a:noFill/>
                    <a:ln>
                      <a:solidFill>
                        <a:srgbClr val="000000"/>
                      </a:solidFill>
                      <a:prstDash/>
                    </a:ln>
                  </pic:spPr>
                </pic:pic>
              </a:graphicData>
            </a:graphic>
          </wp:inline>
        </w:drawing>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Рис. 4.1. Розвиток мікроклонів винограду контрольних варіантів</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p>
    <w:p w:rsidR="008A4327"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У варіантах, де до поживного середовища додавали препарат Радіфарм (третій, четвертий варіанти)</w:t>
      </w:r>
      <w:r w:rsidR="004E7C67">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висота рослин зменшувалася порівняно з контролем у середньому на 10,3–13,1 % («Добриня»), 5,9–15,7 % («Гарант»), 7,5–22,7 % («Ярило») та 15,2–23,7 % («Загрей»)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 xml:space="preserve">4.2). У п’ятому та шостому варіантах (де базальну частину ініціальних експлантів перед висаджуванням на поживне середовище обробляли Clonex gel) вона зменшувалась </w:t>
      </w:r>
      <w:r w:rsidR="00653B2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у</w:t>
      </w:r>
      <w:r w:rsidR="00653B2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 середньому</w:t>
      </w:r>
      <w:r w:rsidR="00653B2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 на </w:t>
      </w:r>
      <w:r w:rsidR="00653B2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14,9–20,2 % </w:t>
      </w:r>
      <w:r w:rsidR="00653B2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і </w:t>
      </w:r>
      <w:r w:rsidR="00653B2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11,2–25,7 %</w:t>
      </w:r>
      <w:r w:rsidR="00653B2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для</w:t>
      </w:r>
      <w:r w:rsidR="00653B2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 сортів </w:t>
      </w:r>
    </w:p>
    <w:p w:rsidR="00653B23" w:rsidRPr="00CC7883" w:rsidRDefault="00653B23"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p>
    <w:p w:rsidR="008A4327" w:rsidRPr="00CC7883" w:rsidRDefault="008A4327" w:rsidP="00047411">
      <w:pPr>
        <w:widowControl w:val="0"/>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noProof/>
          <w:color w:val="000000" w:themeColor="text1"/>
          <w:kern w:val="0"/>
          <w:sz w:val="22"/>
          <w:szCs w:val="22"/>
          <w:lang w:val="ru-RU" w:eastAsia="ru-RU"/>
        </w:rPr>
        <w:drawing>
          <wp:inline distT="0" distB="0" distL="0" distR="0">
            <wp:extent cx="2707574" cy="2410058"/>
            <wp:effectExtent l="19050" t="19050" r="0" b="0"/>
            <wp:docPr id="246595331" name="Рисунок 19" descr="Зображення, що містить ваза, квітка, вазон, домашня рослин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595331" name="Рисунок 19" descr="Зображення, що містить ваза, квітка, вазон, домашня рослина&#10;&#10;Автоматично згенерований опис"/>
                    <pic:cNvPicPr preferRelativeResize="0"/>
                  </pic:nvPicPr>
                  <pic:blipFill rotWithShape="1">
                    <a:blip r:embed="rId60" cstate="print">
                      <a:lum/>
                      <a:alphaModFix/>
                    </a:blip>
                    <a:srcRect l="10953" r="4663"/>
                    <a:stretch>
                      <a:fillRect/>
                    </a:stretch>
                  </pic:blipFill>
                  <pic:spPr bwMode="auto">
                    <a:xfrm>
                      <a:off x="0" y="0"/>
                      <a:ext cx="2717894" cy="2419244"/>
                    </a:xfrm>
                    <a:prstGeom prst="rect">
                      <a:avLst/>
                    </a:prstGeom>
                    <a:noFill/>
                    <a:ln w="9525" cap="flat" cmpd="sng" algn="ctr">
                      <a:solidFill>
                        <a:srgbClr val="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Pr="00CC7883">
        <w:rPr>
          <w:rFonts w:ascii="Times New Roman" w:eastAsia="SimSun" w:hAnsi="Times New Roman" w:cs="Times New Roman"/>
          <w:noProof/>
          <w:color w:val="000000" w:themeColor="text1"/>
          <w:kern w:val="0"/>
          <w:sz w:val="22"/>
          <w:szCs w:val="22"/>
          <w:lang w:val="ru-RU" w:eastAsia="ru-RU"/>
        </w:rPr>
        <w:drawing>
          <wp:inline distT="0" distB="0" distL="0" distR="0">
            <wp:extent cx="2658110" cy="2409298"/>
            <wp:effectExtent l="19050" t="19050" r="8890" b="0"/>
            <wp:docPr id="999089174" name="Рисунок 18" descr="Зображення, що містить ваза, у приміщенні, домашня рослина, квітка&#10;&#10;Автоматично згенерований опис"/>
            <wp:cNvGraphicFramePr/>
            <a:graphic xmlns:a="http://schemas.openxmlformats.org/drawingml/2006/main">
              <a:graphicData uri="http://schemas.openxmlformats.org/drawingml/2006/picture">
                <pic:pic xmlns:pic="http://schemas.openxmlformats.org/drawingml/2006/picture">
                  <pic:nvPicPr>
                    <pic:cNvPr id="999089174" name="Рисунок 18" descr="Зображення, що містить ваза, у приміщенні, домашня рослина, квітка&#10;&#10;Автоматично згенерований опис"/>
                    <pic:cNvPicPr preferRelativeResize="0"/>
                  </pic:nvPicPr>
                  <pic:blipFill rotWithShape="1">
                    <a:blip r:embed="rId61" cstate="print">
                      <a:lum/>
                      <a:alphaModFix/>
                    </a:blip>
                    <a:srcRect l="5423"/>
                    <a:stretch>
                      <a:fillRect/>
                    </a:stretch>
                  </pic:blipFill>
                  <pic:spPr bwMode="auto">
                    <a:xfrm>
                      <a:off x="0" y="0"/>
                      <a:ext cx="2664965" cy="2415511"/>
                    </a:xfrm>
                    <a:prstGeom prst="rect">
                      <a:avLst/>
                    </a:prstGeom>
                    <a:noFill/>
                    <a:ln w="9525" cap="flat" cmpd="sng" algn="ctr">
                      <a:solidFill>
                        <a:srgbClr val="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32"/>
          <w:szCs w:val="32"/>
        </w:rPr>
      </w:pPr>
      <w:r w:rsidRPr="00CC7883">
        <w:rPr>
          <w:rFonts w:ascii="Times New Roman" w:eastAsia="NSimSun" w:hAnsi="Times New Roman" w:cs="Times New Roman"/>
          <w:color w:val="000000" w:themeColor="text1"/>
          <w:kern w:val="3"/>
          <w:sz w:val="28"/>
          <w:szCs w:val="32"/>
        </w:rPr>
        <w:t>Радіфарм</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noProof/>
          <w:color w:val="000000" w:themeColor="text1"/>
          <w:kern w:val="3"/>
          <w:lang w:val="ru-RU" w:eastAsia="ru-RU"/>
        </w:rPr>
        <w:drawing>
          <wp:inline distT="0" distB="0" distL="0" distR="0">
            <wp:extent cx="2857500" cy="2381250"/>
            <wp:effectExtent l="19050" t="19050" r="0" b="0"/>
            <wp:docPr id="89654940" name="Рисунок 16" descr="Зображення, що містить ваза, домашня рослина, квітка, вазон&#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54940" name="Рисунок 16" descr="Зображення, що містить ваза, домашня рослина, квітка, вазон&#10;&#10;Автоматично згенерований опис"/>
                    <pic:cNvPicPr preferRelativeResize="0"/>
                  </pic:nvPicPr>
                  <pic:blipFill rotWithShape="1">
                    <a:blip r:embed="rId62" cstate="print">
                      <a:lum/>
                      <a:alphaModFix/>
                    </a:blip>
                    <a:srcRect l="10884" r="3173"/>
                    <a:stretch>
                      <a:fillRect/>
                    </a:stretch>
                  </pic:blipFill>
                  <pic:spPr bwMode="auto">
                    <a:xfrm>
                      <a:off x="0" y="0"/>
                      <a:ext cx="2860258" cy="2383548"/>
                    </a:xfrm>
                    <a:prstGeom prst="rect">
                      <a:avLst/>
                    </a:prstGeom>
                    <a:noFill/>
                    <a:ln w="9525" cap="flat" cmpd="sng" algn="ctr">
                      <a:solidFill>
                        <a:srgbClr val="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r w:rsidRPr="00CC7883">
        <w:rPr>
          <w:rFonts w:ascii="Times New Roman" w:eastAsia="NSimSun" w:hAnsi="Times New Roman" w:cs="Times New Roman"/>
          <w:noProof/>
          <w:color w:val="000000" w:themeColor="text1"/>
          <w:kern w:val="3"/>
          <w:lang w:val="ru-RU" w:eastAsia="ru-RU"/>
        </w:rPr>
        <w:drawing>
          <wp:inline distT="0" distB="0" distL="0" distR="0">
            <wp:extent cx="2638425" cy="2352675"/>
            <wp:effectExtent l="19050" t="19050" r="9525" b="9525"/>
            <wp:docPr id="926141851" name="Рисунок 17" descr="Зображення, що містить ваза, у приміщенні, стіна, Фотографія натюрморту&#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141851" name="Рисунок 17" descr="Зображення, що містить ваза, у приміщенні, стіна, Фотографія натюрморту&#10;&#10;Автоматично згенерований опис"/>
                    <pic:cNvPicPr preferRelativeResize="0"/>
                  </pic:nvPicPr>
                  <pic:blipFill rotWithShape="1">
                    <a:blip r:embed="rId63" cstate="print">
                      <a:lum/>
                      <a:alphaModFix/>
                    </a:blip>
                    <a:srcRect l="6654"/>
                    <a:stretch>
                      <a:fillRect/>
                    </a:stretch>
                  </pic:blipFill>
                  <pic:spPr bwMode="auto">
                    <a:xfrm>
                      <a:off x="0" y="0"/>
                      <a:ext cx="2640646" cy="2354655"/>
                    </a:xfrm>
                    <a:prstGeom prst="rect">
                      <a:avLst/>
                    </a:prstGeom>
                    <a:noFill/>
                    <a:ln w="9525" cap="flat" cmpd="sng" algn="ctr">
                      <a:solidFill>
                        <a:srgbClr val="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A4327" w:rsidRPr="00CC7883" w:rsidRDefault="00115B0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Clonex gel</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rPr>
      </w:pPr>
      <w:r w:rsidRPr="00CC7883">
        <w:rPr>
          <w:rFonts w:ascii="Times New Roman" w:eastAsia="NSimSun" w:hAnsi="Times New Roman" w:cs="Times New Roman"/>
          <w:color w:val="000000" w:themeColor="text1"/>
          <w:kern w:val="3"/>
          <w:sz w:val="28"/>
          <w:szCs w:val="28"/>
        </w:rPr>
        <w:t>Рис. 4.2. Розвиток мікроклонів винограду на поживних середовищах з біо</w:t>
      </w:r>
      <w:r w:rsidR="00193A14" w:rsidRPr="00CC7883">
        <w:rPr>
          <w:rFonts w:ascii="Times New Roman" w:eastAsia="NSimSun" w:hAnsi="Times New Roman" w:cs="Times New Roman"/>
          <w:color w:val="000000" w:themeColor="text1"/>
          <w:kern w:val="3"/>
          <w:sz w:val="28"/>
          <w:szCs w:val="28"/>
        </w:rPr>
        <w:t>логічно</w:t>
      </w:r>
      <w:r w:rsidR="00FE5EA9" w:rsidRPr="00F62136">
        <w:rPr>
          <w:rFonts w:ascii="Times New Roman" w:eastAsia="NSimSun" w:hAnsi="Times New Roman" w:cs="Times New Roman"/>
          <w:color w:val="000000" w:themeColor="text1"/>
          <w:kern w:val="3"/>
          <w:sz w:val="28"/>
          <w:szCs w:val="28"/>
          <w:lang w:val="ru-RU"/>
        </w:rPr>
        <w:t xml:space="preserve"> </w:t>
      </w:r>
      <w:r w:rsidR="00193A14" w:rsidRPr="00CC7883">
        <w:rPr>
          <w:rFonts w:ascii="Times New Roman" w:eastAsia="NSimSun" w:hAnsi="Times New Roman" w:cs="Times New Roman"/>
          <w:color w:val="000000" w:themeColor="text1"/>
          <w:kern w:val="3"/>
          <w:sz w:val="28"/>
          <w:szCs w:val="28"/>
        </w:rPr>
        <w:t>активними препаратами</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p>
    <w:p w:rsidR="00653B23" w:rsidRPr="00CC7883" w:rsidRDefault="00653B23" w:rsidP="00653B23">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«Добриня» і «Гарант» та на 10,2–12,4 % і 19,7–25,7 % для сортів «Ярило» і «Загрей». Кількість листкових пластинок дорівнювала 6,0 шт. (Радіфарм), 5,6–6,8 шт. (Clonex gel) – у підщепних сортів та 5,0–6,0 шт., 4,0–5,8 шт. – у технічних.</w:t>
      </w:r>
    </w:p>
    <w:p w:rsidR="001149B8"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Мікроклони винограду, які культивували на поживних середовищах, до яких додавали мінеральні субстрати (сьомий, восьмий, дев’ятий, десятий, одинадцятий та дванадцятий варіанти)</w:t>
      </w:r>
      <w:r w:rsidR="005E28A3">
        <w:rPr>
          <w:rFonts w:ascii="Times New Roman" w:eastAsia="NSimSun" w:hAnsi="Times New Roman" w:cs="Times New Roman"/>
          <w:color w:val="000000" w:themeColor="text1"/>
          <w:kern w:val="3"/>
          <w:sz w:val="28"/>
          <w:szCs w:val="28"/>
        </w:rPr>
        <w:t>,</w:t>
      </w:r>
      <w:r w:rsidR="00D5668B">
        <w:rPr>
          <w:rFonts w:ascii="Times New Roman" w:eastAsia="NSimSun" w:hAnsi="Times New Roman" w:cs="Times New Roman"/>
          <w:color w:val="000000" w:themeColor="text1"/>
          <w:kern w:val="3"/>
          <w:sz w:val="28"/>
          <w:szCs w:val="28"/>
        </w:rPr>
        <w:t xml:space="preserve"> характеризувалися тим, що</w:t>
      </w:r>
      <w:r w:rsidRPr="00CC7883">
        <w:rPr>
          <w:rFonts w:ascii="Times New Roman" w:eastAsia="NSimSun" w:hAnsi="Times New Roman" w:cs="Times New Roman"/>
          <w:color w:val="000000" w:themeColor="text1"/>
          <w:kern w:val="3"/>
          <w:sz w:val="28"/>
          <w:szCs w:val="28"/>
        </w:rPr>
        <w:t xml:space="preserve"> висота </w:t>
      </w:r>
      <w:r w:rsidRPr="00CC7883">
        <w:rPr>
          <w:rFonts w:ascii="Times New Roman" w:eastAsia="NSimSun" w:hAnsi="Times New Roman" w:cs="Times New Roman"/>
          <w:color w:val="000000" w:themeColor="text1"/>
          <w:kern w:val="3"/>
          <w:sz w:val="28"/>
          <w:szCs w:val="28"/>
        </w:rPr>
        <w:lastRenderedPageBreak/>
        <w:t>рослин зменшувалася порівняно з контролем на 14,0 % – для сорту «Добриня», 10,0 % – для сорту «Гарант» та на 15,1 %, 20,2 % для сортів «Ярило» і «Загрей». Середня кількість листків у мікроклонів цих варіантів дорівнювала 6,0–7,7 шт. у сортів «Добриня» і «Гарант», 5,0–6,2 шт. у сортів «Ярило» і «Загрей» (</w:t>
      </w:r>
      <w:r w:rsidR="00DC4415" w:rsidRPr="00CC7883">
        <w:rPr>
          <w:rFonts w:ascii="Times New Roman" w:hAnsi="Times New Roman" w:cs="Times New Roman"/>
          <w:color w:val="000000" w:themeColor="text1"/>
          <w:sz w:val="28"/>
          <w:szCs w:val="28"/>
        </w:rPr>
        <w:t>табл. </w:t>
      </w:r>
      <w:r w:rsidRPr="00CC7883">
        <w:rPr>
          <w:rFonts w:ascii="Times New Roman" w:eastAsia="NSimSun" w:hAnsi="Times New Roman" w:cs="Times New Roman"/>
          <w:color w:val="000000" w:themeColor="text1"/>
          <w:kern w:val="3"/>
          <w:sz w:val="28"/>
          <w:szCs w:val="28"/>
        </w:rPr>
        <w:t xml:space="preserve">4.1,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4.3).</w:t>
      </w:r>
    </w:p>
    <w:p w:rsidR="001149B8" w:rsidRDefault="008A4327" w:rsidP="001149B8">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32"/>
        </w:rPr>
      </w:pPr>
      <w:r w:rsidRPr="00CC7883">
        <w:rPr>
          <w:rFonts w:ascii="Times New Roman" w:eastAsia="NSimSun" w:hAnsi="Times New Roman" w:cs="Times New Roman"/>
          <w:noProof/>
          <w:color w:val="000000" w:themeColor="text1"/>
          <w:kern w:val="3"/>
          <w:lang w:val="ru-RU" w:eastAsia="ru-RU"/>
        </w:rPr>
        <w:drawing>
          <wp:anchor distT="0" distB="0" distL="114300" distR="114300" simplePos="0" relativeHeight="251659264" behindDoc="0" locked="0" layoutInCell="1" allowOverlap="1">
            <wp:simplePos x="0" y="0"/>
            <wp:positionH relativeFrom="column">
              <wp:posOffset>803275</wp:posOffset>
            </wp:positionH>
            <wp:positionV relativeFrom="paragraph">
              <wp:align>top</wp:align>
            </wp:positionV>
            <wp:extent cx="4350385" cy="2863850"/>
            <wp:effectExtent l="19050" t="19050" r="12065" b="12700"/>
            <wp:wrapSquare wrapText="bothSides"/>
            <wp:docPr id="1729451708" name="Рисунок 21" descr="Зображення, що містить ваза, у приміщенні, домашня рослина, вазон&#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451708" name="Рисунок 21" descr="Зображення, що містить ваза, у приміщенні, домашня рослина, вазон&#10;&#10;Автоматично згенерований опис"/>
                    <pic:cNvPicPr/>
                  </pic:nvPicPr>
                  <pic:blipFill>
                    <a:blip r:embed="rId64" cstate="print">
                      <a:lum/>
                      <a:alphaModFix/>
                    </a:blip>
                    <a:srcRect/>
                    <a:stretch>
                      <a:fillRect/>
                    </a:stretch>
                  </pic:blipFill>
                  <pic:spPr>
                    <a:xfrm>
                      <a:off x="0" y="0"/>
                      <a:ext cx="4350385" cy="2863850"/>
                    </a:xfrm>
                    <a:prstGeom prst="rect">
                      <a:avLst/>
                    </a:prstGeom>
                    <a:noFill/>
                    <a:ln>
                      <a:solidFill>
                        <a:srgbClr val="000000"/>
                      </a:solidFill>
                      <a:prstDash/>
                    </a:ln>
                  </pic:spPr>
                </pic:pic>
              </a:graphicData>
            </a:graphic>
          </wp:anchor>
        </w:drawing>
      </w:r>
      <w:r w:rsidR="001149B8">
        <w:rPr>
          <w:rFonts w:ascii="Times New Roman" w:eastAsia="NSimSun" w:hAnsi="Times New Roman" w:cs="Times New Roman"/>
          <w:color w:val="000000" w:themeColor="text1"/>
          <w:kern w:val="3"/>
          <w:sz w:val="28"/>
          <w:szCs w:val="32"/>
        </w:rPr>
        <w:br w:type="textWrapping" w:clear="all"/>
      </w:r>
      <w:r w:rsidRPr="00CC7883">
        <w:rPr>
          <w:rFonts w:ascii="Times New Roman" w:eastAsia="NSimSun" w:hAnsi="Times New Roman" w:cs="Times New Roman"/>
          <w:color w:val="000000" w:themeColor="text1"/>
          <w:kern w:val="3"/>
          <w:sz w:val="28"/>
          <w:szCs w:val="32"/>
        </w:rPr>
        <w:t xml:space="preserve">       </w:t>
      </w:r>
    </w:p>
    <w:p w:rsidR="008A4327" w:rsidRPr="00CC7883" w:rsidRDefault="008A4327" w:rsidP="001149B8">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32"/>
        </w:rPr>
      </w:pPr>
      <w:r w:rsidRPr="00CC7883">
        <w:rPr>
          <w:rFonts w:ascii="Times New Roman" w:eastAsia="NSimSun" w:hAnsi="Times New Roman" w:cs="Times New Roman"/>
          <w:color w:val="000000" w:themeColor="text1"/>
          <w:kern w:val="3"/>
          <w:sz w:val="28"/>
          <w:szCs w:val="32"/>
        </w:rPr>
        <w:t xml:space="preserve"> І</w:t>
      </w:r>
    </w:p>
    <w:p w:rsidR="008A4327" w:rsidRPr="00CC7883" w:rsidRDefault="008A4327" w:rsidP="001149B8">
      <w:pPr>
        <w:widowControl w:val="0"/>
        <w:tabs>
          <w:tab w:val="left" w:pos="7797"/>
        </w:tabs>
        <w:autoSpaceDN w:val="0"/>
        <w:spacing w:after="0" w:line="360" w:lineRule="auto"/>
        <w:jc w:val="center"/>
        <w:textAlignment w:val="baseline"/>
        <w:rPr>
          <w:rFonts w:ascii="Times New Roman" w:eastAsia="NSimSun" w:hAnsi="Times New Roman" w:cs="Times New Roman"/>
          <w:color w:val="000000" w:themeColor="text1"/>
          <w:kern w:val="3"/>
          <w:sz w:val="28"/>
          <w:szCs w:val="32"/>
        </w:rPr>
      </w:pPr>
      <w:r w:rsidRPr="00CC7883">
        <w:rPr>
          <w:rFonts w:ascii="Times New Roman" w:eastAsia="NSimSun" w:hAnsi="Times New Roman" w:cs="Times New Roman"/>
          <w:noProof/>
          <w:color w:val="000000" w:themeColor="text1"/>
          <w:kern w:val="3"/>
          <w:sz w:val="28"/>
          <w:szCs w:val="32"/>
          <w:lang w:val="ru-RU" w:eastAsia="ru-RU"/>
        </w:rPr>
        <w:drawing>
          <wp:inline distT="0" distB="0" distL="0" distR="0">
            <wp:extent cx="4350070" cy="2880000"/>
            <wp:effectExtent l="19050" t="19050" r="12380" b="15600"/>
            <wp:docPr id="1460170093" name="Рисунок 20" descr="Зображення, що містить ваза, у приміщенні, скло, пляш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170093" name="Рисунок 20" descr="Зображення, що містить ваза, у приміщенні, скло, пляшка&#10;&#10;Автоматично згенерований опис"/>
                    <pic:cNvPicPr/>
                  </pic:nvPicPr>
                  <pic:blipFill>
                    <a:blip r:embed="rId65" cstate="print">
                      <a:lum/>
                      <a:alphaModFix/>
                    </a:blip>
                    <a:srcRect/>
                    <a:stretch>
                      <a:fillRect/>
                    </a:stretch>
                  </pic:blipFill>
                  <pic:spPr>
                    <a:xfrm>
                      <a:off x="0" y="0"/>
                      <a:ext cx="4350070" cy="2880000"/>
                    </a:xfrm>
                    <a:prstGeom prst="rect">
                      <a:avLst/>
                    </a:prstGeom>
                    <a:noFill/>
                    <a:ln>
                      <a:solidFill>
                        <a:srgbClr val="000000"/>
                      </a:solidFill>
                      <a:prstDash/>
                    </a:ln>
                  </pic:spPr>
                </pic:pic>
              </a:graphicData>
            </a:graphic>
          </wp:inline>
        </w:drawing>
      </w:r>
    </w:p>
    <w:p w:rsidR="008A4327" w:rsidRPr="00CC7883" w:rsidRDefault="008A4327" w:rsidP="00047411">
      <w:pPr>
        <w:widowControl w:val="0"/>
        <w:autoSpaceDN w:val="0"/>
        <w:spacing w:after="0" w:line="360" w:lineRule="auto"/>
        <w:ind w:left="2124" w:firstLine="708"/>
        <w:textAlignment w:val="baseline"/>
        <w:rPr>
          <w:rFonts w:ascii="Times New Roman" w:eastAsia="NSimSun" w:hAnsi="Times New Roman" w:cs="Times New Roman"/>
          <w:color w:val="000000" w:themeColor="text1"/>
          <w:kern w:val="3"/>
          <w:sz w:val="28"/>
          <w:szCs w:val="32"/>
        </w:rPr>
      </w:pPr>
      <w:r w:rsidRPr="00CC7883">
        <w:rPr>
          <w:rFonts w:ascii="Times New Roman" w:eastAsia="NSimSun" w:hAnsi="Times New Roman" w:cs="Times New Roman"/>
          <w:color w:val="000000" w:themeColor="text1"/>
          <w:kern w:val="3"/>
          <w:sz w:val="28"/>
          <w:szCs w:val="32"/>
        </w:rPr>
        <w:tab/>
      </w:r>
      <w:r w:rsidRPr="00CC7883">
        <w:rPr>
          <w:rFonts w:ascii="Times New Roman" w:eastAsia="NSimSun" w:hAnsi="Times New Roman" w:cs="Times New Roman"/>
          <w:color w:val="000000" w:themeColor="text1"/>
          <w:kern w:val="3"/>
          <w:sz w:val="28"/>
          <w:szCs w:val="32"/>
        </w:rPr>
        <w:tab/>
      </w:r>
      <w:r w:rsidRPr="00CC7883">
        <w:rPr>
          <w:rFonts w:ascii="Times New Roman" w:eastAsia="NSimSun" w:hAnsi="Times New Roman" w:cs="Times New Roman"/>
          <w:color w:val="000000" w:themeColor="text1"/>
          <w:kern w:val="3"/>
          <w:sz w:val="28"/>
          <w:szCs w:val="32"/>
        </w:rPr>
        <w:tab/>
      </w:r>
      <w:r w:rsidR="00535776" w:rsidRPr="00CC7883">
        <w:rPr>
          <w:rFonts w:ascii="Times New Roman" w:eastAsia="NSimSun" w:hAnsi="Times New Roman" w:cs="Times New Roman"/>
          <w:color w:val="000000" w:themeColor="text1"/>
          <w:kern w:val="3"/>
          <w:sz w:val="28"/>
          <w:szCs w:val="32"/>
        </w:rPr>
        <w:t xml:space="preserve">     </w:t>
      </w:r>
      <w:r w:rsidRPr="00CC7883">
        <w:rPr>
          <w:rFonts w:ascii="Times New Roman" w:eastAsia="NSimSun" w:hAnsi="Times New Roman" w:cs="Times New Roman"/>
          <w:color w:val="000000" w:themeColor="text1"/>
          <w:kern w:val="3"/>
          <w:sz w:val="28"/>
          <w:szCs w:val="32"/>
        </w:rPr>
        <w:t>ІІ</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Рис. 4.3. Розвиток мікроклонів винограду на структурованих поживних середовищах</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 xml:space="preserve">І </w:t>
      </w:r>
      <w:r w:rsidR="00193A14" w:rsidRPr="00CC7883">
        <w:rPr>
          <w:rFonts w:ascii="Times New Roman" w:eastAsia="NSimSun" w:hAnsi="Times New Roman" w:cs="Times New Roman"/>
          <w:color w:val="000000" w:themeColor="text1"/>
          <w:kern w:val="3"/>
        </w:rPr>
        <w:t>–</w:t>
      </w:r>
      <w:r w:rsidRPr="00CC7883">
        <w:rPr>
          <w:rFonts w:ascii="Times New Roman" w:eastAsia="NSimSun" w:hAnsi="Times New Roman" w:cs="Times New Roman"/>
          <w:color w:val="000000" w:themeColor="text1"/>
          <w:kern w:val="3"/>
        </w:rPr>
        <w:t xml:space="preserve"> підщепні сорти; ІІ </w:t>
      </w:r>
      <w:r w:rsidR="00193A14" w:rsidRPr="00CC7883">
        <w:rPr>
          <w:rFonts w:ascii="Times New Roman" w:eastAsia="NSimSun" w:hAnsi="Times New Roman" w:cs="Times New Roman"/>
          <w:color w:val="000000" w:themeColor="text1"/>
          <w:kern w:val="3"/>
        </w:rPr>
        <w:t>–</w:t>
      </w:r>
      <w:r w:rsidRPr="00CC7883">
        <w:rPr>
          <w:rFonts w:ascii="Times New Roman" w:eastAsia="NSimSun" w:hAnsi="Times New Roman" w:cs="Times New Roman"/>
          <w:color w:val="000000" w:themeColor="text1"/>
          <w:kern w:val="3"/>
        </w:rPr>
        <w:t xml:space="preserve"> технічні сорти</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lastRenderedPageBreak/>
        <w:t>Незважаючи на зменшення висоти рослин і кількості листків, мікроклональні рослини у дослідних варіантах характеризувалися більшою площею листкової пластинки, кращими показниками площі листкової поверхні рослин та облистяністю. Ці показники дають змогу оцінити фотосинтетичний потенціал і функціональну активність рослин, що безпосередньо пов’язано з подальшими формоутворюючими процесами. Тому покращення цих показників є важливим фактором при переведенні рослин з умов</w:t>
      </w:r>
      <w:r w:rsidR="00A37DB8"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color w:val="000000" w:themeColor="text1"/>
          <w:kern w:val="3"/>
          <w:sz w:val="28"/>
          <w:szCs w:val="28"/>
        </w:rPr>
        <w:t>in</w:t>
      </w:r>
      <w:r w:rsidR="00A37DB8" w:rsidRPr="00CC7883">
        <w:rPr>
          <w:rFonts w:ascii="Times New Roman" w:eastAsia="NSimSun" w:hAnsi="Times New Roman" w:cs="Times New Roman"/>
          <w:i/>
          <w:color w:val="000000" w:themeColor="text1"/>
          <w:kern w:val="3"/>
          <w:sz w:val="28"/>
          <w:szCs w:val="28"/>
        </w:rPr>
        <w:t> </w:t>
      </w:r>
      <w:r w:rsidRPr="00CC7883">
        <w:rPr>
          <w:rFonts w:ascii="Times New Roman" w:eastAsia="NSimSun" w:hAnsi="Times New Roman" w:cs="Times New Roman"/>
          <w:i/>
          <w:color w:val="000000" w:themeColor="text1"/>
          <w:kern w:val="3"/>
          <w:sz w:val="28"/>
          <w:szCs w:val="28"/>
        </w:rPr>
        <w:t xml:space="preserve">vitro </w:t>
      </w:r>
      <w:r w:rsidRPr="00CC7883">
        <w:rPr>
          <w:rFonts w:ascii="Times New Roman" w:eastAsia="NSimSun" w:hAnsi="Times New Roman" w:cs="Times New Roman"/>
          <w:color w:val="000000" w:themeColor="text1"/>
          <w:kern w:val="3"/>
          <w:sz w:val="28"/>
          <w:szCs w:val="28"/>
        </w:rPr>
        <w:t>в неконтрольовані умови довкілля з подальшим культивуванням.</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Найбільшою площею листкової пластинки та загалом площею листкової поверхні мікроклонів винограду характеризувалися рослини підщепних сортів у третьому, п’ятому, сьомому, дев’ятому, десятому та одинадцятому варіантах. Подібна закономірність була відзначена і для рослин технічних сортів винограду, але в абсолютних одиницях ці показники були меншими за аналогічні – для підщепних сортів (</w:t>
      </w:r>
      <w:r w:rsidR="00DC4415" w:rsidRPr="00CC7883">
        <w:rPr>
          <w:rFonts w:ascii="Times New Roman" w:hAnsi="Times New Roman" w:cs="Times New Roman"/>
          <w:color w:val="000000" w:themeColor="text1"/>
          <w:sz w:val="28"/>
          <w:szCs w:val="28"/>
        </w:rPr>
        <w:t xml:space="preserve">табл. </w:t>
      </w:r>
      <w:r w:rsidRPr="00CC7883">
        <w:rPr>
          <w:rFonts w:ascii="Times New Roman" w:eastAsia="NSimSun" w:hAnsi="Times New Roman" w:cs="Times New Roman"/>
          <w:color w:val="000000" w:themeColor="text1"/>
          <w:kern w:val="3"/>
          <w:sz w:val="28"/>
          <w:szCs w:val="28"/>
        </w:rPr>
        <w:t xml:space="preserve">4.1). Так, після застосування біологічно активних препаратів площа листка і </w:t>
      </w:r>
      <w:r w:rsidR="001072A1">
        <w:rPr>
          <w:rFonts w:ascii="Times New Roman" w:eastAsia="NSimSun" w:hAnsi="Times New Roman" w:cs="Times New Roman"/>
          <w:color w:val="000000" w:themeColor="text1"/>
          <w:kern w:val="3"/>
          <w:sz w:val="28"/>
          <w:szCs w:val="28"/>
        </w:rPr>
        <w:t xml:space="preserve">площа </w:t>
      </w:r>
      <w:r w:rsidRPr="00CC7883">
        <w:rPr>
          <w:rFonts w:ascii="Times New Roman" w:eastAsia="NSimSun" w:hAnsi="Times New Roman" w:cs="Times New Roman"/>
          <w:color w:val="000000" w:themeColor="text1"/>
          <w:kern w:val="3"/>
          <w:sz w:val="28"/>
          <w:szCs w:val="28"/>
        </w:rPr>
        <w:t>листкової поверхні у сортів «Добриня» і «Гарант» дорівнювали 3,6 см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і 3,5 см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25,0</w:t>
      </w:r>
      <w:r w:rsidR="0026149E">
        <w:rPr>
          <w:rFonts w:ascii="Times New Roman" w:eastAsia="NSimSun" w:hAnsi="Times New Roman" w:cs="Times New Roman"/>
          <w:color w:val="000000" w:themeColor="text1"/>
          <w:kern w:val="3"/>
          <w:sz w:val="28"/>
          <w:szCs w:val="28"/>
        </w:rPr>
        <w:t>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і 24,3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w:t>
      </w:r>
      <w:r w:rsidR="00FE5EA9">
        <w:rPr>
          <w:rFonts w:ascii="Times New Roman" w:eastAsia="NSimSun" w:hAnsi="Times New Roman" w:cs="Times New Roman"/>
          <w:color w:val="000000" w:themeColor="text1"/>
          <w:kern w:val="3"/>
          <w:sz w:val="28"/>
          <w:szCs w:val="28"/>
          <w:lang w:val="en-US"/>
        </w:rPr>
        <w:t>M</w:t>
      </w:r>
      <w:r w:rsidRPr="00CC7883">
        <w:rPr>
          <w:rFonts w:ascii="Times New Roman" w:eastAsia="NSimSun" w:hAnsi="Times New Roman" w:cs="Times New Roman"/>
          <w:color w:val="000000" w:themeColor="text1"/>
          <w:kern w:val="3"/>
          <w:sz w:val="28"/>
          <w:szCs w:val="28"/>
        </w:rPr>
        <w:t>S + 0,3 мг/л ІОК + 0,2 мг/л 6-БАП + Радіфарм) та 3,6 см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і 3,8 см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26,3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і 26,5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eastAsia="NSimSun" w:hAnsi="Times New Roman" w:cs="Times New Roman"/>
          <w:color w:val="000000" w:themeColor="text1"/>
          <w:kern w:val="3"/>
          <w:sz w:val="28"/>
          <w:szCs w:val="28"/>
        </w:rPr>
        <w:t xml:space="preserve"> + 0,3 мг/л ІОК + 0,2 мг/л 6-БАП +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NSimSun" w:hAnsi="Times New Roman" w:cs="Times New Roman"/>
          <w:color w:val="000000" w:themeColor="text1"/>
          <w:kern w:val="3"/>
          <w:sz w:val="28"/>
          <w:szCs w:val="28"/>
        </w:rPr>
        <w:t>), що на 58,3–61,3 %, 40,6–53,1 % (площа листка), 38,6–45,6 %, 21,3–32,1 % (площа листкової поверхні) були більшими за контрольні значення. У сортів «Ярило» і «Загрей» ці показники дорівнювали відповідно 3,1 см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і 2,9 см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18,4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і 17,1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(Радіфарм), 3,0 см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і 3,2 см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19,9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і 15,8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NSimSun" w:hAnsi="Times New Roman" w:cs="Times New Roman"/>
          <w:color w:val="000000" w:themeColor="text1"/>
          <w:kern w:val="3"/>
          <w:sz w:val="28"/>
          <w:szCs w:val="28"/>
        </w:rPr>
        <w:t xml:space="preserve">), що на 38,8–42,9 %, 30,7–44,6 % (площа листкової пластинки), 28,6–38,8 %, 20,5–30,7 % (площа листкової поверхні) були більшими за контрольні значення. </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Після культивування мікроклонів винограду на структурованих поживних середовищах із мінеральними субстратами площа листкової пластинки і площа листкової поверхні мікроклонів винограду, як підщепних</w:t>
      </w:r>
      <w:r w:rsidR="00A53B7F">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так і технічних сортів винограду зменшувал</w:t>
      </w:r>
      <w:r w:rsidR="00D5668B">
        <w:rPr>
          <w:rFonts w:ascii="Times New Roman" w:eastAsia="NSimSun" w:hAnsi="Times New Roman" w:cs="Times New Roman"/>
          <w:color w:val="000000" w:themeColor="text1"/>
          <w:kern w:val="3"/>
          <w:sz w:val="28"/>
          <w:szCs w:val="28"/>
        </w:rPr>
        <w:t>и</w:t>
      </w:r>
      <w:r w:rsidRPr="00CC7883">
        <w:rPr>
          <w:rFonts w:ascii="Times New Roman" w:eastAsia="NSimSun" w:hAnsi="Times New Roman" w:cs="Times New Roman"/>
          <w:color w:val="000000" w:themeColor="text1"/>
          <w:kern w:val="3"/>
          <w:sz w:val="28"/>
          <w:szCs w:val="28"/>
        </w:rPr>
        <w:t>с</w:t>
      </w:r>
      <w:r w:rsidR="00D5668B">
        <w:rPr>
          <w:rFonts w:ascii="Times New Roman" w:eastAsia="NSimSun" w:hAnsi="Times New Roman" w:cs="Times New Roman"/>
          <w:color w:val="000000" w:themeColor="text1"/>
          <w:kern w:val="3"/>
          <w:sz w:val="28"/>
          <w:szCs w:val="28"/>
        </w:rPr>
        <w:t>я</w:t>
      </w:r>
      <w:r w:rsidRPr="00CC7883">
        <w:rPr>
          <w:rFonts w:ascii="Times New Roman" w:eastAsia="NSimSun" w:hAnsi="Times New Roman" w:cs="Times New Roman"/>
          <w:color w:val="000000" w:themeColor="text1"/>
          <w:kern w:val="3"/>
          <w:sz w:val="28"/>
          <w:szCs w:val="28"/>
        </w:rPr>
        <w:t xml:space="preserve">. Порівняно з вищевказаними </w:t>
      </w:r>
      <w:r w:rsidRPr="00CC7883">
        <w:rPr>
          <w:rFonts w:ascii="Times New Roman" w:eastAsia="NSimSun" w:hAnsi="Times New Roman" w:cs="Times New Roman"/>
          <w:color w:val="000000" w:themeColor="text1"/>
          <w:kern w:val="3"/>
          <w:sz w:val="28"/>
          <w:szCs w:val="28"/>
        </w:rPr>
        <w:lastRenderedPageBreak/>
        <w:t>варіантами (третій, п’ятий), ці показники зменшувались на 0,4–0,5 см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(площа листка), 0,3–1,5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(площа листкової поверхні) або на 11,6–14,3 % для підщепних сортів, 1,2–5,9 %, тоді як для технічних</w:t>
      </w:r>
      <w:r w:rsidR="00555931">
        <w:rPr>
          <w:rFonts w:ascii="Times New Roman" w:eastAsia="NSimSun" w:hAnsi="Times New Roman" w:cs="Times New Roman"/>
          <w:color w:val="000000" w:themeColor="text1"/>
          <w:kern w:val="3"/>
          <w:sz w:val="28"/>
          <w:szCs w:val="28"/>
        </w:rPr>
        <w:t xml:space="preserve"> сортів</w:t>
      </w:r>
      <w:r w:rsidRPr="00CC7883">
        <w:rPr>
          <w:rFonts w:ascii="Times New Roman" w:eastAsia="NSimSun" w:hAnsi="Times New Roman" w:cs="Times New Roman"/>
          <w:color w:val="000000" w:themeColor="text1"/>
          <w:kern w:val="3"/>
          <w:sz w:val="28"/>
          <w:szCs w:val="28"/>
        </w:rPr>
        <w:t xml:space="preserve"> показник площ</w:t>
      </w:r>
      <w:r w:rsidR="00555931">
        <w:rPr>
          <w:rFonts w:ascii="Times New Roman" w:eastAsia="NSimSun" w:hAnsi="Times New Roman" w:cs="Times New Roman"/>
          <w:color w:val="000000" w:themeColor="text1"/>
          <w:kern w:val="3"/>
          <w:sz w:val="28"/>
          <w:szCs w:val="28"/>
        </w:rPr>
        <w:t>і</w:t>
      </w:r>
      <w:r w:rsidRPr="00CC7883">
        <w:rPr>
          <w:rFonts w:ascii="Times New Roman" w:eastAsia="NSimSun" w:hAnsi="Times New Roman" w:cs="Times New Roman"/>
          <w:color w:val="000000" w:themeColor="text1"/>
          <w:kern w:val="3"/>
          <w:sz w:val="28"/>
          <w:szCs w:val="28"/>
        </w:rPr>
        <w:t xml:space="preserve"> листкових пластинок майже не змінюва</w:t>
      </w:r>
      <w:r w:rsidR="00F80094">
        <w:rPr>
          <w:rFonts w:ascii="Times New Roman" w:eastAsia="NSimSun" w:hAnsi="Times New Roman" w:cs="Times New Roman"/>
          <w:color w:val="000000" w:themeColor="text1"/>
          <w:kern w:val="3"/>
          <w:sz w:val="28"/>
          <w:szCs w:val="28"/>
        </w:rPr>
        <w:t>в</w:t>
      </w:r>
      <w:r w:rsidRPr="00CC7883">
        <w:rPr>
          <w:rFonts w:ascii="Times New Roman" w:eastAsia="NSimSun" w:hAnsi="Times New Roman" w:cs="Times New Roman"/>
          <w:color w:val="000000" w:themeColor="text1"/>
          <w:kern w:val="3"/>
          <w:sz w:val="28"/>
          <w:szCs w:val="28"/>
        </w:rPr>
        <w:t xml:space="preserve">ся, а площа листкової поверхні збільшувалася на 2,0–2,4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00A37DB8" w:rsidRPr="00CC7883">
        <w:rPr>
          <w:rFonts w:ascii="Times New Roman" w:eastAsia="Calibri" w:hAnsi="Times New Roman" w:cs="Times New Roman"/>
          <w:color w:val="000000" w:themeColor="text1"/>
          <w:kern w:val="0"/>
          <w:sz w:val="28"/>
          <w:szCs w:val="28"/>
        </w:rPr>
        <w:t xml:space="preserve"> </w:t>
      </w:r>
      <w:r w:rsidRPr="00CC7883">
        <w:rPr>
          <w:rFonts w:ascii="Times New Roman" w:eastAsia="NSimSun" w:hAnsi="Times New Roman" w:cs="Times New Roman"/>
          <w:color w:val="000000" w:themeColor="text1"/>
          <w:kern w:val="3"/>
          <w:sz w:val="28"/>
          <w:szCs w:val="28"/>
        </w:rPr>
        <w:t>або на 10,2–14,8 %. Порівняно з контролем вони були</w:t>
      </w:r>
      <w:r w:rsidR="0097164D">
        <w:rPr>
          <w:rFonts w:ascii="Times New Roman" w:eastAsia="NSimSun" w:hAnsi="Times New Roman" w:cs="Times New Roman"/>
          <w:color w:val="000000" w:themeColor="text1"/>
          <w:kern w:val="3"/>
          <w:sz w:val="28"/>
          <w:szCs w:val="28"/>
        </w:rPr>
        <w:t xml:space="preserve"> більшими: для підщепних сортів у середньому</w:t>
      </w:r>
      <w:r w:rsidRPr="00CC7883">
        <w:rPr>
          <w:rFonts w:ascii="Times New Roman" w:eastAsia="NSimSun" w:hAnsi="Times New Roman" w:cs="Times New Roman"/>
          <w:color w:val="000000" w:themeColor="text1"/>
          <w:kern w:val="3"/>
          <w:sz w:val="28"/>
          <w:szCs w:val="28"/>
        </w:rPr>
        <w:t xml:space="preserve"> на 24,5–33,5 % (площа листка) і 28,6–29,5 % (площа листкової поверхні), для технічних сортів – на 21,7–27,7 %, 35,9–37,6 %.</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Оцінюючи загалом ступінь розвитку приросту мікроклональних рослин</w:t>
      </w:r>
      <w:r w:rsidR="00056A9A">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визначають і такий показник</w:t>
      </w:r>
      <w:r w:rsidR="00056A9A">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як облистяність. При цьому враховують площу листкової поверхні рослини, її висоту (довжину пагону). Таким чином, при збільшенні цього показника у розрахунку на один мікроклон (пагін) буде синтезувати більше пластичних речовин (асимілятів). У наших дослідженнях було встановлено, що найменшою облистяністю пагонів характеризувалися мікроклони у контрольних варіантах – у середньому 1,6 дм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/м (підщепні сорти) та 1,4 дм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/м (технічні сорти) (</w:t>
      </w:r>
      <w:r w:rsidR="00DC4415" w:rsidRPr="00CC7883">
        <w:rPr>
          <w:rFonts w:ascii="Times New Roman" w:hAnsi="Times New Roman" w:cs="Times New Roman"/>
          <w:color w:val="000000" w:themeColor="text1"/>
          <w:sz w:val="28"/>
          <w:szCs w:val="28"/>
        </w:rPr>
        <w:t xml:space="preserve">табл. </w:t>
      </w:r>
      <w:r w:rsidRPr="00CC7883">
        <w:rPr>
          <w:rFonts w:ascii="Times New Roman" w:eastAsia="NSimSun" w:hAnsi="Times New Roman" w:cs="Times New Roman"/>
          <w:color w:val="000000" w:themeColor="text1"/>
          <w:kern w:val="3"/>
          <w:sz w:val="28"/>
          <w:szCs w:val="28"/>
        </w:rPr>
        <w:t xml:space="preserve">4.1). </w:t>
      </w:r>
    </w:p>
    <w:p w:rsidR="008A4327" w:rsidRPr="00CC7883" w:rsidRDefault="008A4327" w:rsidP="00047411">
      <w:pPr>
        <w:widowControl w:val="0"/>
        <w:autoSpaceDN w:val="0"/>
        <w:spacing w:after="0" w:line="360" w:lineRule="auto"/>
        <w:ind w:firstLine="708"/>
        <w:jc w:val="both"/>
        <w:textAlignment w:val="baseline"/>
        <w:rPr>
          <w:rFonts w:ascii="Times New Roman" w:eastAsia="Times New Roman" w:hAnsi="Times New Roman" w:cs="Times New Roman"/>
          <w:color w:val="000000" w:themeColor="text1"/>
          <w:kern w:val="3"/>
          <w:sz w:val="28"/>
          <w:szCs w:val="28"/>
          <w:lang w:eastAsia="ru-RU"/>
        </w:rPr>
      </w:pPr>
      <w:r w:rsidRPr="00CC7883">
        <w:rPr>
          <w:rFonts w:ascii="Times New Roman" w:eastAsia="Times New Roman" w:hAnsi="Times New Roman" w:cs="Times New Roman"/>
          <w:color w:val="000000" w:themeColor="text1"/>
          <w:kern w:val="3"/>
          <w:sz w:val="28"/>
          <w:szCs w:val="28"/>
          <w:lang w:eastAsia="ru-RU"/>
        </w:rPr>
        <w:t>Після застосування біологічно активних препаратів спостерігалося підвищення показників облистяності мікроклонів винограду. У підщепних сортів «Добриня» і «Гарант» цей показник становив відповідно 2,3 дм²/м (у середньому за варіантами з препаратом Радіфарм) та 2,6 і 2,5 дм²/м (у середньому за варіантами з Clonex gel). У технічних сортів «Ярило» і «Загрей» середні значення облистяності дорівнювали 2,2 дм²/м (за використання Радіфарм) та 2,2 і 2,1 дм²/м (за використання Clonex gel).</w:t>
      </w:r>
    </w:p>
    <w:p w:rsidR="008A4327" w:rsidRPr="00CC7883" w:rsidRDefault="008A4327" w:rsidP="00047411">
      <w:pPr>
        <w:widowControl w:val="0"/>
        <w:autoSpaceDN w:val="0"/>
        <w:spacing w:after="0" w:line="360" w:lineRule="auto"/>
        <w:ind w:firstLine="708"/>
        <w:jc w:val="both"/>
        <w:textAlignment w:val="baseline"/>
        <w:rPr>
          <w:rFonts w:ascii="Times New Roman" w:eastAsia="Times New Roman" w:hAnsi="Times New Roman" w:cs="Times New Roman"/>
          <w:color w:val="000000" w:themeColor="text1"/>
          <w:kern w:val="3"/>
          <w:sz w:val="28"/>
          <w:szCs w:val="28"/>
          <w:lang w:eastAsia="ru-RU"/>
        </w:rPr>
      </w:pPr>
      <w:r w:rsidRPr="00CC7883">
        <w:rPr>
          <w:rFonts w:ascii="Times New Roman" w:eastAsia="Times New Roman" w:hAnsi="Times New Roman" w:cs="Times New Roman"/>
          <w:color w:val="000000" w:themeColor="text1"/>
          <w:kern w:val="3"/>
          <w:sz w:val="28"/>
          <w:szCs w:val="28"/>
          <w:lang w:eastAsia="ru-RU"/>
        </w:rPr>
        <w:t>На структурованих поживних середовищах показники облистяності мікроклонів підщепних сортів винограду становили в середньому 2,2 дм²/м на середовищах MS із меншим (0,2 мг/л 6-БАП, 0,3 мг/л ІОК) та більшим (0,5</w:t>
      </w:r>
      <w:r w:rsidR="0026149E">
        <w:rPr>
          <w:rFonts w:ascii="Times New Roman" w:eastAsia="Times New Roman" w:hAnsi="Times New Roman" w:cs="Times New Roman"/>
          <w:color w:val="000000" w:themeColor="text1"/>
          <w:kern w:val="3"/>
          <w:sz w:val="28"/>
          <w:szCs w:val="28"/>
          <w:lang w:eastAsia="ru-RU"/>
        </w:rPr>
        <w:t> </w:t>
      </w:r>
      <w:r w:rsidRPr="00CC7883">
        <w:rPr>
          <w:rFonts w:ascii="Times New Roman" w:eastAsia="Times New Roman" w:hAnsi="Times New Roman" w:cs="Times New Roman"/>
          <w:color w:val="000000" w:themeColor="text1"/>
          <w:kern w:val="3"/>
          <w:sz w:val="28"/>
          <w:szCs w:val="28"/>
          <w:lang w:eastAsia="ru-RU"/>
        </w:rPr>
        <w:t>мг/л 6-БАП, 0,6 мг/л ІОК) вмістом фітогормонів з додаванням агроперліту; 2,6 дм²/м – у варіантах із вермикулітом за тих самих концентрацій; 2,0–2,1</w:t>
      </w:r>
      <w:r w:rsidR="0026149E">
        <w:rPr>
          <w:rFonts w:ascii="Times New Roman" w:eastAsia="Times New Roman" w:hAnsi="Times New Roman" w:cs="Times New Roman"/>
          <w:color w:val="000000" w:themeColor="text1"/>
          <w:kern w:val="3"/>
          <w:sz w:val="28"/>
          <w:szCs w:val="28"/>
          <w:lang w:eastAsia="ru-RU"/>
        </w:rPr>
        <w:t xml:space="preserve"> </w:t>
      </w:r>
      <w:r w:rsidRPr="00CC7883">
        <w:rPr>
          <w:rFonts w:ascii="Times New Roman" w:eastAsia="Times New Roman" w:hAnsi="Times New Roman" w:cs="Times New Roman"/>
          <w:color w:val="000000" w:themeColor="text1"/>
          <w:kern w:val="3"/>
          <w:sz w:val="28"/>
          <w:szCs w:val="28"/>
          <w:lang w:eastAsia="ru-RU"/>
        </w:rPr>
        <w:t>дм²/м – на середовищах із сумішшю агроперліту та вермикуліту. У технічних сортів показники облистяності становили 2,3–</w:t>
      </w:r>
      <w:r w:rsidRPr="00CC7883">
        <w:rPr>
          <w:rFonts w:ascii="Times New Roman" w:eastAsia="Times New Roman" w:hAnsi="Times New Roman" w:cs="Times New Roman"/>
          <w:color w:val="000000" w:themeColor="text1"/>
          <w:kern w:val="3"/>
          <w:sz w:val="28"/>
          <w:szCs w:val="28"/>
          <w:lang w:eastAsia="ru-RU"/>
        </w:rPr>
        <w:lastRenderedPageBreak/>
        <w:t>2,5</w:t>
      </w:r>
      <w:r w:rsidR="0026149E">
        <w:rPr>
          <w:rFonts w:ascii="Times New Roman" w:eastAsia="Times New Roman" w:hAnsi="Times New Roman" w:cs="Times New Roman"/>
          <w:color w:val="000000" w:themeColor="text1"/>
          <w:kern w:val="3"/>
          <w:sz w:val="28"/>
          <w:szCs w:val="28"/>
          <w:lang w:eastAsia="ru-RU"/>
        </w:rPr>
        <w:t> </w:t>
      </w:r>
      <w:r w:rsidRPr="00CC7883">
        <w:rPr>
          <w:rFonts w:ascii="Times New Roman" w:eastAsia="Times New Roman" w:hAnsi="Times New Roman" w:cs="Times New Roman"/>
          <w:color w:val="000000" w:themeColor="text1"/>
          <w:kern w:val="3"/>
          <w:sz w:val="28"/>
          <w:szCs w:val="28"/>
          <w:lang w:eastAsia="ru-RU"/>
        </w:rPr>
        <w:t>дм²/м (сьомий, восьмий варіанти), 2,5 дм²/м (дев’ятий, десятий варіанти) та 1,9 дм²/м (одинадцятий, дванадцятий варіанти).</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Порівняно з контролем, на поживних середовищах з біологічно активними препаратами облистяність мікроклонів винограду у дослідних варіантах перевищувала контрольні значення в середньому на 38,8–59,5 % і 43,8–43,9 % (третій, четвертий), 71,1–73,4 % і 48,7–65,7 % (п’ятий, шостий) у сортів «Добриня», «Гарант» та на 54,5–66,4 % і 71,3–72,4 %, 58,5–60,0 % і 49,9–79,4 % у сортів «Ярило», «Загрей» відповідно; на структурованих поживних середовищах на 42,5–45,3 % і 36,5–38,9 % (сьомий, восьмий), 70,9–76,3 % і 47,8–74,6 % (дев’ятий, десятий), 24,7–42,4 % і 29,6–38,5 % (одинадцятий, дванадцятий) – у підщепних сортів та на 59,8–74,2 % і 82,2–90,1 %, 71,6–87,5 % і 85,5–96,3 %, 32,8–39,0 % і 41,2–42,8 % у технічних сортів. </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Загальне порівняння розвитку мікроклонів винограду за біометричними параметрами показа</w:t>
      </w:r>
      <w:r w:rsidR="001072A1">
        <w:rPr>
          <w:rFonts w:ascii="Times New Roman" w:eastAsia="NSimSun" w:hAnsi="Times New Roman" w:cs="Times New Roman"/>
          <w:color w:val="000000" w:themeColor="text1"/>
          <w:kern w:val="3"/>
          <w:sz w:val="28"/>
          <w:szCs w:val="28"/>
        </w:rPr>
        <w:t>л</w:t>
      </w:r>
      <w:r w:rsidRPr="00CC7883">
        <w:rPr>
          <w:rFonts w:ascii="Times New Roman" w:eastAsia="NSimSun" w:hAnsi="Times New Roman" w:cs="Times New Roman"/>
          <w:color w:val="000000" w:themeColor="text1"/>
          <w:kern w:val="3"/>
          <w:sz w:val="28"/>
          <w:szCs w:val="28"/>
        </w:rPr>
        <w:t xml:space="preserve">о, що мікроклони винограду підщепних сортів «Добриня» і «Гарант» мали кращий розвиток, ніж технічних сортів «Ярило» і «Загрей». Так, за висотою рослин підщепні сорти на 1,9 см (на 22,1 %) були вищими за технічні сорти та мали в середньому по 6,5 листків, за площею листка, </w:t>
      </w:r>
      <w:r w:rsidR="001072A1">
        <w:rPr>
          <w:rFonts w:ascii="Times New Roman" w:eastAsia="NSimSun" w:hAnsi="Times New Roman" w:cs="Times New Roman"/>
          <w:color w:val="000000" w:themeColor="text1"/>
          <w:kern w:val="3"/>
          <w:sz w:val="28"/>
          <w:szCs w:val="28"/>
        </w:rPr>
        <w:t xml:space="preserve">площею </w:t>
      </w:r>
      <w:r w:rsidRPr="00CC7883">
        <w:rPr>
          <w:rFonts w:ascii="Times New Roman" w:eastAsia="NSimSun" w:hAnsi="Times New Roman" w:cs="Times New Roman"/>
          <w:color w:val="000000" w:themeColor="text1"/>
          <w:kern w:val="3"/>
          <w:sz w:val="28"/>
          <w:szCs w:val="28"/>
        </w:rPr>
        <w:t>листкової поверхні та облистяності мікроклони винограду сортів «Добриня» і «Гарант» переважали технічні сорти «Ярило» і «Загрей» на 0,3</w:t>
      </w:r>
      <w:r w:rsidR="0026149E">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см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 (на 12,0 %) (площа листка), на 5,1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(на 29,3 %) (площа листкової поверхні), на 0,1 дм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/м (на 5,4 %) (облистяність).</w:t>
      </w:r>
    </w:p>
    <w:p w:rsidR="008A4327" w:rsidRPr="00CC7883" w:rsidRDefault="008A4327" w:rsidP="00047411">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Порівняння біометричних показників у мікроклонах винограду за фітогормональним складом показало, що рослини винограду, які культивували на поживних середовищах із меншим вмістом фітогормонів (ІОК – 0,3 мг/л, 6-БАП – 0,2 мг/л), мали кращі показники росту та розвитку, порівняно з мікроклонами винограду, що культивували на поживних середовищах із більшим вмістом фітогормонів (ІОК – 0,6 мг/л, 6-БАП – 0,5</w:t>
      </w:r>
      <w:r w:rsidR="0026149E">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мг/л). Перевага за цими показниками була: 7,1 % (висота мікроклонів), 6,2</w:t>
      </w:r>
      <w:r w:rsidR="0026149E">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 (кількість листків), 8,6 % (площа листкової пластинки), 9,9 % (площа </w:t>
      </w:r>
      <w:r w:rsidRPr="00CC7883">
        <w:rPr>
          <w:rFonts w:ascii="Times New Roman" w:eastAsia="NSimSun" w:hAnsi="Times New Roman" w:cs="Times New Roman"/>
          <w:color w:val="000000" w:themeColor="text1"/>
          <w:kern w:val="3"/>
          <w:sz w:val="28"/>
          <w:szCs w:val="28"/>
        </w:rPr>
        <w:lastRenderedPageBreak/>
        <w:t>листкової поверхні), 2,5 % (облистяність).</w:t>
      </w:r>
    </w:p>
    <w:p w:rsidR="00693720" w:rsidRPr="00CC7883" w:rsidRDefault="008A4327"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bookmarkStart w:id="41" w:name="_Hlk156164369"/>
      <w:r w:rsidRPr="00CC7883">
        <w:rPr>
          <w:rFonts w:ascii="Times New Roman" w:eastAsia="NSimSun" w:hAnsi="Times New Roman" w:cs="Times New Roman"/>
          <w:i/>
          <w:color w:val="000000" w:themeColor="text1"/>
          <w:kern w:val="3"/>
          <w:sz w:val="28"/>
          <w:szCs w:val="28"/>
        </w:rPr>
        <w:t>Поживні субстрати</w:t>
      </w:r>
      <w:r w:rsidRPr="00CC7883">
        <w:rPr>
          <w:rFonts w:ascii="Times New Roman" w:eastAsia="NSimSun" w:hAnsi="Times New Roman" w:cs="Times New Roman"/>
          <w:color w:val="000000" w:themeColor="text1"/>
          <w:kern w:val="3"/>
          <w:sz w:val="28"/>
          <w:szCs w:val="28"/>
        </w:rPr>
        <w:t>. Після 60 діб культивування було встановлено, що мікроклони підщепних сортів винограду в контрольних варіантах мали більшу висоту пагону порівняно з дослідними варіантами. Довжина пагонів у мікроклонів контрольних варіантів дорівнювала 12,1 см та 11,7 см для сорту «Добриня», 11,9 см та 11,1 см для сорту «Гарант» і 10,3 см та 9,7 см для сорту «Ярило», 10,0 см та 9,9 см для сорту «Загрей» (</w:t>
      </w:r>
      <w:r w:rsidR="00DC4415" w:rsidRPr="00CC7883">
        <w:rPr>
          <w:rFonts w:ascii="Times New Roman" w:hAnsi="Times New Roman" w:cs="Times New Roman"/>
          <w:color w:val="000000" w:themeColor="text1"/>
          <w:sz w:val="28"/>
          <w:szCs w:val="28"/>
        </w:rPr>
        <w:t xml:space="preserve">табл. </w:t>
      </w:r>
      <w:r w:rsidRPr="00CC7883">
        <w:rPr>
          <w:rFonts w:ascii="Times New Roman" w:eastAsia="NSimSun" w:hAnsi="Times New Roman" w:cs="Times New Roman"/>
          <w:color w:val="000000" w:themeColor="text1"/>
          <w:kern w:val="3"/>
          <w:sz w:val="28"/>
          <w:szCs w:val="28"/>
        </w:rPr>
        <w:t xml:space="preserve">4.2,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4.4).</w:t>
      </w:r>
    </w:p>
    <w:p w:rsidR="000301A1" w:rsidRPr="00CC7883" w:rsidRDefault="000301A1"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p>
    <w:p w:rsidR="008A4327" w:rsidRPr="00CC7883" w:rsidRDefault="008A4327" w:rsidP="00047411">
      <w:pPr>
        <w:widowControl w:val="0"/>
        <w:autoSpaceDN w:val="0"/>
        <w:spacing w:after="0" w:line="360" w:lineRule="auto"/>
        <w:ind w:firstLine="709"/>
        <w:jc w:val="right"/>
        <w:textAlignment w:val="baseline"/>
        <w:rPr>
          <w:rFonts w:ascii="Times New Roman" w:eastAsia="NSimSun" w:hAnsi="Times New Roman" w:cs="Times New Roman"/>
          <w:bCs/>
          <w:i/>
          <w:iCs/>
          <w:color w:val="000000" w:themeColor="text1"/>
          <w:kern w:val="3"/>
          <w:sz w:val="28"/>
          <w:szCs w:val="28"/>
        </w:rPr>
      </w:pPr>
      <w:r w:rsidRPr="00CC7883">
        <w:rPr>
          <w:rFonts w:ascii="Times New Roman" w:eastAsia="NSimSun" w:hAnsi="Times New Roman" w:cs="Times New Roman"/>
          <w:bCs/>
          <w:i/>
          <w:iCs/>
          <w:color w:val="000000" w:themeColor="text1"/>
          <w:kern w:val="3"/>
          <w:sz w:val="28"/>
          <w:szCs w:val="28"/>
        </w:rPr>
        <w:t>Таблиця 4.2</w:t>
      </w:r>
    </w:p>
    <w:p w:rsidR="000A65C7" w:rsidRPr="00CC7883" w:rsidRDefault="008A4327"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sz w:val="28"/>
          <w:szCs w:val="28"/>
        </w:rPr>
      </w:pPr>
      <w:r w:rsidRPr="00CC7883">
        <w:rPr>
          <w:rFonts w:ascii="Times New Roman" w:eastAsia="NSimSun" w:hAnsi="Times New Roman" w:cs="Times New Roman"/>
          <w:b/>
          <w:bCs/>
          <w:color w:val="000000" w:themeColor="text1"/>
          <w:kern w:val="3"/>
          <w:sz w:val="28"/>
          <w:szCs w:val="28"/>
        </w:rPr>
        <w:t xml:space="preserve">Біометричні показники розвитку вегетативної надземної маси мікроклонів винограду на різних </w:t>
      </w:r>
      <w:r w:rsidR="00293A70" w:rsidRPr="00CC7883">
        <w:rPr>
          <w:rFonts w:ascii="Times New Roman" w:eastAsia="NSimSun" w:hAnsi="Times New Roman" w:cs="Times New Roman"/>
          <w:b/>
          <w:bCs/>
          <w:color w:val="000000" w:themeColor="text1"/>
          <w:kern w:val="3"/>
          <w:sz w:val="28"/>
          <w:szCs w:val="28"/>
        </w:rPr>
        <w:t xml:space="preserve">типах </w:t>
      </w:r>
      <w:r w:rsidRPr="00CC7883">
        <w:rPr>
          <w:rFonts w:ascii="Times New Roman" w:eastAsia="NSimSun" w:hAnsi="Times New Roman" w:cs="Times New Roman"/>
          <w:b/>
          <w:bCs/>
          <w:color w:val="000000" w:themeColor="text1"/>
          <w:kern w:val="3"/>
          <w:sz w:val="28"/>
          <w:szCs w:val="28"/>
        </w:rPr>
        <w:t>мінеральних субстрат</w:t>
      </w:r>
      <w:r w:rsidR="000F31F4" w:rsidRPr="00CC7883">
        <w:rPr>
          <w:rFonts w:ascii="Times New Roman" w:eastAsia="NSimSun" w:hAnsi="Times New Roman" w:cs="Times New Roman"/>
          <w:b/>
          <w:bCs/>
          <w:color w:val="000000" w:themeColor="text1"/>
          <w:kern w:val="3"/>
          <w:sz w:val="28"/>
          <w:szCs w:val="28"/>
        </w:rPr>
        <w:t>ів</w:t>
      </w:r>
      <w:r w:rsidRPr="00CC7883">
        <w:rPr>
          <w:rFonts w:ascii="Times New Roman" w:eastAsia="NSimSun" w:hAnsi="Times New Roman" w:cs="Times New Roman"/>
          <w:b/>
          <w:bCs/>
          <w:color w:val="000000" w:themeColor="text1"/>
          <w:kern w:val="3"/>
          <w:sz w:val="28"/>
          <w:szCs w:val="28"/>
        </w:rPr>
        <w:t xml:space="preserve"> </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sz w:val="28"/>
          <w:szCs w:val="28"/>
        </w:rPr>
      </w:pPr>
      <w:r w:rsidRPr="00CC7883">
        <w:rPr>
          <w:rFonts w:ascii="Times New Roman" w:eastAsia="NSimSun" w:hAnsi="Times New Roman" w:cs="Times New Roman"/>
          <w:b/>
          <w:bCs/>
          <w:color w:val="000000" w:themeColor="text1"/>
          <w:kern w:val="3"/>
          <w:sz w:val="28"/>
          <w:szCs w:val="28"/>
        </w:rPr>
        <w:t>(середнє за 2019–2022 рр.)</w:t>
      </w:r>
    </w:p>
    <w:tbl>
      <w:tblPr>
        <w:tblStyle w:val="af8"/>
        <w:tblW w:w="0" w:type="auto"/>
        <w:tblLook w:val="04A0"/>
      </w:tblPr>
      <w:tblGrid>
        <w:gridCol w:w="1513"/>
        <w:gridCol w:w="1443"/>
        <w:gridCol w:w="1534"/>
        <w:gridCol w:w="1420"/>
        <w:gridCol w:w="1535"/>
        <w:gridCol w:w="2019"/>
      </w:tblGrid>
      <w:tr w:rsidR="008A4327" w:rsidRPr="00CC7883" w:rsidTr="001149B8">
        <w:tc>
          <w:tcPr>
            <w:tcW w:w="1513" w:type="dxa"/>
            <w:vAlign w:val="center"/>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Варіанти досліду</w:t>
            </w:r>
          </w:p>
        </w:tc>
        <w:tc>
          <w:tcPr>
            <w:tcW w:w="1443" w:type="dxa"/>
            <w:vAlign w:val="center"/>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Висота, см</w:t>
            </w:r>
          </w:p>
        </w:tc>
        <w:tc>
          <w:tcPr>
            <w:tcW w:w="1534" w:type="dxa"/>
            <w:vAlign w:val="center"/>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Кількість листків, шт.</w:t>
            </w:r>
          </w:p>
        </w:tc>
        <w:tc>
          <w:tcPr>
            <w:tcW w:w="1420" w:type="dxa"/>
            <w:vAlign w:val="center"/>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Площа листка, см</w:t>
            </w:r>
            <w:r w:rsidRPr="00CC7883">
              <w:rPr>
                <w:rFonts w:ascii="Times New Roman" w:eastAsia="SimSun" w:hAnsi="Times New Roman" w:cs="Times New Roman"/>
                <w:color w:val="000000" w:themeColor="text1"/>
                <w:kern w:val="0"/>
                <w:sz w:val="28"/>
                <w:szCs w:val="28"/>
                <w:vertAlign w:val="superscript"/>
              </w:rPr>
              <w:t>2</w:t>
            </w:r>
          </w:p>
        </w:tc>
        <w:tc>
          <w:tcPr>
            <w:tcW w:w="1535" w:type="dxa"/>
            <w:vAlign w:val="center"/>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 xml:space="preserve">Площа листової поверхні,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p>
        </w:tc>
        <w:tc>
          <w:tcPr>
            <w:tcW w:w="2019" w:type="dxa"/>
            <w:vAlign w:val="center"/>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Облистяність, дм</w:t>
            </w:r>
            <w:r w:rsidRPr="00CC7883">
              <w:rPr>
                <w:rFonts w:ascii="Times New Roman" w:eastAsia="SimSun" w:hAnsi="Times New Roman" w:cs="Times New Roman"/>
                <w:color w:val="000000" w:themeColor="text1"/>
                <w:kern w:val="0"/>
                <w:sz w:val="28"/>
                <w:szCs w:val="28"/>
                <w:vertAlign w:val="superscript"/>
              </w:rPr>
              <w:t>2</w:t>
            </w:r>
            <w:r w:rsidRPr="00CC7883">
              <w:rPr>
                <w:rFonts w:ascii="Times New Roman" w:eastAsia="SimSun" w:hAnsi="Times New Roman" w:cs="Times New Roman"/>
                <w:color w:val="000000" w:themeColor="text1"/>
                <w:kern w:val="0"/>
                <w:sz w:val="28"/>
                <w:szCs w:val="28"/>
              </w:rPr>
              <w:t>/м</w:t>
            </w:r>
          </w:p>
        </w:tc>
      </w:tr>
      <w:tr w:rsidR="000301A1" w:rsidRPr="00CC7883" w:rsidTr="001149B8">
        <w:tc>
          <w:tcPr>
            <w:tcW w:w="1513" w:type="dxa"/>
            <w:vAlign w:val="center"/>
          </w:tcPr>
          <w:p w:rsidR="000301A1" w:rsidRPr="00CC7883" w:rsidRDefault="000301A1"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1</w:t>
            </w:r>
          </w:p>
        </w:tc>
        <w:tc>
          <w:tcPr>
            <w:tcW w:w="1443" w:type="dxa"/>
            <w:vAlign w:val="center"/>
          </w:tcPr>
          <w:p w:rsidR="000301A1" w:rsidRPr="00CC7883" w:rsidRDefault="000301A1"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2</w:t>
            </w:r>
          </w:p>
        </w:tc>
        <w:tc>
          <w:tcPr>
            <w:tcW w:w="1534" w:type="dxa"/>
            <w:vAlign w:val="center"/>
          </w:tcPr>
          <w:p w:rsidR="000301A1" w:rsidRPr="00CC7883" w:rsidRDefault="000301A1"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3</w:t>
            </w:r>
          </w:p>
        </w:tc>
        <w:tc>
          <w:tcPr>
            <w:tcW w:w="1420" w:type="dxa"/>
            <w:vAlign w:val="center"/>
          </w:tcPr>
          <w:p w:rsidR="000301A1" w:rsidRPr="00CC7883" w:rsidRDefault="000301A1"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4</w:t>
            </w:r>
          </w:p>
        </w:tc>
        <w:tc>
          <w:tcPr>
            <w:tcW w:w="1535" w:type="dxa"/>
            <w:vAlign w:val="center"/>
          </w:tcPr>
          <w:p w:rsidR="000301A1" w:rsidRPr="00CC7883" w:rsidRDefault="000301A1"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5</w:t>
            </w:r>
          </w:p>
        </w:tc>
        <w:tc>
          <w:tcPr>
            <w:tcW w:w="2019" w:type="dxa"/>
            <w:vAlign w:val="center"/>
          </w:tcPr>
          <w:p w:rsidR="000301A1" w:rsidRPr="00CC7883" w:rsidRDefault="000301A1"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6</w:t>
            </w:r>
          </w:p>
        </w:tc>
      </w:tr>
      <w:tr w:rsidR="008A4327" w:rsidRPr="00CC7883" w:rsidTr="001149B8">
        <w:tc>
          <w:tcPr>
            <w:tcW w:w="9464" w:type="dxa"/>
            <w:gridSpan w:val="6"/>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«Добриня»</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1</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12,1</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7,0</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2,3</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18,0</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1,5</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2</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11,7</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6,4</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2,4</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17,6</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1,5</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3</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7,1</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5,5</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1,6</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8,7</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1,2</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4</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3,8</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4,3</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1,4</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5,9</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1,6</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5</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5,1</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5,8</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2,6</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15,0</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2,9</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0,66</w:t>
            </w:r>
          </w:p>
        </w:tc>
        <w:tc>
          <w:tcPr>
            <w:tcW w:w="1534" w:type="dxa"/>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0,19</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0,44</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0,88</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0,35</w:t>
            </w:r>
          </w:p>
        </w:tc>
      </w:tr>
      <w:tr w:rsidR="008A4327" w:rsidRPr="00CC7883" w:rsidTr="001149B8">
        <w:tc>
          <w:tcPr>
            <w:tcW w:w="9464" w:type="dxa"/>
            <w:gridSpan w:val="6"/>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«Гарант»</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1</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11,9</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7,0</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2,5</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20,0</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1,7</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2</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11,1</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6,0</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2,3</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16,3</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1,5</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3</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6,2</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5,5</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1,7</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9,5</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1,5</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4</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3,8</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4,7</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1,7</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7,7</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2,0</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5</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5,3</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2"/>
                <w:szCs w:val="22"/>
              </w:rPr>
            </w:pPr>
            <w:r w:rsidRPr="00CC7883">
              <w:rPr>
                <w:rFonts w:ascii="Times New Roman" w:eastAsia="SimSun" w:hAnsi="Times New Roman" w:cs="Times New Roman"/>
                <w:color w:val="000000" w:themeColor="text1"/>
                <w:kern w:val="0"/>
                <w:sz w:val="28"/>
                <w:szCs w:val="28"/>
              </w:rPr>
              <w:t>5,8</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2,3</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13,4</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2"/>
              </w:rPr>
            </w:pPr>
            <w:r w:rsidRPr="00CC7883">
              <w:rPr>
                <w:rFonts w:ascii="Times New Roman" w:eastAsia="SimSun" w:hAnsi="Times New Roman" w:cs="Times New Roman"/>
                <w:color w:val="000000" w:themeColor="text1"/>
                <w:kern w:val="0"/>
                <w:sz w:val="28"/>
                <w:szCs w:val="22"/>
              </w:rPr>
              <w:t>2,5</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0,67</w:t>
            </w:r>
          </w:p>
        </w:tc>
        <w:tc>
          <w:tcPr>
            <w:tcW w:w="1534" w:type="dxa"/>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0,22</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0,3</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0,71</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0,32</w:t>
            </w:r>
          </w:p>
        </w:tc>
      </w:tr>
      <w:tr w:rsidR="008A4327" w:rsidRPr="00CC7883" w:rsidTr="001149B8">
        <w:tc>
          <w:tcPr>
            <w:tcW w:w="9464" w:type="dxa"/>
            <w:gridSpan w:val="6"/>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«Ярило»</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1</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10,3</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6,0</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2,2</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14,3</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1,4</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2</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9,7</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5,0</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2,3</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13,4</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1,4</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3</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5,9</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5,3</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1,8</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9,5</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1,6</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4</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3,7</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4,7</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1,9</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8,7</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2,3</w:t>
            </w:r>
          </w:p>
        </w:tc>
      </w:tr>
    </w:tbl>
    <w:p w:rsidR="001149B8" w:rsidRPr="00360BBA" w:rsidRDefault="001149B8" w:rsidP="001149B8">
      <w:pPr>
        <w:jc w:val="right"/>
        <w:rPr>
          <w:lang w:val="ru-RU"/>
        </w:rPr>
      </w:pPr>
      <w:r>
        <w:br w:type="page"/>
      </w:r>
      <w:r w:rsidRPr="00CC7883">
        <w:rPr>
          <w:rFonts w:ascii="Times New Roman" w:eastAsia="SimSun" w:hAnsi="Times New Roman" w:cs="Times New Roman"/>
          <w:color w:val="000000" w:themeColor="text1"/>
          <w:kern w:val="0"/>
        </w:rPr>
        <w:lastRenderedPageBreak/>
        <w:t>Продовження табл. 4.2</w:t>
      </w:r>
    </w:p>
    <w:tbl>
      <w:tblPr>
        <w:tblStyle w:val="af8"/>
        <w:tblW w:w="0" w:type="auto"/>
        <w:tblLook w:val="04A0"/>
      </w:tblPr>
      <w:tblGrid>
        <w:gridCol w:w="1513"/>
        <w:gridCol w:w="1443"/>
        <w:gridCol w:w="1534"/>
        <w:gridCol w:w="1420"/>
        <w:gridCol w:w="1535"/>
        <w:gridCol w:w="2019"/>
      </w:tblGrid>
      <w:tr w:rsidR="001149B8" w:rsidRPr="00CC7883" w:rsidTr="001149B8">
        <w:tc>
          <w:tcPr>
            <w:tcW w:w="1513" w:type="dxa"/>
          </w:tcPr>
          <w:p w:rsidR="001149B8" w:rsidRPr="00CC7883" w:rsidRDefault="001149B8" w:rsidP="0011122D">
            <w:pPr>
              <w:widowControl w:val="0"/>
              <w:tabs>
                <w:tab w:val="left" w:pos="2940"/>
              </w:tabs>
              <w:spacing w:line="259"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8"/>
              </w:rPr>
              <w:t>1</w:t>
            </w:r>
          </w:p>
        </w:tc>
        <w:tc>
          <w:tcPr>
            <w:tcW w:w="1443" w:type="dxa"/>
            <w:vAlign w:val="bottom"/>
          </w:tcPr>
          <w:p w:rsidR="001149B8" w:rsidRPr="00CC7883" w:rsidRDefault="001149B8" w:rsidP="0011122D">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szCs w:val="28"/>
              </w:rPr>
              <w:t>2</w:t>
            </w:r>
          </w:p>
        </w:tc>
        <w:tc>
          <w:tcPr>
            <w:tcW w:w="1534" w:type="dxa"/>
            <w:vAlign w:val="bottom"/>
          </w:tcPr>
          <w:p w:rsidR="001149B8" w:rsidRPr="00CC7883" w:rsidRDefault="001149B8" w:rsidP="0011122D">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szCs w:val="28"/>
              </w:rPr>
              <w:t>3</w:t>
            </w:r>
          </w:p>
        </w:tc>
        <w:tc>
          <w:tcPr>
            <w:tcW w:w="1420" w:type="dxa"/>
            <w:vAlign w:val="bottom"/>
          </w:tcPr>
          <w:p w:rsidR="001149B8" w:rsidRPr="00CC7883" w:rsidRDefault="001149B8" w:rsidP="0011122D">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szCs w:val="22"/>
              </w:rPr>
              <w:t>4</w:t>
            </w:r>
          </w:p>
        </w:tc>
        <w:tc>
          <w:tcPr>
            <w:tcW w:w="1535" w:type="dxa"/>
            <w:vAlign w:val="bottom"/>
          </w:tcPr>
          <w:p w:rsidR="001149B8" w:rsidRPr="00CC7883" w:rsidRDefault="001149B8" w:rsidP="0011122D">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szCs w:val="22"/>
              </w:rPr>
              <w:t>5</w:t>
            </w:r>
          </w:p>
        </w:tc>
        <w:tc>
          <w:tcPr>
            <w:tcW w:w="2019" w:type="dxa"/>
            <w:vAlign w:val="bottom"/>
          </w:tcPr>
          <w:p w:rsidR="001149B8" w:rsidRPr="00CC7883" w:rsidRDefault="001149B8" w:rsidP="0011122D">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szCs w:val="22"/>
              </w:rPr>
              <w:t>6</w:t>
            </w:r>
          </w:p>
        </w:tc>
      </w:tr>
      <w:tr w:rsidR="008A4327" w:rsidRPr="00CC7883" w:rsidTr="001149B8">
        <w:tc>
          <w:tcPr>
            <w:tcW w:w="1513" w:type="dxa"/>
          </w:tcPr>
          <w:p w:rsidR="008A4327" w:rsidRPr="00CC7883" w:rsidRDefault="008A4327" w:rsidP="00047411">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5</w:t>
            </w:r>
          </w:p>
        </w:tc>
        <w:tc>
          <w:tcPr>
            <w:tcW w:w="1443"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3,5</w:t>
            </w:r>
          </w:p>
        </w:tc>
        <w:tc>
          <w:tcPr>
            <w:tcW w:w="1534"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4,7</w:t>
            </w:r>
          </w:p>
        </w:tc>
        <w:tc>
          <w:tcPr>
            <w:tcW w:w="1420"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2,3</w:t>
            </w:r>
          </w:p>
        </w:tc>
        <w:tc>
          <w:tcPr>
            <w:tcW w:w="1535"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10,8</w:t>
            </w:r>
          </w:p>
        </w:tc>
        <w:tc>
          <w:tcPr>
            <w:tcW w:w="2019" w:type="dxa"/>
            <w:vAlign w:val="bottom"/>
          </w:tcPr>
          <w:p w:rsidR="008A4327" w:rsidRPr="00CC7883" w:rsidRDefault="008A4327" w:rsidP="00047411">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3,1</w:t>
            </w:r>
          </w:p>
        </w:tc>
      </w:tr>
      <w:tr w:rsidR="007443B5" w:rsidRPr="00CC7883" w:rsidTr="001149B8">
        <w:tc>
          <w:tcPr>
            <w:tcW w:w="1513" w:type="dxa"/>
          </w:tcPr>
          <w:p w:rsidR="007443B5" w:rsidRPr="00CC7883" w:rsidRDefault="007443B5" w:rsidP="007443B5">
            <w:pPr>
              <w:widowControl w:val="0"/>
              <w:tabs>
                <w:tab w:val="left" w:pos="2940"/>
              </w:tabs>
              <w:spacing w:line="259" w:lineRule="auto"/>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43" w:type="dxa"/>
            <w:vAlign w:val="bottom"/>
          </w:tcPr>
          <w:p w:rsidR="007443B5" w:rsidRPr="00CC7883" w:rsidRDefault="007443B5" w:rsidP="007443B5">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0,59</w:t>
            </w:r>
          </w:p>
        </w:tc>
        <w:tc>
          <w:tcPr>
            <w:tcW w:w="1534" w:type="dxa"/>
          </w:tcPr>
          <w:p w:rsidR="007443B5" w:rsidRPr="00CC7883" w:rsidRDefault="007443B5" w:rsidP="007443B5">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0,27</w:t>
            </w:r>
          </w:p>
        </w:tc>
        <w:tc>
          <w:tcPr>
            <w:tcW w:w="1420" w:type="dxa"/>
            <w:vAlign w:val="bottom"/>
          </w:tcPr>
          <w:p w:rsidR="007443B5" w:rsidRPr="00CC7883" w:rsidRDefault="007443B5" w:rsidP="007443B5">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0,40</w:t>
            </w:r>
          </w:p>
        </w:tc>
        <w:tc>
          <w:tcPr>
            <w:tcW w:w="1535" w:type="dxa"/>
            <w:vAlign w:val="bottom"/>
          </w:tcPr>
          <w:p w:rsidR="007443B5" w:rsidRPr="00CC7883" w:rsidRDefault="007443B5" w:rsidP="007443B5">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0,50</w:t>
            </w:r>
          </w:p>
        </w:tc>
        <w:tc>
          <w:tcPr>
            <w:tcW w:w="2019" w:type="dxa"/>
            <w:vAlign w:val="bottom"/>
          </w:tcPr>
          <w:p w:rsidR="007443B5" w:rsidRPr="00CC7883" w:rsidRDefault="007443B5" w:rsidP="007443B5">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0,33</w:t>
            </w:r>
          </w:p>
        </w:tc>
      </w:tr>
      <w:tr w:rsidR="00360BBA" w:rsidRPr="00CC7883" w:rsidTr="001149B8">
        <w:tc>
          <w:tcPr>
            <w:tcW w:w="9464" w:type="dxa"/>
            <w:gridSpan w:val="6"/>
          </w:tcPr>
          <w:p w:rsidR="00360BBA" w:rsidRPr="00CC7883" w:rsidRDefault="001149B8"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 xml:space="preserve"> </w:t>
            </w:r>
            <w:r w:rsidR="00360BBA" w:rsidRPr="00CC7883">
              <w:rPr>
                <w:rFonts w:ascii="Times New Roman" w:eastAsia="SimSun" w:hAnsi="Times New Roman" w:cs="Times New Roman"/>
                <w:color w:val="000000" w:themeColor="text1"/>
                <w:kern w:val="0"/>
                <w:sz w:val="28"/>
                <w:szCs w:val="28"/>
              </w:rPr>
              <w:t>«Загрей»</w:t>
            </w:r>
          </w:p>
        </w:tc>
      </w:tr>
      <w:tr w:rsidR="00360BBA" w:rsidRPr="00CC7883" w:rsidTr="001149B8">
        <w:tc>
          <w:tcPr>
            <w:tcW w:w="1513" w:type="dxa"/>
          </w:tcPr>
          <w:p w:rsidR="00360BBA" w:rsidRPr="00CC7883" w:rsidRDefault="00360BBA" w:rsidP="00360BBA">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1</w:t>
            </w:r>
          </w:p>
        </w:tc>
        <w:tc>
          <w:tcPr>
            <w:tcW w:w="1443"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10,0</w:t>
            </w:r>
          </w:p>
        </w:tc>
        <w:tc>
          <w:tcPr>
            <w:tcW w:w="1534"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5,0</w:t>
            </w:r>
          </w:p>
        </w:tc>
        <w:tc>
          <w:tcPr>
            <w:tcW w:w="1420"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2,2</w:t>
            </w:r>
          </w:p>
        </w:tc>
        <w:tc>
          <w:tcPr>
            <w:tcW w:w="1535"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13,1</w:t>
            </w:r>
          </w:p>
        </w:tc>
        <w:tc>
          <w:tcPr>
            <w:tcW w:w="2019"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1,3</w:t>
            </w:r>
          </w:p>
        </w:tc>
      </w:tr>
      <w:tr w:rsidR="00360BBA" w:rsidRPr="00CC7883" w:rsidTr="001149B8">
        <w:tc>
          <w:tcPr>
            <w:tcW w:w="1513" w:type="dxa"/>
          </w:tcPr>
          <w:p w:rsidR="00360BBA" w:rsidRPr="00CC7883" w:rsidRDefault="00360BBA" w:rsidP="00360BBA">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2</w:t>
            </w:r>
          </w:p>
        </w:tc>
        <w:tc>
          <w:tcPr>
            <w:tcW w:w="1443"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9,9</w:t>
            </w:r>
          </w:p>
        </w:tc>
        <w:tc>
          <w:tcPr>
            <w:tcW w:w="1534"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4,7</w:t>
            </w:r>
          </w:p>
        </w:tc>
        <w:tc>
          <w:tcPr>
            <w:tcW w:w="1420"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2,3</w:t>
            </w:r>
          </w:p>
        </w:tc>
        <w:tc>
          <w:tcPr>
            <w:tcW w:w="1535"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12,7</w:t>
            </w:r>
          </w:p>
        </w:tc>
        <w:tc>
          <w:tcPr>
            <w:tcW w:w="2019"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1,3</w:t>
            </w:r>
          </w:p>
        </w:tc>
      </w:tr>
      <w:tr w:rsidR="00360BBA" w:rsidRPr="00CC7883" w:rsidTr="001149B8">
        <w:tc>
          <w:tcPr>
            <w:tcW w:w="1513" w:type="dxa"/>
          </w:tcPr>
          <w:p w:rsidR="00360BBA" w:rsidRPr="00CC7883" w:rsidRDefault="00360BBA" w:rsidP="00360BBA">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3</w:t>
            </w:r>
          </w:p>
        </w:tc>
        <w:tc>
          <w:tcPr>
            <w:tcW w:w="1443"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5,4</w:t>
            </w:r>
          </w:p>
        </w:tc>
        <w:tc>
          <w:tcPr>
            <w:tcW w:w="1534"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4,3</w:t>
            </w:r>
          </w:p>
        </w:tc>
        <w:tc>
          <w:tcPr>
            <w:tcW w:w="1420"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1,4</w:t>
            </w:r>
          </w:p>
        </w:tc>
        <w:tc>
          <w:tcPr>
            <w:tcW w:w="1535"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7,3</w:t>
            </w:r>
          </w:p>
        </w:tc>
        <w:tc>
          <w:tcPr>
            <w:tcW w:w="2019"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1,3</w:t>
            </w:r>
          </w:p>
        </w:tc>
      </w:tr>
      <w:tr w:rsidR="00360BBA" w:rsidRPr="00CC7883" w:rsidTr="001149B8">
        <w:tc>
          <w:tcPr>
            <w:tcW w:w="1513" w:type="dxa"/>
          </w:tcPr>
          <w:p w:rsidR="00360BBA" w:rsidRPr="00CC7883" w:rsidRDefault="00360BBA" w:rsidP="00360BBA">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4</w:t>
            </w:r>
          </w:p>
        </w:tc>
        <w:tc>
          <w:tcPr>
            <w:tcW w:w="1443"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4,9</w:t>
            </w:r>
          </w:p>
        </w:tc>
        <w:tc>
          <w:tcPr>
            <w:tcW w:w="1534"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4,0</w:t>
            </w:r>
          </w:p>
        </w:tc>
        <w:tc>
          <w:tcPr>
            <w:tcW w:w="1420"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2,0</w:t>
            </w:r>
          </w:p>
        </w:tc>
        <w:tc>
          <w:tcPr>
            <w:tcW w:w="1535"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10,2</w:t>
            </w:r>
          </w:p>
        </w:tc>
        <w:tc>
          <w:tcPr>
            <w:tcW w:w="2019"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2,1</w:t>
            </w:r>
          </w:p>
        </w:tc>
      </w:tr>
      <w:tr w:rsidR="00360BBA" w:rsidRPr="00CC7883" w:rsidTr="001149B8">
        <w:tc>
          <w:tcPr>
            <w:tcW w:w="1513" w:type="dxa"/>
          </w:tcPr>
          <w:p w:rsidR="00360BBA" w:rsidRPr="00CC7883" w:rsidRDefault="00360BBA" w:rsidP="00360BBA">
            <w:pPr>
              <w:widowControl w:val="0"/>
              <w:tabs>
                <w:tab w:val="left" w:pos="2940"/>
              </w:tabs>
              <w:spacing w:line="259" w:lineRule="auto"/>
              <w:rPr>
                <w:rFonts w:ascii="Times New Roman" w:eastAsia="SimSun"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sz w:val="28"/>
                <w:szCs w:val="28"/>
              </w:rPr>
              <w:t>5</w:t>
            </w:r>
          </w:p>
        </w:tc>
        <w:tc>
          <w:tcPr>
            <w:tcW w:w="1443"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5,3</w:t>
            </w:r>
          </w:p>
        </w:tc>
        <w:tc>
          <w:tcPr>
            <w:tcW w:w="1534"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4,0</w:t>
            </w:r>
          </w:p>
        </w:tc>
        <w:tc>
          <w:tcPr>
            <w:tcW w:w="1420"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2,2</w:t>
            </w:r>
          </w:p>
        </w:tc>
        <w:tc>
          <w:tcPr>
            <w:tcW w:w="1535"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2"/>
              </w:rPr>
              <w:t>11,2</w:t>
            </w:r>
          </w:p>
        </w:tc>
        <w:tc>
          <w:tcPr>
            <w:tcW w:w="2019"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2,1</w:t>
            </w:r>
          </w:p>
        </w:tc>
      </w:tr>
      <w:tr w:rsidR="00360BBA" w:rsidRPr="00CC7883" w:rsidTr="001149B8">
        <w:tc>
          <w:tcPr>
            <w:tcW w:w="1513" w:type="dxa"/>
          </w:tcPr>
          <w:p w:rsidR="00360BBA" w:rsidRPr="00CC7883" w:rsidRDefault="00360BBA" w:rsidP="00360BBA">
            <w:pPr>
              <w:widowControl w:val="0"/>
              <w:tabs>
                <w:tab w:val="left" w:pos="2940"/>
              </w:tabs>
              <w:spacing w:line="259" w:lineRule="auto"/>
              <w:rPr>
                <w:rFonts w:ascii="Times New Roman" w:eastAsia="SimSun"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43"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0,61</w:t>
            </w:r>
          </w:p>
        </w:tc>
        <w:tc>
          <w:tcPr>
            <w:tcW w:w="1534" w:type="dxa"/>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0,30</w:t>
            </w:r>
          </w:p>
        </w:tc>
        <w:tc>
          <w:tcPr>
            <w:tcW w:w="1420"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0,33</w:t>
            </w:r>
          </w:p>
        </w:tc>
        <w:tc>
          <w:tcPr>
            <w:tcW w:w="1535"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0,46</w:t>
            </w:r>
          </w:p>
        </w:tc>
        <w:tc>
          <w:tcPr>
            <w:tcW w:w="2019" w:type="dxa"/>
            <w:vAlign w:val="bottom"/>
          </w:tcPr>
          <w:p w:rsidR="00360BBA" w:rsidRPr="00CC7883" w:rsidRDefault="00360BBA" w:rsidP="00360BBA">
            <w:pPr>
              <w:widowControl w:val="0"/>
              <w:tabs>
                <w:tab w:val="left" w:pos="2940"/>
              </w:tabs>
              <w:spacing w:line="259" w:lineRule="auto"/>
              <w:jc w:val="center"/>
              <w:rPr>
                <w:rFonts w:ascii="Times New Roman" w:eastAsia="SimSun" w:hAnsi="Times New Roman" w:cs="Times New Roman"/>
                <w:color w:val="000000" w:themeColor="text1"/>
                <w:kern w:val="0"/>
                <w:sz w:val="28"/>
              </w:rPr>
            </w:pPr>
            <w:r w:rsidRPr="00CC7883">
              <w:rPr>
                <w:rFonts w:ascii="Times New Roman" w:eastAsia="SimSun" w:hAnsi="Times New Roman" w:cs="Times New Roman"/>
                <w:color w:val="000000" w:themeColor="text1"/>
                <w:kern w:val="0"/>
                <w:sz w:val="28"/>
              </w:rPr>
              <w:t>0,30</w:t>
            </w:r>
          </w:p>
        </w:tc>
      </w:tr>
    </w:tbl>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p>
    <w:p w:rsidR="00B21D35" w:rsidRPr="00CC7883" w:rsidRDefault="00B21D35" w:rsidP="00047411">
      <w:pPr>
        <w:widowControl w:val="0"/>
        <w:spacing w:after="0" w:line="360" w:lineRule="auto"/>
        <w:ind w:firstLine="708"/>
        <w:jc w:val="both"/>
        <w:rPr>
          <w:rFonts w:ascii="Times New Roman" w:eastAsia="SimSun" w:hAnsi="Times New Roman" w:cs="Times New Roman"/>
          <w:color w:val="000000" w:themeColor="text1"/>
          <w:sz w:val="28"/>
          <w:szCs w:val="28"/>
        </w:rPr>
      </w:pPr>
      <w:r w:rsidRPr="00CC7883">
        <w:rPr>
          <w:rFonts w:ascii="Times New Roman" w:eastAsia="SimSun" w:hAnsi="Times New Roman" w:cs="Times New Roman"/>
          <w:color w:val="000000" w:themeColor="text1"/>
          <w:sz w:val="28"/>
          <w:szCs w:val="28"/>
        </w:rPr>
        <w:t>Після культивування мікроклонів винограду підщепних сортів на поживному субстраті агроперліт їх висота зменшувалась порівняно з контрольною на 4,8–5,3 см або на 40,2–45,8 %; після культивування на поживному субстраті вермикуліт – на 7,7–8,1 см або на 66,8–68,3 %; після культивування на поживному субстраті агроперліт + вермикуліт – на 6,2–6,7</w:t>
      </w:r>
      <w:r w:rsidR="007443B5">
        <w:rPr>
          <w:rFonts w:ascii="Times New Roman" w:eastAsia="SimSun" w:hAnsi="Times New Roman" w:cs="Times New Roman"/>
          <w:color w:val="000000" w:themeColor="text1"/>
          <w:sz w:val="28"/>
          <w:szCs w:val="28"/>
        </w:rPr>
        <w:t> </w:t>
      </w:r>
      <w:r w:rsidRPr="00CC7883">
        <w:rPr>
          <w:rFonts w:ascii="Times New Roman" w:eastAsia="SimSun" w:hAnsi="Times New Roman" w:cs="Times New Roman"/>
          <w:color w:val="000000" w:themeColor="text1"/>
          <w:sz w:val="28"/>
          <w:szCs w:val="28"/>
        </w:rPr>
        <w:t>см або на 54,0–56,7 % (</w:t>
      </w:r>
      <w:r w:rsidR="00DC4415" w:rsidRPr="00CC7883">
        <w:rPr>
          <w:rFonts w:ascii="Times New Roman" w:hAnsi="Times New Roman" w:cs="Times New Roman"/>
          <w:color w:val="000000" w:themeColor="text1"/>
          <w:sz w:val="28"/>
          <w:szCs w:val="28"/>
        </w:rPr>
        <w:t xml:space="preserve">табл. </w:t>
      </w:r>
      <w:r w:rsidRPr="00CC7883">
        <w:rPr>
          <w:rFonts w:ascii="Times New Roman" w:eastAsia="SimSun" w:hAnsi="Times New Roman" w:cs="Times New Roman"/>
          <w:color w:val="000000" w:themeColor="text1"/>
          <w:sz w:val="28"/>
          <w:szCs w:val="28"/>
        </w:rPr>
        <w:t>4.2).</w:t>
      </w:r>
    </w:p>
    <w:p w:rsidR="00B21D35" w:rsidRPr="00CC7883" w:rsidRDefault="00B21D35"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Аналіз цього показника у мікроклонів технічних сортів винограду також вказує на перевагу в контрольних варіантах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4.5).</w:t>
      </w:r>
    </w:p>
    <w:p w:rsidR="00B21D35" w:rsidRPr="00CC7883" w:rsidRDefault="00B21D35"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Після культивування мікроклонів винограду технічних сортів на поживному субстраті агроперліт їх висота зменшувалась порівняно з контрольною на 4,1–4,5 см або на 40,8–45,3 %; після культивування на поживному субстраті вермикуліт – на 5,0–6,3 см або на 50,7–63,0 %; після культивування на поживному субстраті агроперліт + вермикуліт – на 4,6–6,5</w:t>
      </w:r>
      <w:r w:rsidR="007443B5">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см або на 46,3–65,2 %.</w:t>
      </w:r>
    </w:p>
    <w:p w:rsidR="00B21D35" w:rsidRPr="00CC7883" w:rsidRDefault="00B21D35"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Кількість листкових пластинок у мікроклонів підщепних сортів винограду варіювала залежно від використаного поживного середовища та субстрату. У рослин контрольних варіантів кількість листків була найбільшою (6,4–7,0 шт., 6,0–7,0 шт.).</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sz w:val="28"/>
          <w:szCs w:val="28"/>
          <w:lang w:val="ru-RU" w:eastAsia="ru-RU"/>
        </w:rPr>
        <w:lastRenderedPageBreak/>
        <w:drawing>
          <wp:inline distT="0" distB="0" distL="0" distR="0">
            <wp:extent cx="3282126" cy="2071007"/>
            <wp:effectExtent l="19050" t="19050" r="13970" b="24765"/>
            <wp:docPr id="341957425" name="Рисунок 11" descr="Зображення, що містить ваза, у приміщенні, вазон, пляш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957425" name="Рисунок 11" descr="Зображення, що містить ваза, у приміщенні, вазон, пляшка&#10;&#10;Автоматично згенерований опис"/>
                    <pic:cNvPicPr preferRelativeResize="0">
                      <a:picLocks noChangeAspect="1" noChangeArrowheads="1"/>
                    </pic:cNvPicPr>
                  </pic:nvPicPr>
                  <pic:blipFill rotWithShape="1">
                    <a:blip r:embed="rId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4715" t="5101"/>
                    <a:stretch>
                      <a:fillRect/>
                    </a:stretch>
                  </pic:blipFill>
                  <pic:spPr bwMode="auto">
                    <a:xfrm>
                      <a:off x="0" y="0"/>
                      <a:ext cx="3316029" cy="2092399"/>
                    </a:xfrm>
                    <a:prstGeom prst="rect">
                      <a:avLst/>
                    </a:prstGeom>
                    <a:noFill/>
                    <a:ln w="9525" cap="flat" cmpd="sng" algn="ctr">
                      <a:solidFill>
                        <a:srgbClr val="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І</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sz w:val="28"/>
          <w:szCs w:val="28"/>
          <w:lang w:val="ru-RU" w:eastAsia="ru-RU"/>
        </w:rPr>
        <w:drawing>
          <wp:inline distT="0" distB="0" distL="0" distR="0">
            <wp:extent cx="3422655" cy="2308576"/>
            <wp:effectExtent l="19050" t="19050" r="25400" b="15875"/>
            <wp:docPr id="459989527" name="Рисунок 17" descr="Зображення, що містить Банка, Контейнери для зберігання продуктів, у приміщенні, Консервована їж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989527" name="Рисунок 17" descr="Зображення, що містить Банка, Контейнери для зберігання продуктів, у приміщенні, Консервована їжа&#10;&#10;Автоматично згенерований опис"/>
                    <pic:cNvPicPr>
                      <a:picLocks noChangeAspect="1" noChangeArrowheads="1"/>
                    </pic:cNvPicPr>
                  </pic:nvPicPr>
                  <pic:blipFill>
                    <a:blip r:embed="rId6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55414" cy="2398122"/>
                    </a:xfrm>
                    <a:prstGeom prst="rect">
                      <a:avLst/>
                    </a:prstGeom>
                    <a:noFill/>
                    <a:ln>
                      <a:solidFill>
                        <a:srgbClr val="000000"/>
                      </a:solidFill>
                    </a:ln>
                  </pic:spPr>
                </pic:pic>
              </a:graphicData>
            </a:graphic>
          </wp:inline>
        </w:drawing>
      </w:r>
      <w:r w:rsidRPr="00CC7883">
        <w:rPr>
          <w:rFonts w:ascii="Times New Roman" w:eastAsia="NSimSun" w:hAnsi="Times New Roman" w:cs="Times New Roman"/>
          <w:noProof/>
          <w:color w:val="000000" w:themeColor="text1"/>
          <w:kern w:val="3"/>
          <w:lang w:val="ru-RU" w:eastAsia="ru-RU"/>
        </w:rPr>
        <w:drawing>
          <wp:inline distT="0" distB="0" distL="0" distR="0">
            <wp:extent cx="2418785" cy="2331720"/>
            <wp:effectExtent l="19050" t="19050" r="635" b="0"/>
            <wp:docPr id="1692058707" name="Рисунок 1" descr="Зображення, що містить у приміщенні, Банка, Контейнери для зберігання продуктів, акваріум&#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058707" name="Рисунок 1" descr="Зображення, що містить у приміщенні, Банка, Контейнери для зберігання продуктів, акваріум&#10;&#10;Автоматично згенерований опис"/>
                    <pic:cNvPicPr/>
                  </pic:nvPicPr>
                  <pic:blipFill>
                    <a:blip r:embed="rId68" cstate="print"/>
                    <a:stretch>
                      <a:fillRect/>
                    </a:stretch>
                  </pic:blipFill>
                  <pic:spPr>
                    <a:xfrm>
                      <a:off x="0" y="0"/>
                      <a:ext cx="2486601" cy="2397095"/>
                    </a:xfrm>
                    <a:prstGeom prst="rect">
                      <a:avLst/>
                    </a:prstGeom>
                    <a:ln>
                      <a:solidFill>
                        <a:srgbClr val="000000"/>
                      </a:solidFill>
                    </a:ln>
                  </pic:spPr>
                </pic:pic>
              </a:graphicData>
            </a:graphic>
          </wp:inline>
        </w:drawing>
      </w:r>
    </w:p>
    <w:p w:rsidR="008A4327" w:rsidRPr="00CC7883" w:rsidRDefault="008A4327" w:rsidP="00047411">
      <w:pPr>
        <w:widowControl w:val="0"/>
        <w:autoSpaceDN w:val="0"/>
        <w:spacing w:after="0" w:line="360" w:lineRule="auto"/>
        <w:ind w:left="1416" w:firstLine="708"/>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        ІІ</w:t>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t xml:space="preserve">                        ІІІ</w:t>
      </w:r>
    </w:p>
    <w:p w:rsidR="008A4327" w:rsidRPr="00CC7883" w:rsidRDefault="008A4327" w:rsidP="00047411">
      <w:pPr>
        <w:widowControl w:val="0"/>
        <w:autoSpaceDN w:val="0"/>
        <w:spacing w:after="0" w:line="360" w:lineRule="auto"/>
        <w:ind w:left="2124" w:firstLine="708"/>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sz w:val="28"/>
          <w:szCs w:val="28"/>
          <w:lang w:val="ru-RU" w:eastAsia="ru-RU"/>
        </w:rPr>
        <w:drawing>
          <wp:inline distT="0" distB="0" distL="0" distR="0">
            <wp:extent cx="2259388" cy="2315194"/>
            <wp:effectExtent l="19050" t="19050" r="26670" b="28575"/>
            <wp:docPr id="642114574" name="Рисунок 1" descr="Зображення, що містить Банка, Контейнери для зберігання продуктів, у приміщенні, ємність&#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2114574" name="Рисунок 1" descr="Зображення, що містить Банка, Контейнери для зберігання продуктів, у приміщенні, ємність&#10;&#10;Автоматично згенерований опис"/>
                    <pic:cNvPicPr preferRelativeResize="0">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74063" cy="2330231"/>
                    </a:xfrm>
                    <a:prstGeom prst="rect">
                      <a:avLst/>
                    </a:prstGeom>
                    <a:noFill/>
                    <a:ln>
                      <a:solidFill>
                        <a:srgbClr val="000000"/>
                      </a:solidFill>
                    </a:ln>
                  </pic:spPr>
                </pic:pic>
              </a:graphicData>
            </a:graphic>
          </wp:inline>
        </w:drawing>
      </w:r>
    </w:p>
    <w:p w:rsidR="008A4327" w:rsidRPr="00CC7883" w:rsidRDefault="008A4327" w:rsidP="00047411">
      <w:pPr>
        <w:widowControl w:val="0"/>
        <w:autoSpaceDN w:val="0"/>
        <w:spacing w:after="0" w:line="360" w:lineRule="auto"/>
        <w:ind w:left="708" w:firstLine="708"/>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00B21D35" w:rsidRPr="00CC7883">
        <w:rPr>
          <w:rFonts w:ascii="Times New Roman" w:eastAsia="NSimSun" w:hAnsi="Times New Roman" w:cs="Times New Roman"/>
          <w:color w:val="000000" w:themeColor="text1"/>
          <w:kern w:val="3"/>
          <w:sz w:val="28"/>
          <w:szCs w:val="28"/>
        </w:rPr>
        <w:tab/>
        <w:t xml:space="preserve">    </w:t>
      </w:r>
      <w:r w:rsidRPr="00CC7883">
        <w:rPr>
          <w:rFonts w:ascii="Times New Roman" w:eastAsia="NSimSun" w:hAnsi="Times New Roman" w:cs="Times New Roman"/>
          <w:color w:val="000000" w:themeColor="text1"/>
          <w:kern w:val="3"/>
          <w:sz w:val="28"/>
          <w:szCs w:val="28"/>
        </w:rPr>
        <w:t>IV</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bookmarkStart w:id="42" w:name="_Hlk155805392"/>
      <w:r w:rsidRPr="00CC7883">
        <w:rPr>
          <w:rFonts w:ascii="Times New Roman" w:eastAsia="NSimSun" w:hAnsi="Times New Roman" w:cs="Times New Roman"/>
          <w:color w:val="000000" w:themeColor="text1"/>
          <w:kern w:val="3"/>
          <w:sz w:val="28"/>
          <w:szCs w:val="28"/>
        </w:rPr>
        <w:t>Рис. 4.4. Розвиток мікроклонів підщепних сортів винограду через 60 діб культивування</w:t>
      </w:r>
    </w:p>
    <w:bookmarkEnd w:id="42"/>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І – контроль; ІІ – агроперліт; ІІІ – вермикуліт; ІV – агроперліт + вермикуліт</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sz w:val="28"/>
          <w:szCs w:val="28"/>
          <w:lang w:val="ru-RU" w:eastAsia="ru-RU"/>
        </w:rPr>
        <w:lastRenderedPageBreak/>
        <w:drawing>
          <wp:inline distT="0" distB="0" distL="0" distR="0">
            <wp:extent cx="3070688" cy="2166010"/>
            <wp:effectExtent l="19050" t="19050" r="15875" b="24765"/>
            <wp:docPr id="1422528341" name="Рисунок 13" descr="Зображення, що містить ваза, у приміщенні, пляшка, ємність&#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528341" name="Рисунок 13" descr="Зображення, що містить ваза, у приміщенні, пляшка, ємність&#10;&#10;Автоматично згенерований опис"/>
                    <pic:cNvPicPr preferRelativeResize="0">
                      <a:picLocks noChangeAspect="1" noChangeArrowheads="1"/>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89330" cy="2179160"/>
                    </a:xfrm>
                    <a:prstGeom prst="rect">
                      <a:avLst/>
                    </a:prstGeom>
                    <a:noFill/>
                    <a:ln>
                      <a:solidFill>
                        <a:srgbClr val="000000"/>
                      </a:solidFill>
                    </a:ln>
                  </pic:spPr>
                </pic:pic>
              </a:graphicData>
            </a:graphic>
          </wp:inline>
        </w:drawing>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І</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lang w:val="ru-RU" w:eastAsia="ru-RU"/>
        </w:rPr>
        <w:drawing>
          <wp:inline distT="0" distB="0" distL="0" distR="0">
            <wp:extent cx="3434121" cy="2230943"/>
            <wp:effectExtent l="19050" t="19050" r="13970" b="17145"/>
            <wp:docPr id="278041897" name="Рисунок 1" descr="Зображення, що містить Банка, Контейнери для зберігання продуктів, у приміщенні, криш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descr="Зображення, що містить Банка, Контейнери для зберігання продуктів, у приміщенні, кришка&#10;&#10;Автоматично згенерований опис"/>
                    <pic:cNvPicPr preferRelativeResize="0">
                      <a:picLocks noChangeAspect="1" noChangeArrowheads="1"/>
                    </pic:cNvPicPr>
                  </pic:nvPicPr>
                  <pic:blipFill>
                    <a:blip r:embed="rId7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46081" cy="2238713"/>
                    </a:xfrm>
                    <a:prstGeom prst="rect">
                      <a:avLst/>
                    </a:prstGeom>
                    <a:noFill/>
                    <a:ln>
                      <a:solidFill>
                        <a:srgbClr val="000000"/>
                      </a:solidFill>
                    </a:ln>
                  </pic:spPr>
                </pic:pic>
              </a:graphicData>
            </a:graphic>
          </wp:inline>
        </w:drawing>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  ІІ   </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sz w:val="28"/>
          <w:szCs w:val="28"/>
          <w:lang w:val="ru-RU" w:eastAsia="ru-RU"/>
        </w:rPr>
        <w:drawing>
          <wp:inline distT="0" distB="0" distL="0" distR="0">
            <wp:extent cx="2818800" cy="2520000"/>
            <wp:effectExtent l="19050" t="19050" r="635" b="0"/>
            <wp:docPr id="2091126685" name="Рисунок 19" descr="Зображення, що містить у приміщенні, Банка, рослина, Контейнери для зберігання продуктів&#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126685" name="Рисунок 19" descr="Зображення, що містить у приміщенні, Банка, рослина, Контейнери для зберігання продуктів&#10;&#10;Автоматично згенерований опис"/>
                    <pic:cNvPicPr preferRelativeResize="0">
                      <a:picLocks noChangeAspect="1" noChangeArrowheads="1"/>
                    </pic:cNvPicPr>
                  </pic:nvPicPr>
                  <pic:blipFill>
                    <a:blip r:embed="rId7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18800" cy="2520000"/>
                    </a:xfrm>
                    <a:prstGeom prst="rect">
                      <a:avLst/>
                    </a:prstGeom>
                    <a:noFill/>
                    <a:ln>
                      <a:solidFill>
                        <a:srgbClr val="000000"/>
                      </a:solidFill>
                    </a:ln>
                  </pic:spPr>
                </pic:pic>
              </a:graphicData>
            </a:graphic>
          </wp:inline>
        </w:drawing>
      </w:r>
      <w:r w:rsidRPr="00CC7883">
        <w:rPr>
          <w:rFonts w:ascii="Times New Roman" w:eastAsia="NSimSun" w:hAnsi="Times New Roman" w:cs="Times New Roman"/>
          <w:bCs/>
          <w:noProof/>
          <w:color w:val="000000" w:themeColor="text1"/>
          <w:kern w:val="3"/>
          <w:sz w:val="28"/>
          <w:szCs w:val="28"/>
          <w:lang w:val="ru-RU" w:eastAsia="ru-RU"/>
        </w:rPr>
        <w:drawing>
          <wp:inline distT="0" distB="0" distL="0" distR="0">
            <wp:extent cx="2638800" cy="2520000"/>
            <wp:effectExtent l="19050" t="19050" r="9525" b="0"/>
            <wp:docPr id="1379208954" name="Рисунок 20" descr="Зображення, що містить Банка, Контейнери для зберігання продуктів, у приміщенні, криш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208954" name="Рисунок 20" descr="Зображення, що містить Банка, Контейнери для зберігання продуктів, у приміщенні, кришка&#10;&#10;Автоматично згенерований опис"/>
                    <pic:cNvPicPr preferRelativeResize="0">
                      <a:picLocks noChangeAspect="1" noChangeArrowheads="1"/>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8800" cy="2520000"/>
                    </a:xfrm>
                    <a:prstGeom prst="rect">
                      <a:avLst/>
                    </a:prstGeom>
                    <a:noFill/>
                    <a:ln>
                      <a:solidFill>
                        <a:srgbClr val="000000"/>
                      </a:solidFill>
                    </a:ln>
                  </pic:spPr>
                </pic:pic>
              </a:graphicData>
            </a:graphic>
          </wp:inline>
        </w:drawing>
      </w:r>
    </w:p>
    <w:p w:rsidR="008A4327" w:rsidRPr="00CC7883" w:rsidRDefault="008A4327" w:rsidP="00047411">
      <w:pPr>
        <w:widowControl w:val="0"/>
        <w:autoSpaceDN w:val="0"/>
        <w:spacing w:after="0" w:line="360" w:lineRule="auto"/>
        <w:ind w:firstLine="708"/>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t xml:space="preserve">     ІІІ </w:t>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t xml:space="preserve">         ІV</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Рис. 4.5. Розвиток мікроклонів технічних сортів винограду через 60 діб культивування</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І – контроль; ІІ – агроперліт; ІІІ – вермикуліт; ІV – агроперліт + вермикуліт</w:t>
      </w:r>
    </w:p>
    <w:p w:rsidR="00B21D35" w:rsidRPr="00CC7883" w:rsidRDefault="00B21D35"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lastRenderedPageBreak/>
        <w:t>У сортів «Добриня» і «Гарант», які культивували на мінеральному субстраті агроперліт, кількість листкових пластинок дорівнювала 5,5 шт. для обох сортів; які культивували на поживному субстраті вермикуліт – 4,3–4,7</w:t>
      </w:r>
      <w:r w:rsidR="0026149E">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шт.; які культивували на поживному субстраті агроперліт + вермикуліт – відповідно 5,8 шт. (</w:t>
      </w:r>
      <w:r w:rsidR="00DC4415" w:rsidRPr="00CC7883">
        <w:rPr>
          <w:rFonts w:ascii="Times New Roman" w:hAnsi="Times New Roman" w:cs="Times New Roman"/>
          <w:color w:val="000000" w:themeColor="text1"/>
          <w:sz w:val="28"/>
          <w:szCs w:val="28"/>
        </w:rPr>
        <w:t xml:space="preserve">табл. </w:t>
      </w:r>
      <w:r w:rsidRPr="00CC7883">
        <w:rPr>
          <w:rFonts w:ascii="Times New Roman" w:eastAsia="NSimSun" w:hAnsi="Times New Roman" w:cs="Times New Roman"/>
          <w:color w:val="000000" w:themeColor="text1"/>
          <w:kern w:val="3"/>
          <w:sz w:val="28"/>
          <w:szCs w:val="28"/>
        </w:rPr>
        <w:t>4.2).</w:t>
      </w:r>
    </w:p>
    <w:p w:rsidR="00B21D35" w:rsidRPr="00CC7883" w:rsidRDefault="00B21D35"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мікроклонів винограду технічних сортів «Ярило» і «Загрей» кількість листків знаходилась на рівні контрольних значень. </w:t>
      </w:r>
    </w:p>
    <w:p w:rsidR="00B21D35" w:rsidRPr="00CC7883" w:rsidRDefault="00B21D35"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Площа листкових пластинок мікроклонів підщепних сортів винограду після культивування на різних субстратах варіювала від 1,4 см² до 2,6 см² і від 1,7 см² до 2,3 см² (третій–п’ятий варіанти), порівняно з контрольними значеннями відзначали зменшення на 31,3–40,7 % («Добриня») і 4,6–31,1 % («Гарант»).</w:t>
      </w:r>
    </w:p>
    <w:p w:rsidR="008A4327" w:rsidRPr="00CC7883" w:rsidRDefault="008A4327"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bCs/>
          <w:color w:val="000000" w:themeColor="text1"/>
          <w:kern w:val="3"/>
          <w:sz w:val="28"/>
          <w:szCs w:val="28"/>
        </w:rPr>
        <w:t>Водночас у рослин п’ятого варіанту сорту «Добриня» вона збільшувалася на 11,4 %.</w:t>
      </w:r>
      <w:r w:rsidRPr="00CC7883">
        <w:rPr>
          <w:rFonts w:ascii="Times New Roman" w:eastAsia="NSimSun" w:hAnsi="Times New Roman" w:cs="Times New Roman"/>
          <w:color w:val="000000" w:themeColor="text1"/>
          <w:kern w:val="3"/>
          <w:sz w:val="28"/>
          <w:szCs w:val="28"/>
        </w:rPr>
        <w:t xml:space="preserve"> Площа листкових пластинок мікроклонів технічних сортів винограду на вказаних субстратах варіювала від 1,8 до 2,3 см² та від 1,4 см² до 2,2 см². Порівняно з контрольними значеннями відзначали зменшення на 15,6–19,9 % і 7,8–38,4 % (третій–четвертий варіанти) та збільшення на 0,8</w:t>
      </w:r>
      <w:r w:rsidR="005216C4"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і 5,0 % (п’ятий варіант). </w:t>
      </w:r>
    </w:p>
    <w:p w:rsidR="008A4327" w:rsidRPr="00CC7883" w:rsidRDefault="008A4327"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Подібну закономірність було встановлено і за показником площі листкової поверхні. У рослин дослідних варіантів підщепних сортів площа листкової поверхні дорівнювала 8,7–15,0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і 7,7–13,4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що на 15,8–66,7 % та 26,5–57,5 % було нижче за контрольні показники; для технічних сортів – 8,7–10,8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та 7,3–11,2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NSimSun" w:hAnsi="Times New Roman" w:cs="Times New Roman"/>
          <w:color w:val="000000" w:themeColor="text1"/>
          <w:kern w:val="3"/>
          <w:sz w:val="28"/>
          <w:szCs w:val="28"/>
        </w:rPr>
        <w:t xml:space="preserve"> і було менше </w:t>
      </w:r>
      <w:r w:rsidR="001072A1">
        <w:rPr>
          <w:rFonts w:ascii="Times New Roman" w:eastAsia="NSimSun" w:hAnsi="Times New Roman" w:cs="Times New Roman"/>
          <w:color w:val="000000" w:themeColor="text1"/>
          <w:kern w:val="3"/>
          <w:sz w:val="28"/>
          <w:szCs w:val="28"/>
        </w:rPr>
        <w:t xml:space="preserve">за </w:t>
      </w:r>
      <w:r w:rsidRPr="00CC7883">
        <w:rPr>
          <w:rFonts w:ascii="Times New Roman" w:eastAsia="NSimSun" w:hAnsi="Times New Roman" w:cs="Times New Roman"/>
          <w:color w:val="000000" w:themeColor="text1"/>
          <w:kern w:val="3"/>
          <w:sz w:val="28"/>
          <w:szCs w:val="28"/>
        </w:rPr>
        <w:t>контрол</w:t>
      </w:r>
      <w:r w:rsidR="001072A1">
        <w:rPr>
          <w:rFonts w:ascii="Times New Roman" w:eastAsia="NSimSun" w:hAnsi="Times New Roman" w:cs="Times New Roman"/>
          <w:color w:val="000000" w:themeColor="text1"/>
          <w:kern w:val="3"/>
          <w:sz w:val="28"/>
          <w:szCs w:val="28"/>
        </w:rPr>
        <w:t>ь</w:t>
      </w:r>
      <w:r w:rsidRPr="00CC7883">
        <w:rPr>
          <w:rFonts w:ascii="Times New Roman" w:eastAsia="NSimSun" w:hAnsi="Times New Roman" w:cs="Times New Roman"/>
          <w:color w:val="000000" w:themeColor="text1"/>
          <w:kern w:val="3"/>
          <w:sz w:val="28"/>
          <w:szCs w:val="28"/>
        </w:rPr>
        <w:t xml:space="preserve"> на 21,8–37,2</w:t>
      </w:r>
      <w:r w:rsidR="000F31F4" w:rsidRPr="00CC7883">
        <w:rPr>
          <w:color w:val="000000" w:themeColor="text1"/>
        </w:rPr>
        <w:t> </w:t>
      </w:r>
      <w:r w:rsidRPr="00CC7883">
        <w:rPr>
          <w:rFonts w:ascii="Times New Roman" w:eastAsia="NSimSun" w:hAnsi="Times New Roman" w:cs="Times New Roman"/>
          <w:color w:val="000000" w:themeColor="text1"/>
          <w:kern w:val="3"/>
          <w:sz w:val="28"/>
          <w:szCs w:val="28"/>
        </w:rPr>
        <w:t>% і 13,6–43,6 % (</w:t>
      </w:r>
      <w:r w:rsidR="00DC4415" w:rsidRPr="00CC7883">
        <w:rPr>
          <w:rFonts w:ascii="Times New Roman" w:hAnsi="Times New Roman" w:cs="Times New Roman"/>
          <w:color w:val="000000" w:themeColor="text1"/>
          <w:sz w:val="28"/>
          <w:szCs w:val="28"/>
        </w:rPr>
        <w:t xml:space="preserve">табл. </w:t>
      </w:r>
      <w:r w:rsidRPr="00CC7883">
        <w:rPr>
          <w:rFonts w:ascii="Times New Roman" w:eastAsia="NSimSun" w:hAnsi="Times New Roman" w:cs="Times New Roman"/>
          <w:color w:val="000000" w:themeColor="text1"/>
          <w:kern w:val="3"/>
          <w:sz w:val="28"/>
          <w:szCs w:val="28"/>
        </w:rPr>
        <w:t>4.2).</w:t>
      </w:r>
    </w:p>
    <w:p w:rsidR="008A4327" w:rsidRPr="00CC7883" w:rsidRDefault="008A4327"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ході дослідження було встановлено, що облистяність мікроклонів підщепних та технічних сортів винограду, культивованих </w:t>
      </w:r>
      <w:r w:rsidRPr="00CC7883">
        <w:rPr>
          <w:rFonts w:ascii="Times New Roman" w:eastAsia="NSimSun" w:hAnsi="Times New Roman" w:cs="Times New Roman"/>
          <w:i/>
          <w:iCs/>
          <w:color w:val="000000" w:themeColor="text1"/>
          <w:kern w:val="3"/>
          <w:sz w:val="28"/>
          <w:szCs w:val="28"/>
        </w:rPr>
        <w:t>in vitro</w:t>
      </w:r>
      <w:r w:rsidRPr="00CC7883">
        <w:rPr>
          <w:rFonts w:ascii="Times New Roman" w:eastAsia="NSimSun" w:hAnsi="Times New Roman" w:cs="Times New Roman"/>
          <w:color w:val="000000" w:themeColor="text1"/>
          <w:kern w:val="3"/>
          <w:sz w:val="28"/>
          <w:szCs w:val="28"/>
        </w:rPr>
        <w:t xml:space="preserve"> на різних мінеральних субстратах, відрізнялася від контрольних значень. Зокрема, у рослин дослідних варіантів облистяність дорівнювала 1,2–2,9 дм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/м і 1,5–2,5</w:t>
      </w:r>
      <w:r w:rsidR="007443B5">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дм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/м (підщепні сорти) та 1,6–3,1 дм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/м і 1,3–2,1 дм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/м (технічні сорти); у контрольних рослин цей показник дорівнював відповідно 1,5–1,7 дм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 xml:space="preserve">/м </w:t>
      </w:r>
      <w:r w:rsidRPr="00CC7883">
        <w:rPr>
          <w:rFonts w:ascii="Times New Roman" w:eastAsia="NSimSun" w:hAnsi="Times New Roman" w:cs="Times New Roman"/>
          <w:color w:val="000000" w:themeColor="text1"/>
          <w:kern w:val="3"/>
          <w:sz w:val="28"/>
          <w:szCs w:val="28"/>
        </w:rPr>
        <w:lastRenderedPageBreak/>
        <w:t>(підщепні сорти) та 1,3–1,4 дм</w:t>
      </w:r>
      <w:r w:rsidRPr="00CC7883">
        <w:rPr>
          <w:rFonts w:ascii="Times New Roman" w:eastAsia="NSimSun" w:hAnsi="Times New Roman" w:cs="Times New Roman"/>
          <w:color w:val="000000" w:themeColor="text1"/>
          <w:kern w:val="3"/>
          <w:sz w:val="28"/>
          <w:szCs w:val="28"/>
          <w:vertAlign w:val="superscript"/>
        </w:rPr>
        <w:t>2</w:t>
      </w:r>
      <w:r w:rsidRPr="00CC7883">
        <w:rPr>
          <w:rFonts w:ascii="Times New Roman" w:eastAsia="NSimSun" w:hAnsi="Times New Roman" w:cs="Times New Roman"/>
          <w:color w:val="000000" w:themeColor="text1"/>
          <w:kern w:val="3"/>
          <w:sz w:val="28"/>
          <w:szCs w:val="28"/>
        </w:rPr>
        <w:t>/м (технічні сорти) (</w:t>
      </w:r>
      <w:r w:rsidR="00DC4415" w:rsidRPr="00CC7883">
        <w:rPr>
          <w:rFonts w:ascii="Times New Roman" w:hAnsi="Times New Roman" w:cs="Times New Roman"/>
          <w:color w:val="000000" w:themeColor="text1"/>
          <w:sz w:val="28"/>
          <w:szCs w:val="28"/>
        </w:rPr>
        <w:t xml:space="preserve">табл. </w:t>
      </w:r>
      <w:r w:rsidRPr="00CC7883">
        <w:rPr>
          <w:rFonts w:ascii="Times New Roman" w:eastAsia="NSimSun" w:hAnsi="Times New Roman" w:cs="Times New Roman"/>
          <w:color w:val="000000" w:themeColor="text1"/>
          <w:kern w:val="3"/>
          <w:sz w:val="28"/>
          <w:szCs w:val="28"/>
        </w:rPr>
        <w:t>4.2).</w:t>
      </w:r>
      <w:r w:rsidR="00B14793"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Порівняно з контрольними показниками ці значення збільшувались для мікроклонів винограду четвертого і п’ятого варіантів сортів «Добриня» і «Гарант» на 5,0–28,1 % і 60,2–94,4 %, але зменшувались у третьому варіанті – на 3,9–18,1 %. Для сортів «Ярило» і «Загрей» при порівнянні з контролями у рослин</w:t>
      </w:r>
      <w:r w:rsidR="00056A9A">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культивованих на агроперліті, вермикуліті і їх суміші показники збільшувались на 3,1–15,2 %, 60,3–69,6 %, 61,0–124,6 %.</w:t>
      </w:r>
    </w:p>
    <w:bookmarkEnd w:id="41"/>
    <w:p w:rsidR="008A4327" w:rsidRPr="00CC7883" w:rsidRDefault="008A4327" w:rsidP="00047411">
      <w:pPr>
        <w:widowControl w:val="0"/>
        <w:spacing w:after="0" w:line="360" w:lineRule="auto"/>
        <w:ind w:firstLine="708"/>
        <w:jc w:val="both"/>
        <w:rPr>
          <w:rFonts w:ascii="Times New Roman" w:eastAsia="NSimSun" w:hAnsi="Times New Roman" w:cs="Times New Roman"/>
          <w:color w:val="000000" w:themeColor="text1"/>
          <w:kern w:val="3"/>
          <w:sz w:val="28"/>
          <w:szCs w:val="28"/>
        </w:rPr>
      </w:pPr>
    </w:p>
    <w:p w:rsidR="008A4327" w:rsidRPr="00CC7883" w:rsidRDefault="008A4327" w:rsidP="00047411">
      <w:pPr>
        <w:widowControl w:val="0"/>
        <w:spacing w:after="0" w:line="360" w:lineRule="auto"/>
        <w:ind w:firstLine="709"/>
        <w:jc w:val="both"/>
        <w:outlineLvl w:val="1"/>
        <w:rPr>
          <w:rFonts w:ascii="Times New Roman" w:eastAsia="SimSun" w:hAnsi="Times New Roman" w:cs="Times New Roman"/>
          <w:b/>
          <w:bCs/>
          <w:color w:val="000000" w:themeColor="text1"/>
          <w:kern w:val="0"/>
          <w:sz w:val="28"/>
          <w:szCs w:val="28"/>
        </w:rPr>
      </w:pPr>
      <w:bookmarkStart w:id="43" w:name="_Toc220058939"/>
      <w:r w:rsidRPr="00CC7883">
        <w:rPr>
          <w:rFonts w:ascii="Times New Roman" w:eastAsia="SimSun" w:hAnsi="Times New Roman" w:cs="Times New Roman"/>
          <w:b/>
          <w:bCs/>
          <w:color w:val="000000" w:themeColor="text1"/>
          <w:kern w:val="0"/>
          <w:sz w:val="28"/>
          <w:szCs w:val="28"/>
        </w:rPr>
        <w:t>4.2. Коренева система</w:t>
      </w:r>
      <w:bookmarkEnd w:id="43"/>
    </w:p>
    <w:p w:rsidR="008A4327" w:rsidRPr="00CC7883" w:rsidRDefault="008A4327" w:rsidP="00047411">
      <w:pPr>
        <w:widowControl w:val="0"/>
        <w:spacing w:after="0" w:line="360" w:lineRule="auto"/>
        <w:ind w:firstLine="708"/>
        <w:jc w:val="both"/>
        <w:rPr>
          <w:rFonts w:ascii="Times New Roman" w:eastAsia="SimSun" w:hAnsi="Times New Roman" w:cs="Times New Roman"/>
          <w:b/>
          <w:bCs/>
          <w:color w:val="000000" w:themeColor="text1"/>
          <w:kern w:val="0"/>
          <w:sz w:val="28"/>
          <w:szCs w:val="28"/>
        </w:rPr>
      </w:pP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i/>
          <w:iCs/>
          <w:color w:val="000000" w:themeColor="text1"/>
          <w:kern w:val="3"/>
          <w:sz w:val="28"/>
          <w:szCs w:val="28"/>
        </w:rPr>
        <w:t>Поживні середовища</w:t>
      </w:r>
      <w:r w:rsidRPr="00CC7883">
        <w:rPr>
          <w:rFonts w:ascii="Times New Roman" w:eastAsia="NSimSun" w:hAnsi="Times New Roman" w:cs="Times New Roman"/>
          <w:color w:val="000000" w:themeColor="text1"/>
          <w:kern w:val="3"/>
          <w:sz w:val="28"/>
          <w:szCs w:val="28"/>
        </w:rPr>
        <w:t xml:space="preserve">. Відомо, що коренева система, сформована </w:t>
      </w:r>
      <w:r w:rsidRPr="00CC7883">
        <w:rPr>
          <w:rFonts w:ascii="Times New Roman" w:eastAsia="NSimSun" w:hAnsi="Times New Roman" w:cs="Times New Roman"/>
          <w:i/>
          <w:color w:val="000000" w:themeColor="text1"/>
          <w:kern w:val="3"/>
          <w:sz w:val="28"/>
          <w:szCs w:val="28"/>
        </w:rPr>
        <w:t>in vitro</w:t>
      </w:r>
      <w:r w:rsidRPr="00CC7883">
        <w:rPr>
          <w:rFonts w:ascii="Times New Roman" w:eastAsia="NSimSun" w:hAnsi="Times New Roman" w:cs="Times New Roman"/>
          <w:color w:val="000000" w:themeColor="text1"/>
          <w:kern w:val="3"/>
          <w:sz w:val="28"/>
          <w:szCs w:val="28"/>
        </w:rPr>
        <w:t>, характеризується відсутністю кореневих волосків. Як наслідок, корені мають невелику площу контакту з поживним середовищем і слабку поглинаючу здатність, що негативно відображається на етапі їх адаптації до нових умов культивування. Тому ми припустили, що додавання до поживного середовища стимуляторів коренеутворення та мінеральних субстратів сприятиме формуванню більш потужної, розгалуженої кореневої системи.</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Отримані результати показали, що у мікроклонів винограду всіх дослідних варіантів коренева система була розвинена краще, що проявлялося в утворенні більшої кількості коренів І та, особливо, коренів ІІ порядку (</w:t>
      </w:r>
      <w:r w:rsidR="00DC4415" w:rsidRPr="00CC7883">
        <w:rPr>
          <w:rFonts w:ascii="Times New Roman" w:hAnsi="Times New Roman" w:cs="Times New Roman"/>
          <w:color w:val="000000" w:themeColor="text1"/>
          <w:sz w:val="28"/>
          <w:szCs w:val="28"/>
        </w:rPr>
        <w:t>табл.</w:t>
      </w:r>
      <w:r w:rsidR="0059033D">
        <w:rPr>
          <w:rFonts w:ascii="Times New Roman" w:hAnsi="Times New Roman" w:cs="Times New Roman"/>
          <w:color w:val="000000" w:themeColor="text1"/>
          <w:sz w:val="28"/>
          <w:szCs w:val="28"/>
        </w:rPr>
        <w:t xml:space="preserve"> </w:t>
      </w:r>
      <w:r w:rsidRPr="00CC7883">
        <w:rPr>
          <w:rFonts w:ascii="Times New Roman" w:eastAsia="NSimSun" w:hAnsi="Times New Roman" w:cs="Times New Roman"/>
          <w:color w:val="000000" w:themeColor="text1"/>
          <w:kern w:val="3"/>
          <w:sz w:val="28"/>
          <w:szCs w:val="28"/>
        </w:rPr>
        <w:t>4.3).</w:t>
      </w:r>
    </w:p>
    <w:p w:rsidR="00B21D35" w:rsidRPr="00CC7883" w:rsidRDefault="00052462" w:rsidP="001149B8">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Згідно з отриманими результатами</w:t>
      </w:r>
      <w:r w:rsidR="000A2B6D">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найбільше коренів формувалося у мікроклонів винограду після їх обробки Clonex gel та культивування на поживних середовищах із мінеральними субстратами. Застосування Clonex</w:t>
      </w:r>
      <w:r w:rsidR="001A32EC">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gel у поживному середовищі з меншим вмістом фітогормонів забезпечувало утворення 10,8 і 10,7 шт. коренів І порядку у мікроклонів сортів «Добриня» і «Гарант» та 9,9 і 8,0 шт. – мікроклонів сортів «Ярило» і «Загрей». При внесенні препарату Радіфарм у поживне середовище MS з меншим вмістом фітогормонів показник дорівнював 5,5 і 6,5 шт. та 6,9 і 4,7 шт. коренів І порядку. </w:t>
      </w:r>
      <w:r w:rsidR="001149B8">
        <w:rPr>
          <w:rFonts w:ascii="Times New Roman" w:eastAsia="NSimSun" w:hAnsi="Times New Roman" w:cs="Times New Roman"/>
          <w:color w:val="000000" w:themeColor="text1"/>
          <w:kern w:val="3"/>
          <w:sz w:val="28"/>
          <w:szCs w:val="28"/>
        </w:rPr>
        <w:t xml:space="preserve"> </w:t>
      </w:r>
    </w:p>
    <w:p w:rsidR="008A4327" w:rsidRPr="00CC7883" w:rsidRDefault="008A4327"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sectPr w:rsidR="008A4327" w:rsidRPr="00CC7883" w:rsidSect="00360BBA">
          <w:pgSz w:w="11905" w:h="16837"/>
          <w:pgMar w:top="1134" w:right="851" w:bottom="1135" w:left="1701" w:header="709" w:footer="709" w:gutter="0"/>
          <w:cols w:space="720"/>
        </w:sectPr>
      </w:pPr>
    </w:p>
    <w:p w:rsidR="008A4327" w:rsidRPr="00CC7883" w:rsidRDefault="008A4327" w:rsidP="00047411">
      <w:pPr>
        <w:widowControl w:val="0"/>
        <w:autoSpaceDN w:val="0"/>
        <w:spacing w:after="0" w:line="360" w:lineRule="auto"/>
        <w:jc w:val="right"/>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i/>
          <w:iCs/>
          <w:color w:val="000000" w:themeColor="text1"/>
          <w:kern w:val="3"/>
          <w:sz w:val="28"/>
          <w:szCs w:val="28"/>
        </w:rPr>
        <w:lastRenderedPageBreak/>
        <w:t>Таблиця 4.3</w:t>
      </w:r>
    </w:p>
    <w:p w:rsidR="008A4327" w:rsidRPr="00CC7883" w:rsidRDefault="00785319"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sz w:val="28"/>
          <w:szCs w:val="28"/>
        </w:rPr>
      </w:pPr>
      <w:r w:rsidRPr="00785319">
        <w:rPr>
          <w:rFonts w:ascii="Times New Roman" w:eastAsia="NSimSun" w:hAnsi="Times New Roman" w:cs="Times New Roman"/>
          <w:b/>
          <w:bCs/>
          <w:color w:val="000000" w:themeColor="text1"/>
          <w:kern w:val="3"/>
          <w:sz w:val="28"/>
          <w:szCs w:val="28"/>
        </w:rPr>
        <w:pict>
          <v:rect id="_x0000_s2050" style="position:absolute;left:0;text-align:left;margin-left:712.8pt;margin-top:438.3pt;width:49.5pt;height:34.5pt;rotation:-90;z-index:251658240" fillcolor="white [3212]" strokecolor="white [3212]">
            <v:textbox style="layout-flow:vertical;mso-next-textbox:#_x0000_s2050">
              <w:txbxContent>
                <w:p w:rsidR="003059DA" w:rsidRPr="00CC7883" w:rsidRDefault="003059DA">
                  <w:pPr>
                    <w:rPr>
                      <w:rFonts w:ascii="Times New Roman" w:hAnsi="Times New Roman" w:cs="Times New Roman"/>
                    </w:rPr>
                  </w:pPr>
                  <w:r>
                    <w:rPr>
                      <w:rFonts w:ascii="Times New Roman" w:hAnsi="Times New Roman" w:cs="Times New Roman"/>
                    </w:rPr>
                    <w:t>119</w:t>
                  </w:r>
                </w:p>
              </w:txbxContent>
            </v:textbox>
          </v:rect>
        </w:pict>
      </w:r>
      <w:r w:rsidR="008A4327" w:rsidRPr="00CC7883">
        <w:rPr>
          <w:rFonts w:ascii="Times New Roman" w:eastAsia="NSimSun" w:hAnsi="Times New Roman" w:cs="Times New Roman"/>
          <w:b/>
          <w:bCs/>
          <w:color w:val="000000" w:themeColor="text1"/>
          <w:kern w:val="3"/>
          <w:sz w:val="28"/>
          <w:szCs w:val="28"/>
        </w:rPr>
        <w:t>Біометричні показники розвитку кореневої системи мікроклонів винограду на різних типах поживних середовищ (середнє за 2019–2022 рр.)</w:t>
      </w:r>
    </w:p>
    <w:tbl>
      <w:tblPr>
        <w:tblW w:w="14459" w:type="dxa"/>
        <w:jc w:val="center"/>
        <w:tblLayout w:type="fixed"/>
        <w:tblCellMar>
          <w:left w:w="10" w:type="dxa"/>
          <w:right w:w="10" w:type="dxa"/>
        </w:tblCellMar>
        <w:tblLook w:val="04A0"/>
      </w:tblPr>
      <w:tblGrid>
        <w:gridCol w:w="1663"/>
        <w:gridCol w:w="1452"/>
        <w:gridCol w:w="1418"/>
        <w:gridCol w:w="1417"/>
        <w:gridCol w:w="1895"/>
        <w:gridCol w:w="2074"/>
        <w:gridCol w:w="2037"/>
        <w:gridCol w:w="2503"/>
      </w:tblGrid>
      <w:tr w:rsidR="008A4327" w:rsidRPr="00CC7883" w:rsidTr="001A32EC">
        <w:trPr>
          <w:cantSplit/>
          <w:trHeight w:val="1242"/>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Варіанти досліду</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Загальна кількість</w:t>
            </w:r>
          </w:p>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коренів, шт.</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color w:val="000000" w:themeColor="text1"/>
                <w:kern w:val="0"/>
                <w:sz w:val="28"/>
                <w:szCs w:val="28"/>
              </w:rPr>
              <w:t>Кількість коренів I порядку, шт.</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color w:val="000000" w:themeColor="text1"/>
                <w:kern w:val="0"/>
                <w:sz w:val="28"/>
                <w:szCs w:val="28"/>
              </w:rPr>
              <w:t>Кількість коренів</w:t>
            </w:r>
            <w:r w:rsidR="007C05B9" w:rsidRPr="00CC7883">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II</w:t>
            </w:r>
          </w:p>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порядку, шт.</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Загальна довжина коренів І порядку, см</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Загальна довжина коренів ІІ порядку, см</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Довжина одного кореня І порядку, см</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Довжина одного кореня ІІ порядку, см</w:t>
            </w:r>
          </w:p>
        </w:tc>
      </w:tr>
      <w:tr w:rsidR="008A4327" w:rsidRPr="00CC7883" w:rsidTr="001A32EC">
        <w:trPr>
          <w:cantSplit/>
          <w:trHeight w:val="353"/>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1</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3</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4</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5</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6</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7</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8</w:t>
            </w:r>
          </w:p>
        </w:tc>
      </w:tr>
      <w:tr w:rsidR="008A4327" w:rsidRPr="00CC7883" w:rsidTr="001A32EC">
        <w:trPr>
          <w:trHeight w:val="211"/>
          <w:jc w:val="center"/>
        </w:trPr>
        <w:tc>
          <w:tcPr>
            <w:tcW w:w="14459"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«Добриня»</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18,7</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51,6</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44,4</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10,3</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17,7</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48,1</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41,3</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9,6</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5,5</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22,4</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56,9</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34,1</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10,3</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27,9</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7,9</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20,0</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49,3</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28,5</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6,2</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1,4</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45,4</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10,8</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34,7</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58,3</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37,9</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5,4</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37,9</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8,3</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29,6</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51,7</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35,2</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6,2</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8,7</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26,0</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37,5</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30,4</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4,3</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7,1</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25,2</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36,4</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28,3</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5,1</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8,9</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24,3</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32,3</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29,3</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3,6</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34,9</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26,9</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32,6</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27,5</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4,1</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39,8</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10,3</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29,4</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33,5</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32,4</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39,6</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8,5</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31,1</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34,5</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32,4</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4,1</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NSimSun" w:hAnsi="Times New Roman" w:cs="Times New Roman"/>
                <w:color w:val="000000" w:themeColor="text1"/>
                <w:kern w:val="3"/>
                <w:sz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1,0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6,2</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NSimSun" w:hAnsi="Times New Roman" w:cs="Times New Roman"/>
                <w:color w:val="000000" w:themeColor="text1"/>
                <w:kern w:val="3"/>
                <w:sz w:val="28"/>
              </w:rPr>
              <w:t>10,0</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NSimSun" w:hAnsi="Times New Roman" w:cs="Times New Roman"/>
                <w:color w:val="000000" w:themeColor="text1"/>
                <w:kern w:val="3"/>
                <w:sz w:val="28"/>
              </w:rPr>
              <w:t>3,6</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2,5</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2,0</w:t>
            </w:r>
          </w:p>
        </w:tc>
      </w:tr>
      <w:tr w:rsidR="008A4327" w:rsidRPr="00CC7883" w:rsidTr="001A32EC">
        <w:trPr>
          <w:jc w:val="center"/>
        </w:trPr>
        <w:tc>
          <w:tcPr>
            <w:tcW w:w="14459"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«Гарант»</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25,0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19,0</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53,7</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49,0</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8,9</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14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5,5</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16,8</w:t>
            </w:r>
          </w:p>
        </w:tc>
        <w:tc>
          <w:tcPr>
            <w:tcW w:w="1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47,9</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43,3</w:t>
            </w:r>
          </w:p>
        </w:tc>
        <w:tc>
          <w:tcPr>
            <w:tcW w:w="20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8,7</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bl>
    <w:p w:rsidR="00286EF4" w:rsidRPr="00CC7883" w:rsidRDefault="001A32EC" w:rsidP="001A32EC">
      <w:pPr>
        <w:widowControl w:val="0"/>
        <w:ind w:left="11344" w:right="-31"/>
        <w:jc w:val="center"/>
        <w:rPr>
          <w:color w:val="000000" w:themeColor="text1"/>
        </w:rPr>
      </w:pPr>
      <w:r>
        <w:rPr>
          <w:rFonts w:ascii="Times New Roman" w:eastAsia="SimSun" w:hAnsi="Times New Roman" w:cs="Times New Roman"/>
          <w:color w:val="000000" w:themeColor="text1"/>
          <w:kern w:val="0"/>
        </w:rPr>
        <w:lastRenderedPageBreak/>
        <w:t xml:space="preserve">            </w:t>
      </w:r>
      <w:r w:rsidR="00286EF4" w:rsidRPr="00CC7883">
        <w:rPr>
          <w:rFonts w:ascii="Times New Roman" w:eastAsia="SimSun" w:hAnsi="Times New Roman" w:cs="Times New Roman"/>
          <w:color w:val="000000" w:themeColor="text1"/>
          <w:kern w:val="0"/>
        </w:rPr>
        <w:t>Продовження табл. 4.3</w:t>
      </w:r>
    </w:p>
    <w:tbl>
      <w:tblPr>
        <w:tblW w:w="14459" w:type="dxa"/>
        <w:jc w:val="center"/>
        <w:tblLayout w:type="fixed"/>
        <w:tblCellMar>
          <w:left w:w="10" w:type="dxa"/>
          <w:right w:w="10" w:type="dxa"/>
        </w:tblCellMar>
        <w:tblLook w:val="04A0"/>
      </w:tblPr>
      <w:tblGrid>
        <w:gridCol w:w="1663"/>
        <w:gridCol w:w="65"/>
        <w:gridCol w:w="1387"/>
        <w:gridCol w:w="29"/>
        <w:gridCol w:w="1389"/>
        <w:gridCol w:w="30"/>
        <w:gridCol w:w="1387"/>
        <w:gridCol w:w="29"/>
        <w:gridCol w:w="1866"/>
        <w:gridCol w:w="2074"/>
        <w:gridCol w:w="29"/>
        <w:gridCol w:w="2008"/>
        <w:gridCol w:w="2503"/>
      </w:tblGrid>
      <w:tr w:rsidR="008A4327"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28,5</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6,5</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21,9</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52,2</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30,5</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8,0</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1,4</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sz w:val="28"/>
                <w:szCs w:val="28"/>
              </w:rPr>
              <w:t>4</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26,2</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6,1</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20,1</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46,2</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30,7</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7,6</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1,5</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45,9</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10,7</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35,2</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56,6</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35,1</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5,3</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36,6</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8,1</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28,6</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51,3</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32,6</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6,3</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36,6</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8,7</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27,9</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33,1</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29,5</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3,8</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33,7</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6,2</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27,5</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34,5</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26,8</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5,5</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33,3</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8,8</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24,6</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32,9</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31,0</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3,8</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35,1</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8,3</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26,8</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32,8</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25,8</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3,9</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38,1</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8,9</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29,2</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28,1</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31,9</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3,1</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39,2</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8,3</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30,8</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30,4</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33,7</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3,6</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286EF4" w:rsidRPr="00CC7883" w:rsidTr="001A32EC">
        <w:trPr>
          <w:jc w:val="center"/>
        </w:trPr>
        <w:tc>
          <w:tcPr>
            <w:tcW w:w="16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NSimSun" w:hAnsi="Times New Roman" w:cs="Times New Roman"/>
                <w:color w:val="000000" w:themeColor="text1"/>
                <w:kern w:val="3"/>
                <w:sz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5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3,80</w:t>
            </w:r>
          </w:p>
        </w:tc>
        <w:tc>
          <w:tcPr>
            <w:tcW w:w="141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0,92</w:t>
            </w:r>
          </w:p>
        </w:tc>
        <w:tc>
          <w:tcPr>
            <w:tcW w:w="141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5,5</w:t>
            </w:r>
          </w:p>
        </w:tc>
        <w:tc>
          <w:tcPr>
            <w:tcW w:w="1895"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8,5</w:t>
            </w:r>
          </w:p>
        </w:tc>
        <w:tc>
          <w:tcPr>
            <w:tcW w:w="20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2,0</w:t>
            </w:r>
          </w:p>
        </w:tc>
        <w:tc>
          <w:tcPr>
            <w:tcW w:w="203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2,0</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1,5</w:t>
            </w:r>
          </w:p>
        </w:tc>
      </w:tr>
      <w:tr w:rsidR="00286EF4" w:rsidRPr="00CC7883" w:rsidTr="001A32EC">
        <w:trPr>
          <w:jc w:val="center"/>
        </w:trPr>
        <w:tc>
          <w:tcPr>
            <w:tcW w:w="14459" w:type="dxa"/>
            <w:gridSpan w:val="1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«Ярило»</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21,0</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16,0</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50,0</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48,6</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10,0</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19,0</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14,0</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46,9</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44,4</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9,4</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25,9</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6,9</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18,9</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42,8</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32,9</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6,2</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23,1</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5,9</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17,2</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39,4</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29,2</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6,7</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42,1</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9,9</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32,2</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43,4</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29,2</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4,4</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0,9</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34,2</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7,3</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26,9</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41,5</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30,6</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5,7</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33,1</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8,7</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24,4</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26,9</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28,7</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3,1</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28,8</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5,2</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23,6</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24,2</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22,1</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4,6</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0,9</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31,5</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6,8</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24,8</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24,8</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25,1</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3,7</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32,2</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6,4</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25,8</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26,4</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24,1</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4,1</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0,9</w:t>
            </w:r>
          </w:p>
        </w:tc>
      </w:tr>
      <w:tr w:rsidR="00286EF4" w:rsidRPr="00CC7883" w:rsidTr="001A32EC">
        <w:trPr>
          <w:jc w:val="center"/>
        </w:trPr>
        <w:tc>
          <w:tcPr>
            <w:tcW w:w="172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38,3</w:t>
            </w:r>
          </w:p>
        </w:tc>
        <w:tc>
          <w:tcPr>
            <w:tcW w:w="1419"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8,4</w:t>
            </w:r>
          </w:p>
        </w:tc>
        <w:tc>
          <w:tcPr>
            <w:tcW w:w="141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29,9</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29,2</w:t>
            </w:r>
          </w:p>
        </w:tc>
        <w:tc>
          <w:tcPr>
            <w:tcW w:w="2103"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28,5</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286EF4" w:rsidRPr="00CC7883" w:rsidRDefault="00286EF4"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bl>
    <w:p w:rsidR="00586811" w:rsidRPr="00CC7883" w:rsidRDefault="00586811" w:rsidP="00047411">
      <w:pPr>
        <w:widowControl w:val="0"/>
        <w:rPr>
          <w:color w:val="000000" w:themeColor="text1"/>
        </w:rPr>
        <w:sectPr w:rsidR="00586811" w:rsidRPr="00CC7883" w:rsidSect="008A4327">
          <w:headerReference w:type="default" r:id="rId74"/>
          <w:footerReference w:type="default" r:id="rId75"/>
          <w:pgSz w:w="16838" w:h="11906" w:orient="landscape"/>
          <w:pgMar w:top="1701" w:right="1134" w:bottom="851" w:left="1134" w:header="709" w:footer="709" w:gutter="0"/>
          <w:cols w:space="720"/>
        </w:sectPr>
      </w:pPr>
    </w:p>
    <w:p w:rsidR="00123AE9" w:rsidRPr="00CC7883" w:rsidRDefault="001A32EC" w:rsidP="001A32EC">
      <w:pPr>
        <w:widowControl w:val="0"/>
        <w:ind w:right="-31"/>
        <w:jc w:val="center"/>
        <w:rPr>
          <w:color w:val="000000" w:themeColor="text1"/>
        </w:rPr>
      </w:pPr>
      <w:r>
        <w:rPr>
          <w:rFonts w:ascii="Times New Roman" w:eastAsia="SimSun" w:hAnsi="Times New Roman" w:cs="Times New Roman"/>
          <w:color w:val="000000" w:themeColor="text1"/>
          <w:kern w:val="0"/>
        </w:rPr>
        <w:lastRenderedPageBreak/>
        <w:t xml:space="preserve">                  </w:t>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r>
      <w:r>
        <w:rPr>
          <w:rFonts w:ascii="Times New Roman" w:eastAsia="SimSun" w:hAnsi="Times New Roman" w:cs="Times New Roman"/>
          <w:color w:val="000000" w:themeColor="text1"/>
          <w:kern w:val="0"/>
        </w:rPr>
        <w:tab/>
        <w:t xml:space="preserve">           </w:t>
      </w:r>
      <w:r w:rsidR="00123AE9" w:rsidRPr="00CC7883">
        <w:rPr>
          <w:rFonts w:ascii="Times New Roman" w:eastAsia="SimSun" w:hAnsi="Times New Roman" w:cs="Times New Roman"/>
          <w:color w:val="000000" w:themeColor="text1"/>
          <w:kern w:val="0"/>
        </w:rPr>
        <w:t>Продовження табл. 4.3</w:t>
      </w:r>
    </w:p>
    <w:tbl>
      <w:tblPr>
        <w:tblW w:w="14459" w:type="dxa"/>
        <w:jc w:val="center"/>
        <w:tblLayout w:type="fixed"/>
        <w:tblCellMar>
          <w:left w:w="10" w:type="dxa"/>
          <w:right w:w="10" w:type="dxa"/>
        </w:tblCellMar>
        <w:tblLook w:val="04A0"/>
      </w:tblPr>
      <w:tblGrid>
        <w:gridCol w:w="1728"/>
        <w:gridCol w:w="1416"/>
        <w:gridCol w:w="1419"/>
        <w:gridCol w:w="1416"/>
        <w:gridCol w:w="1866"/>
        <w:gridCol w:w="2103"/>
        <w:gridCol w:w="2008"/>
        <w:gridCol w:w="2503"/>
      </w:tblGrid>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1</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2</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3</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4</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23AE9" w:rsidRPr="00CC7883" w:rsidRDefault="00123AE9"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5</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23AE9" w:rsidRPr="00CC7883" w:rsidRDefault="00123AE9"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6</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7</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8</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36,1</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6,3</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29,8</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24,2</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28,4</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3,8</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NSimSun" w:hAnsi="Times New Roman" w:cs="Times New Roman"/>
                <w:color w:val="000000" w:themeColor="text1"/>
                <w:kern w:val="3"/>
                <w:sz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5,4</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1,0</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6,7</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NSimSun" w:hAnsi="Times New Roman" w:cs="Times New Roman"/>
                <w:color w:val="000000" w:themeColor="text1"/>
                <w:kern w:val="3"/>
                <w:sz w:val="28"/>
              </w:rPr>
              <w:t>11,1</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NSimSun" w:hAnsi="Times New Roman" w:cs="Times New Roman"/>
                <w:color w:val="000000" w:themeColor="text1"/>
                <w:kern w:val="3"/>
                <w:sz w:val="28"/>
              </w:rPr>
              <w:t>7,5</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2,0</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2,0</w:t>
            </w:r>
          </w:p>
        </w:tc>
      </w:tr>
      <w:tr w:rsidR="00123AE9" w:rsidRPr="00CC7883" w:rsidTr="001A32EC">
        <w:trPr>
          <w:jc w:val="center"/>
        </w:trPr>
        <w:tc>
          <w:tcPr>
            <w:tcW w:w="14459"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«Загрей»</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21,0</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16,0</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47,2</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42,4</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9,4</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18,0</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13,0</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47,9</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43,9</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9,6</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21,3</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4,7</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16,7</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37,9</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33,9</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8,1</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23,7</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6,7</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17,0</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37,9</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31,7</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5,7</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w:t>
            </w:r>
          </w:p>
        </w:tc>
      </w:tr>
      <w:tr w:rsidR="00123AE9" w:rsidRPr="00CC7883" w:rsidTr="001A32EC">
        <w:trPr>
          <w:trHeight w:val="92"/>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38,7</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8,0</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30,7</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44,0</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26,8</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5,5</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0,9</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32,0</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7,3</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24,7</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37,7</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26,6</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5,1</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31,4</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6,8</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24,7</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28,2</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26,6</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4,2</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27,5</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4,8</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22,7</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26,3</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20,5</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5,4</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0,9</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29,0</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7,3</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21,7</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22,5</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24,6</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3,1</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32,0</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7,0</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25,0</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23,5</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24,5</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38,0</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8,3</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29,7</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27,6</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26,5</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0,9</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35,2</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6,7</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28,5</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26,1</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24,5</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3,9</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0,9</w:t>
            </w:r>
          </w:p>
        </w:tc>
      </w:tr>
      <w:tr w:rsidR="00123AE9" w:rsidRPr="00CC7883" w:rsidTr="001A32EC">
        <w:trPr>
          <w:jc w:val="center"/>
        </w:trPr>
        <w:tc>
          <w:tcPr>
            <w:tcW w:w="17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both"/>
              <w:textAlignment w:val="baseline"/>
              <w:rPr>
                <w:rFonts w:ascii="Times New Roman" w:eastAsia="NSimSun" w:hAnsi="Times New Roman" w:cs="Times New Roman"/>
                <w:color w:val="000000" w:themeColor="text1"/>
                <w:kern w:val="3"/>
                <w:sz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5,7</w:t>
            </w:r>
          </w:p>
        </w:tc>
        <w:tc>
          <w:tcPr>
            <w:tcW w:w="14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0,8</w:t>
            </w:r>
          </w:p>
        </w:tc>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5,0</w:t>
            </w:r>
          </w:p>
        </w:tc>
        <w:tc>
          <w:tcPr>
            <w:tcW w:w="1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9,5</w:t>
            </w:r>
          </w:p>
        </w:tc>
        <w:tc>
          <w:tcPr>
            <w:tcW w:w="21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6,0</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1,8</w:t>
            </w:r>
          </w:p>
        </w:tc>
        <w:tc>
          <w:tcPr>
            <w:tcW w:w="25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123AE9" w:rsidRPr="00CC7883" w:rsidRDefault="00123AE9"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1,8</w:t>
            </w:r>
          </w:p>
        </w:tc>
      </w:tr>
    </w:tbl>
    <w:p w:rsidR="007C4F1A" w:rsidRPr="00CC7883" w:rsidRDefault="007C4F1A" w:rsidP="00047411">
      <w:pPr>
        <w:widowControl w:val="0"/>
        <w:jc w:val="both"/>
        <w:rPr>
          <w:color w:val="000000" w:themeColor="text1"/>
        </w:rPr>
        <w:sectPr w:rsidR="007C4F1A" w:rsidRPr="00CC7883" w:rsidSect="008A4327">
          <w:footerReference w:type="default" r:id="rId76"/>
          <w:pgSz w:w="16838" w:h="11906" w:orient="landscape"/>
          <w:pgMar w:top="1701" w:right="1134" w:bottom="851" w:left="1134" w:header="709" w:footer="709" w:gutter="0"/>
          <w:cols w:space="720"/>
        </w:sectPr>
      </w:pPr>
      <w:r w:rsidRPr="00CC7883">
        <w:rPr>
          <w:color w:val="000000" w:themeColor="text1"/>
        </w:rPr>
        <w:br w:type="page"/>
      </w:r>
    </w:p>
    <w:p w:rsidR="001149B8" w:rsidRPr="00CC7883" w:rsidRDefault="001149B8" w:rsidP="00287628">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bookmarkStart w:id="44" w:name="_Hlk156241824"/>
      <w:r w:rsidRPr="00CC7883">
        <w:rPr>
          <w:rFonts w:ascii="Times New Roman" w:eastAsia="NSimSun" w:hAnsi="Times New Roman" w:cs="Times New Roman"/>
          <w:color w:val="000000" w:themeColor="text1"/>
          <w:kern w:val="3"/>
          <w:sz w:val="28"/>
          <w:szCs w:val="28"/>
        </w:rPr>
        <w:lastRenderedPageBreak/>
        <w:t xml:space="preserve">На </w:t>
      </w:r>
      <w:r>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структурованих поживних середовищах у мікроклонів підщепних сортів утворювалос</w:t>
      </w:r>
      <w:r>
        <w:rPr>
          <w:rFonts w:ascii="Times New Roman" w:eastAsia="NSimSun" w:hAnsi="Times New Roman" w:cs="Times New Roman"/>
          <w:color w:val="000000" w:themeColor="text1"/>
          <w:kern w:val="3"/>
          <w:sz w:val="28"/>
          <w:szCs w:val="28"/>
        </w:rPr>
        <w:t>я</w:t>
      </w:r>
      <w:r w:rsidRPr="00CC7883">
        <w:rPr>
          <w:rFonts w:ascii="Times New Roman" w:eastAsia="NSimSun" w:hAnsi="Times New Roman" w:cs="Times New Roman"/>
          <w:color w:val="000000" w:themeColor="text1"/>
          <w:kern w:val="3"/>
          <w:sz w:val="28"/>
          <w:szCs w:val="28"/>
        </w:rPr>
        <w:t xml:space="preserve"> по </w:t>
      </w:r>
      <w:r w:rsidRPr="00CC7883">
        <w:rPr>
          <w:rFonts w:ascii="Times New Roman" w:eastAsia="NSimSun" w:hAnsi="Times New Roman" w:cs="Times New Roman"/>
          <w:bCs/>
          <w:color w:val="000000" w:themeColor="text1"/>
          <w:kern w:val="3"/>
          <w:sz w:val="28"/>
          <w:szCs w:val="28"/>
        </w:rPr>
        <w:t>8,7</w:t>
      </w:r>
      <w:r w:rsidRPr="00CC7883">
        <w:rPr>
          <w:rFonts w:ascii="Times New Roman" w:eastAsia="NSimSun" w:hAnsi="Times New Roman" w:cs="Times New Roman"/>
          <w:color w:val="000000" w:themeColor="text1"/>
          <w:kern w:val="3"/>
          <w:sz w:val="28"/>
          <w:szCs w:val="28"/>
        </w:rPr>
        <w:t xml:space="preserve">–10,3 шт. і 8,7–8,9 шт. коренів І порядку (сьомий, дев’ятий, одинадцятий варіанти); у мікроклонів технічних сортів цей показник дорівнював </w:t>
      </w:r>
      <w:r w:rsidRPr="00CC7883">
        <w:rPr>
          <w:rFonts w:ascii="Times New Roman" w:eastAsia="NSimSun" w:hAnsi="Times New Roman" w:cs="Times New Roman"/>
          <w:bCs/>
          <w:color w:val="000000" w:themeColor="text1"/>
          <w:kern w:val="3"/>
          <w:sz w:val="28"/>
          <w:szCs w:val="28"/>
        </w:rPr>
        <w:t>6,8</w:t>
      </w:r>
      <w:r w:rsidRPr="00CC7883">
        <w:rPr>
          <w:rFonts w:ascii="Times New Roman" w:eastAsia="NSimSun" w:hAnsi="Times New Roman" w:cs="Times New Roman"/>
          <w:color w:val="000000" w:themeColor="text1"/>
          <w:kern w:val="3"/>
          <w:sz w:val="28"/>
          <w:szCs w:val="28"/>
        </w:rPr>
        <w:t xml:space="preserve">–8,7 шт. і 6,8–8,3 шт. Для контрольних рослин цей показник дорівнював 5,0–6,0 шт. (підщепні сорти) та 5,0 шт. (технічні сорти). </w:t>
      </w:r>
    </w:p>
    <w:p w:rsidR="001149B8" w:rsidRPr="00CC7883" w:rsidRDefault="001149B8" w:rsidP="001149B8">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Найбільша кількість коренів ІІ порядку, як у підщепних, так і технічних сортів винограду, була у мікроклонів п’ятого, шостого, одинадцятого, дванадцятого варіантів. У мікроклонів, які обробляли Clonex gel, кількість коренів ІІ порядку становила 28,6–35,2 шт. (п’ятий, шостий варіанти) для сортів «Добриня» і «Гарант», 24,7–32,2 шт. для сортів «Ярило» і «Загрей». </w:t>
      </w:r>
      <w:r>
        <w:rPr>
          <w:rFonts w:ascii="Times New Roman" w:eastAsia="NSimSun" w:hAnsi="Times New Roman" w:cs="Times New Roman"/>
          <w:color w:val="000000" w:themeColor="text1"/>
          <w:kern w:val="3"/>
          <w:sz w:val="28"/>
          <w:szCs w:val="28"/>
        </w:rPr>
        <w:t>У варіантах</w:t>
      </w:r>
      <w:r w:rsidRPr="00CC7883">
        <w:rPr>
          <w:rFonts w:ascii="Times New Roman" w:eastAsia="NSimSun" w:hAnsi="Times New Roman" w:cs="Times New Roman"/>
          <w:color w:val="000000" w:themeColor="text1"/>
          <w:kern w:val="3"/>
          <w:sz w:val="28"/>
          <w:szCs w:val="28"/>
        </w:rPr>
        <w:t>, де до поживного середовища додавали агроперліт і вермикуліт</w:t>
      </w:r>
      <w:r>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кількість коренів ІІ порядку для підщепних сортів дорівнювала 29,2–31,1 шт. (одинадцятий, дванадцятий варіанти) та 28,5–29,9 шт. для технічних сортів.</w:t>
      </w:r>
      <w:bookmarkStart w:id="45" w:name="_Hlk156220513"/>
      <w:r w:rsidRPr="00CC7883">
        <w:rPr>
          <w:rFonts w:ascii="Times New Roman" w:eastAsia="NSimSun" w:hAnsi="Times New Roman" w:cs="Times New Roman"/>
          <w:color w:val="000000" w:themeColor="text1"/>
          <w:kern w:val="3"/>
          <w:sz w:val="28"/>
          <w:szCs w:val="28"/>
        </w:rPr>
        <w:t xml:space="preserve"> Для контрольних рослин цей показник дорівнював 16,8–19,0 шт. (підщепні сорти) та 13,0–16,0 шт. (технічні сорти). Цей показник зменшувався відносно вищевказаних показників підщепних сортів у середньому на 77,1 % (п’ятий, шостий варіанти), 67,7 % (одинадцятий, дванадцятий варіанти); відносно технічних сортів відповідно на 93,7 %, 101,0 %.</w:t>
      </w:r>
    </w:p>
    <w:p w:rsidR="001149B8" w:rsidRPr="00CC7883" w:rsidRDefault="001149B8" w:rsidP="001149B8">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Отже, за кількістю коренів І </w:t>
      </w:r>
      <w:r>
        <w:rPr>
          <w:rFonts w:ascii="Times New Roman" w:eastAsia="NSimSun" w:hAnsi="Times New Roman" w:cs="Times New Roman"/>
          <w:color w:val="000000" w:themeColor="text1"/>
          <w:kern w:val="3"/>
          <w:sz w:val="28"/>
          <w:szCs w:val="28"/>
        </w:rPr>
        <w:t>і</w:t>
      </w:r>
      <w:r w:rsidRPr="00CC7883">
        <w:rPr>
          <w:rFonts w:ascii="Times New Roman" w:eastAsia="NSimSun" w:hAnsi="Times New Roman" w:cs="Times New Roman"/>
          <w:color w:val="000000" w:themeColor="text1"/>
          <w:kern w:val="3"/>
          <w:sz w:val="28"/>
          <w:szCs w:val="28"/>
        </w:rPr>
        <w:t xml:space="preserve"> ІІ порядків найкращими були варіанти, де мікроклони винограду культивували на структурованих поживних середовищах з агроперлітом</w:t>
      </w:r>
      <w:r>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вермикулітом і на поживному середовищі, де базальну частину обробляли препаратом Clonex gel та з меншим вмістом фітогормонів. Порівняно з контролями кількість коренів І порядку була більшою в 1,3–1,9 раз</w:t>
      </w:r>
      <w:r>
        <w:rPr>
          <w:rFonts w:ascii="Times New Roman" w:eastAsia="NSimSun" w:hAnsi="Times New Roman" w:cs="Times New Roman"/>
          <w:color w:val="000000" w:themeColor="text1"/>
          <w:kern w:val="3"/>
          <w:sz w:val="28"/>
          <w:szCs w:val="28"/>
        </w:rPr>
        <w:t>а</w:t>
      </w:r>
      <w:r w:rsidRPr="00CC7883">
        <w:rPr>
          <w:rFonts w:ascii="Times New Roman" w:eastAsia="NSimSun" w:hAnsi="Times New Roman" w:cs="Times New Roman"/>
          <w:color w:val="000000" w:themeColor="text1"/>
          <w:kern w:val="3"/>
          <w:sz w:val="28"/>
          <w:szCs w:val="28"/>
        </w:rPr>
        <w:t>, кількість коренів ІІ порядку – в 1,4–2,0 раз</w:t>
      </w:r>
      <w:bookmarkEnd w:id="45"/>
      <w:r>
        <w:rPr>
          <w:rFonts w:ascii="Times New Roman" w:eastAsia="NSimSun" w:hAnsi="Times New Roman" w:cs="Times New Roman"/>
          <w:color w:val="000000" w:themeColor="text1"/>
          <w:kern w:val="3"/>
          <w:sz w:val="28"/>
          <w:szCs w:val="28"/>
        </w:rPr>
        <w:t>а</w:t>
      </w:r>
      <w:r w:rsidRPr="00CC7883">
        <w:rPr>
          <w:rFonts w:ascii="Times New Roman" w:eastAsia="NSimSun" w:hAnsi="Times New Roman" w:cs="Times New Roman"/>
          <w:color w:val="000000" w:themeColor="text1"/>
          <w:kern w:val="3"/>
          <w:sz w:val="28"/>
          <w:szCs w:val="28"/>
        </w:rPr>
        <w:t>.</w:t>
      </w:r>
    </w:p>
    <w:p w:rsidR="001149B8" w:rsidRDefault="001149B8" w:rsidP="001149B8">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bCs/>
          <w:color w:val="000000" w:themeColor="text1"/>
          <w:kern w:val="3"/>
          <w:sz w:val="28"/>
          <w:szCs w:val="28"/>
        </w:rPr>
        <w:t xml:space="preserve">Визначення загальної довжини коренів І порядку показало, що найбільшою вона була у мікроклонів контрольних варіантів – 47,9–51,6 см (підщепні сорти), 47,2–50,0 см (технічні сорти) та після застосування </w:t>
      </w:r>
      <w:r w:rsidRPr="00CC7883">
        <w:rPr>
          <w:rFonts w:ascii="Times New Roman" w:eastAsia="NSimSun" w:hAnsi="Times New Roman" w:cs="Times New Roman"/>
          <w:color w:val="000000" w:themeColor="text1"/>
          <w:kern w:val="3"/>
          <w:sz w:val="28"/>
          <w:szCs w:val="28"/>
        </w:rPr>
        <w:t xml:space="preserve">препаратів Радіфарм і Clonex gel на поживному середовищі з меншим </w:t>
      </w:r>
      <w:r w:rsidRPr="001149B8">
        <w:rPr>
          <w:rFonts w:ascii="Times New Roman" w:eastAsia="NSimSun" w:hAnsi="Times New Roman" w:cs="Times New Roman"/>
          <w:color w:val="000000" w:themeColor="text1"/>
          <w:kern w:val="3"/>
          <w:sz w:val="28"/>
          <w:szCs w:val="28"/>
        </w:rPr>
        <w:t>вмістом фітогормонів (</w:t>
      </w:r>
      <w:r w:rsidRPr="001149B8">
        <w:rPr>
          <w:rFonts w:ascii="Times New Roman" w:eastAsia="NSimSun" w:hAnsi="Times New Roman" w:cs="Times New Roman"/>
          <w:color w:val="000000" w:themeColor="text1"/>
          <w:kern w:val="3"/>
          <w:sz w:val="28"/>
          <w:szCs w:val="28"/>
          <w:lang w:eastAsia="zh-CN" w:bidi="hi-IN"/>
        </w:rPr>
        <w:t>рис.</w:t>
      </w:r>
      <w:r w:rsidRPr="001149B8">
        <w:rPr>
          <w:rFonts w:ascii="Times New Roman" w:eastAsia="NSimSun" w:hAnsi="Times New Roman" w:cs="Times New Roman"/>
          <w:bCs/>
          <w:color w:val="000000" w:themeColor="text1"/>
          <w:kern w:val="3"/>
          <w:sz w:val="28"/>
          <w:szCs w:val="28"/>
          <w:lang w:eastAsia="zh-CN" w:bidi="hi-IN"/>
        </w:rPr>
        <w:t xml:space="preserve"> </w:t>
      </w:r>
      <w:r w:rsidRPr="001149B8">
        <w:rPr>
          <w:rFonts w:ascii="Times New Roman" w:eastAsia="NSimSun" w:hAnsi="Times New Roman" w:cs="Times New Roman"/>
          <w:color w:val="000000" w:themeColor="text1"/>
          <w:kern w:val="3"/>
          <w:sz w:val="28"/>
          <w:szCs w:val="28"/>
        </w:rPr>
        <w:t>4.6).</w:t>
      </w:r>
    </w:p>
    <w:p w:rsidR="00071A62" w:rsidRPr="00CC7883" w:rsidRDefault="00071A62" w:rsidP="001149B8">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p>
    <w:p w:rsidR="00052462" w:rsidRPr="00CC7883" w:rsidRDefault="00052462" w:rsidP="00047411">
      <w:pPr>
        <w:widowControl w:val="0"/>
        <w:autoSpaceDN w:val="0"/>
        <w:spacing w:after="0" w:line="360" w:lineRule="auto"/>
        <w:ind w:firstLine="708"/>
        <w:jc w:val="both"/>
        <w:textAlignment w:val="baseline"/>
        <w:rPr>
          <w:rFonts w:ascii="Times New Roman" w:eastAsia="NSimSun" w:hAnsi="Times New Roman" w:cs="Times New Roman"/>
          <w:b/>
          <w:bCs/>
          <w:color w:val="000000" w:themeColor="text1"/>
          <w:kern w:val="3"/>
          <w:sz w:val="28"/>
          <w:szCs w:val="28"/>
        </w:rPr>
      </w:pP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sz w:val="28"/>
          <w:szCs w:val="28"/>
          <w:lang w:val="ru-RU" w:eastAsia="ru-RU"/>
        </w:rPr>
        <w:drawing>
          <wp:inline distT="0" distB="0" distL="0" distR="0">
            <wp:extent cx="2199005" cy="3209925"/>
            <wp:effectExtent l="19050" t="19050" r="0" b="9525"/>
            <wp:docPr id="268900315" name="Рисунок 268900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cstate="print"/>
                    <a:stretch>
                      <a:fillRect/>
                    </a:stretch>
                  </pic:blipFill>
                  <pic:spPr>
                    <a:xfrm>
                      <a:off x="0" y="0"/>
                      <a:ext cx="2238250" cy="3267212"/>
                    </a:xfrm>
                    <a:prstGeom prst="rect">
                      <a:avLst/>
                    </a:prstGeom>
                    <a:ln>
                      <a:solidFill>
                        <a:schemeClr val="tx1"/>
                      </a:solidFill>
                    </a:ln>
                  </pic:spPr>
                </pic:pic>
              </a:graphicData>
            </a:graphic>
          </wp:inline>
        </w:drawing>
      </w:r>
      <w:r w:rsidRPr="00CC7883">
        <w:rPr>
          <w:rFonts w:ascii="Times New Roman" w:eastAsia="NSimSun" w:hAnsi="Times New Roman" w:cs="Times New Roman"/>
          <w:noProof/>
          <w:color w:val="000000" w:themeColor="text1"/>
          <w:kern w:val="3"/>
          <w:sz w:val="28"/>
          <w:szCs w:val="28"/>
          <w:lang w:val="ru-RU" w:eastAsia="ru-RU"/>
        </w:rPr>
        <w:drawing>
          <wp:inline distT="0" distB="0" distL="0" distR="0">
            <wp:extent cx="2331085" cy="3209925"/>
            <wp:effectExtent l="19050" t="19050" r="0" b="9525"/>
            <wp:docPr id="1284078044" name="Рисунок 1284078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cstate="print"/>
                    <a:stretch>
                      <a:fillRect/>
                    </a:stretch>
                  </pic:blipFill>
                  <pic:spPr>
                    <a:xfrm>
                      <a:off x="0" y="0"/>
                      <a:ext cx="2348355" cy="3233706"/>
                    </a:xfrm>
                    <a:prstGeom prst="rect">
                      <a:avLst/>
                    </a:prstGeom>
                    <a:ln>
                      <a:solidFill>
                        <a:schemeClr val="tx1"/>
                      </a:solidFill>
                    </a:ln>
                  </pic:spPr>
                </pic:pic>
              </a:graphicData>
            </a:graphic>
          </wp:inline>
        </w:drawing>
      </w:r>
    </w:p>
    <w:p w:rsidR="008A4327" w:rsidRPr="00CC7883" w:rsidRDefault="00B21D35" w:rsidP="00047411">
      <w:pPr>
        <w:widowControl w:val="0"/>
        <w:autoSpaceDN w:val="0"/>
        <w:spacing w:after="0" w:line="360" w:lineRule="auto"/>
        <w:ind w:left="1560" w:firstLine="567"/>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         </w:t>
      </w:r>
      <w:r w:rsidR="008A4327" w:rsidRPr="00CC7883">
        <w:rPr>
          <w:rFonts w:ascii="Times New Roman" w:eastAsia="NSimSun" w:hAnsi="Times New Roman" w:cs="Times New Roman"/>
          <w:color w:val="000000" w:themeColor="text1"/>
          <w:kern w:val="3"/>
          <w:sz w:val="28"/>
          <w:szCs w:val="28"/>
        </w:rPr>
        <w:t xml:space="preserve">І </w:t>
      </w:r>
      <w:r w:rsidR="008A4327" w:rsidRPr="00CC7883">
        <w:rPr>
          <w:rFonts w:ascii="Times New Roman" w:eastAsia="NSimSun" w:hAnsi="Times New Roman" w:cs="Times New Roman"/>
          <w:color w:val="000000" w:themeColor="text1"/>
          <w:kern w:val="3"/>
          <w:sz w:val="28"/>
          <w:szCs w:val="28"/>
        </w:rPr>
        <w:tab/>
      </w:r>
      <w:r w:rsidR="008A4327" w:rsidRPr="00CC7883">
        <w:rPr>
          <w:rFonts w:ascii="Times New Roman" w:eastAsia="NSimSun" w:hAnsi="Times New Roman" w:cs="Times New Roman"/>
          <w:color w:val="000000" w:themeColor="text1"/>
          <w:kern w:val="3"/>
          <w:sz w:val="28"/>
          <w:szCs w:val="28"/>
        </w:rPr>
        <w:tab/>
      </w:r>
      <w:r w:rsidR="008A4327" w:rsidRPr="00CC7883">
        <w:rPr>
          <w:rFonts w:ascii="Times New Roman" w:eastAsia="NSimSun" w:hAnsi="Times New Roman" w:cs="Times New Roman"/>
          <w:color w:val="000000" w:themeColor="text1"/>
          <w:kern w:val="3"/>
          <w:sz w:val="28"/>
          <w:szCs w:val="28"/>
        </w:rPr>
        <w:tab/>
        <w:t xml:space="preserve">                   ІІ</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sz w:val="28"/>
          <w:szCs w:val="28"/>
          <w:lang w:val="ru-RU" w:eastAsia="ru-RU"/>
        </w:rPr>
        <w:drawing>
          <wp:inline distT="0" distB="0" distL="0" distR="0">
            <wp:extent cx="2227580" cy="3324225"/>
            <wp:effectExtent l="19050" t="19050" r="1270" b="9525"/>
            <wp:docPr id="942705195" name="Рисунок 942705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cstate="print"/>
                    <a:stretch>
                      <a:fillRect/>
                    </a:stretch>
                  </pic:blipFill>
                  <pic:spPr>
                    <a:xfrm>
                      <a:off x="0" y="0"/>
                      <a:ext cx="2231983" cy="3330796"/>
                    </a:xfrm>
                    <a:prstGeom prst="rect">
                      <a:avLst/>
                    </a:prstGeom>
                    <a:ln>
                      <a:solidFill>
                        <a:schemeClr val="tx1"/>
                      </a:solidFill>
                    </a:ln>
                  </pic:spPr>
                </pic:pic>
              </a:graphicData>
            </a:graphic>
          </wp:inline>
        </w:drawing>
      </w:r>
      <w:r w:rsidRPr="00CC7883">
        <w:rPr>
          <w:rFonts w:ascii="Times New Roman" w:eastAsia="NSimSun" w:hAnsi="Times New Roman" w:cs="Times New Roman"/>
          <w:noProof/>
          <w:color w:val="000000" w:themeColor="text1"/>
          <w:kern w:val="3"/>
          <w:sz w:val="28"/>
          <w:szCs w:val="28"/>
          <w:lang w:val="ru-RU" w:eastAsia="ru-RU"/>
        </w:rPr>
        <w:drawing>
          <wp:inline distT="0" distB="0" distL="0" distR="0">
            <wp:extent cx="2335530" cy="3333750"/>
            <wp:effectExtent l="19050" t="19050" r="7620" b="0"/>
            <wp:docPr id="345775945" name="Рисунок 345775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cstate="print"/>
                    <a:stretch>
                      <a:fillRect/>
                    </a:stretch>
                  </pic:blipFill>
                  <pic:spPr>
                    <a:xfrm>
                      <a:off x="0" y="0"/>
                      <a:ext cx="2341942" cy="3342903"/>
                    </a:xfrm>
                    <a:prstGeom prst="rect">
                      <a:avLst/>
                    </a:prstGeom>
                    <a:ln>
                      <a:solidFill>
                        <a:schemeClr val="tx1"/>
                      </a:solidFill>
                    </a:ln>
                  </pic:spPr>
                </pic:pic>
              </a:graphicData>
            </a:graphic>
          </wp:inline>
        </w:drawing>
      </w:r>
    </w:p>
    <w:p w:rsidR="008A4327" w:rsidRPr="00CC7883" w:rsidRDefault="008A4327" w:rsidP="00047411">
      <w:pPr>
        <w:widowControl w:val="0"/>
        <w:autoSpaceDN w:val="0"/>
        <w:spacing w:after="0" w:line="240" w:lineRule="auto"/>
        <w:ind w:left="2127" w:firstLine="709"/>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ІІІ</w:t>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t>IV</w:t>
      </w:r>
    </w:p>
    <w:p w:rsidR="008A4327" w:rsidRPr="00CC7883" w:rsidRDefault="008A4327" w:rsidP="00047411">
      <w:pPr>
        <w:widowControl w:val="0"/>
        <w:autoSpaceDN w:val="0"/>
        <w:spacing w:after="0" w:line="240" w:lineRule="auto"/>
        <w:ind w:left="707" w:firstLine="709"/>
        <w:jc w:val="both"/>
        <w:textAlignment w:val="baseline"/>
        <w:rPr>
          <w:rFonts w:ascii="Times New Roman" w:eastAsia="NSimSun" w:hAnsi="Times New Roman" w:cs="Times New Roman"/>
          <w:color w:val="000000" w:themeColor="text1"/>
          <w:kern w:val="3"/>
          <w:sz w:val="28"/>
          <w:szCs w:val="28"/>
        </w:rPr>
      </w:pP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Рис. 4.6. Розвиток кореневої системи мікроклонів винограду підщепних і технічних сортів</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b/>
          <w:color w:val="000000" w:themeColor="text1"/>
          <w:kern w:val="3"/>
        </w:rPr>
      </w:pPr>
      <w:r w:rsidRPr="00CC7883">
        <w:rPr>
          <w:rFonts w:ascii="Times New Roman" w:eastAsia="NSimSun" w:hAnsi="Times New Roman" w:cs="Times New Roman"/>
          <w:color w:val="000000" w:themeColor="text1"/>
          <w:kern w:val="3"/>
        </w:rPr>
        <w:t>І – контроль 1; ІІ – контроль 2; ІІІ – MS + Радіфарм; ІV – MS + Clonex</w:t>
      </w:r>
      <w:r w:rsidR="00115B07" w:rsidRPr="00CC7883">
        <w:rPr>
          <w:rFonts w:ascii="Times New Roman" w:eastAsia="NSimSun" w:hAnsi="Times New Roman" w:cs="Times New Roman"/>
          <w:color w:val="000000" w:themeColor="text1"/>
          <w:kern w:val="3"/>
        </w:rPr>
        <w:t xml:space="preserve"> </w:t>
      </w:r>
      <w:r w:rsidRPr="00CC7883">
        <w:rPr>
          <w:rFonts w:ascii="Times New Roman" w:eastAsia="NSimSun" w:hAnsi="Times New Roman" w:cs="Times New Roman"/>
          <w:color w:val="000000" w:themeColor="text1"/>
          <w:kern w:val="3"/>
        </w:rPr>
        <w:t>gel</w:t>
      </w:r>
    </w:p>
    <w:p w:rsidR="00B21D35" w:rsidRPr="00CC7883" w:rsidRDefault="00B21D35"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bookmarkStart w:id="46" w:name="_Hlk156220548"/>
    </w:p>
    <w:p w:rsidR="00B21D35" w:rsidRPr="00CC7883" w:rsidRDefault="00B21D35" w:rsidP="00287628">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lastRenderedPageBreak/>
        <w:t>Для рослин цих дослідних варіантів вказаний показник дорівнював 56,9</w:t>
      </w:r>
      <w:r w:rsidR="000A2B6D">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см і 52,2 см (третій варіант), 58,3 см і 56,6 см (п’ятий варіант) для сортів «Добриня» і «Гарант», 42,8 см і 37,9 см, 43,4 см і 44,0 см для сортів «Ярило» і «Загрей». У мікроклонів, які культивували на структурованих поживних середовищах</w:t>
      </w:r>
      <w:r w:rsidR="00F273D7">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загальна довжина коренів І порядку зменшувалася майже на 40,0 % і дорівнювала для сортів «Добриня» і «Гарант» – 28,1–37,5 см, для сортів «Ярило» і «Загрей» – 22,5–29,2 см. Відповідно змінювалася і довжина одного кореня І порядку. У мікроклонів контрольних варіантів вона становила в середньому 10,0 см і 8,8 см («Добриня» і «Гарант»), 9,7 см і 9,5 см («Ярило» і «Загрей»). Для рослин сорту «Добриня» після застосування біологічно активних препаратів це значення дорівнювало 6,2–10,3 см (Радіфарм), 5,4–6,2</w:t>
      </w:r>
      <w:r w:rsidR="00845D05">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см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NSimSun" w:hAnsi="Times New Roman" w:cs="Times New Roman"/>
          <w:color w:val="000000" w:themeColor="text1"/>
          <w:kern w:val="3"/>
          <w:sz w:val="28"/>
          <w:szCs w:val="28"/>
        </w:rPr>
        <w:t>), для сорту «Гарант» – 7,6–8,0 см, 5,3–6,3 см, і для рослин технічних сортів – 6,2–6,7 см, 4,4–5,7 см (сорт «Ярило»), 5,7–8,1 см, 5,1–5,5</w:t>
      </w:r>
      <w:r w:rsidR="007443B5">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см (сорт «Загрей»). На структурованих поживних середовищах довжина одного кореня у сортів «Добриня» і «Гарант» у середньому дорівнювала 3,2–5,1 см, 3,1–5,5 см, а для сортів «Ярило» і «Загрей» – 3,1–4,6 см, 3,1–5,4</w:t>
      </w:r>
      <w:r w:rsidR="00845D05">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см.</w:t>
      </w:r>
    </w:p>
    <w:p w:rsidR="008A4327" w:rsidRPr="00CC7883" w:rsidRDefault="008A4327"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Перевагу за показником загальної довжини коренів ІІ порядку так само мали рослини контрольних варіантів. Їх довжина дорівнювала у середньому 41,3–49,0 см («Добриня» і «Гарант») та 42,4–48,6 см («Ярило» і «Загрей»), а довжина одного кореня відповідно – 2,3–2,6 см («Добриня» і «Гарант»), 2,6–3,4 см («Ярило» і «Загрей»). </w:t>
      </w:r>
    </w:p>
    <w:p w:rsidR="008A4327" w:rsidRPr="00CC7883" w:rsidRDefault="008A4327"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Загальна довжина коренів ІІ порядку рослин дослідних варіантів (третій–шостий) зменшувалась на 14,7–30,9 % і 24,8–37,7 % (підщепні сорти), 31,1–39,9 % і 20,0–39,3 % (технічні сорти) і дорівнювала 28,5–37,9 см і 30,5–35,1 см, 29,1–32,9 см і 26,6–33,9 см, а довжина одного кореня ІІ порядку – відповідно зменшувалась на 36,0–54,0 % і 40,8–61,4 % (підщепні сорти), 42,8–70,2 % і 23,2–68,0 % (технічні сорти) порівняно з контролем і дорівнювала 1,0–1,5 см (підщепні сорти), 0,9–2,0 см (технічні сорти). У мікроклонів винограду сьомого–дванадцятого варіантів загальна довжина коренів ІІ порядку була меншою за контрольний показник на 21,4–34,1 % і </w:t>
      </w:r>
      <w:r w:rsidRPr="00CC7883">
        <w:rPr>
          <w:rFonts w:ascii="Times New Roman" w:eastAsia="NSimSun" w:hAnsi="Times New Roman" w:cs="Times New Roman"/>
          <w:color w:val="000000" w:themeColor="text1"/>
          <w:kern w:val="3"/>
          <w:sz w:val="28"/>
          <w:szCs w:val="28"/>
        </w:rPr>
        <w:lastRenderedPageBreak/>
        <w:t>22,1–40,5 % і дорівнювала 27,5–32,4 см і 25,8–33,7 см (підщепні сорти), на 36,1–50,2 % і 37,2–53,4 %, дорівнювал</w:t>
      </w:r>
      <w:r w:rsidR="000E1CE6">
        <w:rPr>
          <w:rFonts w:ascii="Times New Roman" w:eastAsia="NSimSun" w:hAnsi="Times New Roman" w:cs="Times New Roman"/>
          <w:color w:val="000000" w:themeColor="text1"/>
          <w:kern w:val="3"/>
          <w:sz w:val="28"/>
          <w:szCs w:val="28"/>
        </w:rPr>
        <w:t>а</w:t>
      </w:r>
      <w:r w:rsidRPr="00CC7883">
        <w:rPr>
          <w:rFonts w:ascii="Times New Roman" w:eastAsia="NSimSun" w:hAnsi="Times New Roman" w:cs="Times New Roman"/>
          <w:color w:val="000000" w:themeColor="text1"/>
          <w:kern w:val="3"/>
          <w:sz w:val="28"/>
          <w:szCs w:val="28"/>
        </w:rPr>
        <w:t xml:space="preserve"> 22,1–28,7 см і 20,5–26,6 см (технічні сорти), а довжина одного кореня ІІ порядку зменшувалась на 49,3–56,3 % і 51,1–62,2 % і дорівнювала 1,0–1,2 см і 1,0–1,3 см (підщепні сорти), на 61,3–70,5 % і 57,1–74,5 %</w:t>
      </w:r>
      <w:bookmarkEnd w:id="46"/>
      <w:r w:rsidRPr="00CC7883">
        <w:rPr>
          <w:rFonts w:ascii="Times New Roman" w:eastAsia="NSimSun" w:hAnsi="Times New Roman" w:cs="Times New Roman"/>
          <w:color w:val="000000" w:themeColor="text1"/>
          <w:kern w:val="3"/>
          <w:sz w:val="28"/>
          <w:szCs w:val="28"/>
        </w:rPr>
        <w:t>, дорівнювал</w:t>
      </w:r>
      <w:r w:rsidR="000E1CE6">
        <w:rPr>
          <w:rFonts w:ascii="Times New Roman" w:eastAsia="NSimSun" w:hAnsi="Times New Roman" w:cs="Times New Roman"/>
          <w:color w:val="000000" w:themeColor="text1"/>
          <w:kern w:val="3"/>
          <w:sz w:val="28"/>
          <w:szCs w:val="28"/>
        </w:rPr>
        <w:t>а</w:t>
      </w:r>
      <w:r w:rsidRPr="00CC7883">
        <w:rPr>
          <w:rFonts w:ascii="Times New Roman" w:eastAsia="NSimSun" w:hAnsi="Times New Roman" w:cs="Times New Roman"/>
          <w:color w:val="000000" w:themeColor="text1"/>
          <w:kern w:val="3"/>
          <w:sz w:val="28"/>
          <w:szCs w:val="28"/>
        </w:rPr>
        <w:t xml:space="preserve"> 0,9–1,2 см і 0,9–1,1 см (технічні сорти).</w:t>
      </w:r>
    </w:p>
    <w:p w:rsidR="008A4327" w:rsidRPr="00CC7883" w:rsidRDefault="008A4327"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Порівняння біометричних показників кореневої системи мікроклонів винограду за фітогормональним складом показало, що рослини винограду, які культивували на поживних середовищах із меншим вмістом фітогормонів (ІОК – 0,3 мг/л, 6-БАП – 0,2 мг/л), мали кращі показники росту та розвитку порівняно з мікроклонами винограду, що культивували на поживних середовищах із більшим вмістом фітогормонів (ІОК – 0,6 мг/л, 6-БАП – 0,5</w:t>
      </w:r>
      <w:r w:rsidR="007443B5">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мг/л). Перевага за цими показниками була: 6,8 % (загальна кількість коренів), 12,6 % (кількість коренів І порядку), 5,0 % (кількість коренів ІІ порядку), 5,6</w:t>
      </w:r>
      <w:r w:rsidR="004B7F24">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(довжина коренів І порядку), 6,6 % (довжина коренів ІІ порядку), але зменшувалась на 3,3 % (довжина одного кореня І порядку). Довжина одного кореня ІІ порядку була майже на одному рівні.</w:t>
      </w:r>
    </w:p>
    <w:p w:rsidR="008A4327" w:rsidRPr="00CC7883" w:rsidRDefault="008A4327"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i/>
          <w:iCs/>
          <w:color w:val="000000" w:themeColor="text1"/>
          <w:kern w:val="3"/>
          <w:sz w:val="28"/>
          <w:szCs w:val="28"/>
        </w:rPr>
        <w:t>Поживні субстрати</w:t>
      </w:r>
      <w:r w:rsidRPr="00CC7883">
        <w:rPr>
          <w:rFonts w:ascii="Times New Roman" w:eastAsia="NSimSun" w:hAnsi="Times New Roman" w:cs="Times New Roman"/>
          <w:color w:val="000000" w:themeColor="text1"/>
          <w:kern w:val="3"/>
          <w:sz w:val="28"/>
          <w:szCs w:val="28"/>
        </w:rPr>
        <w:t>. Через 60 діб культивування мікроклонів винограду на поживних субстратах агроперліт, вермикуліт, агроперліт + вермикуліт були проведені обліки розвитку кореневої системи. На основі отриманих результатів було встановлено, що найкращий розвиток кореневої системи (загальна кількість коренів, кількість коренів І і ІІ порядків) мали мікроклони, які культивували на поживних субстратах агроперліт + вермикуліт (1:1) (підщепні сорти) та на вермикуліті (технічні сорти) (</w:t>
      </w:r>
      <w:r w:rsidR="00DC4415" w:rsidRPr="00CC7883">
        <w:rPr>
          <w:rFonts w:ascii="Times New Roman" w:hAnsi="Times New Roman" w:cs="Times New Roman"/>
          <w:color w:val="000000" w:themeColor="text1"/>
          <w:sz w:val="28"/>
          <w:szCs w:val="28"/>
        </w:rPr>
        <w:t>табл.</w:t>
      </w:r>
      <w:r w:rsidR="007443B5">
        <w:rPr>
          <w:rFonts w:ascii="Times New Roman" w:hAnsi="Times New Roman" w:cs="Times New Roman"/>
          <w:color w:val="000000" w:themeColor="text1"/>
          <w:sz w:val="28"/>
          <w:szCs w:val="28"/>
        </w:rPr>
        <w:t> </w:t>
      </w:r>
      <w:r w:rsidRPr="00CC7883">
        <w:rPr>
          <w:rFonts w:ascii="Times New Roman" w:eastAsia="NSimSun" w:hAnsi="Times New Roman" w:cs="Times New Roman"/>
          <w:color w:val="000000" w:themeColor="text1"/>
          <w:kern w:val="3"/>
          <w:sz w:val="28"/>
          <w:szCs w:val="28"/>
        </w:rPr>
        <w:t xml:space="preserve">4.4,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 xml:space="preserve">4.7). </w:t>
      </w:r>
    </w:p>
    <w:p w:rsidR="00586AC6" w:rsidRPr="00CC7883" w:rsidRDefault="00842754" w:rsidP="00047411">
      <w:pPr>
        <w:widowControl w:val="0"/>
        <w:autoSpaceDN w:val="0"/>
        <w:spacing w:after="0" w:line="360" w:lineRule="auto"/>
        <w:ind w:firstLine="709"/>
        <w:jc w:val="both"/>
        <w:textAlignment w:val="baseline"/>
        <w:rPr>
          <w:rFonts w:ascii="Times New Roman" w:eastAsia="SimSun" w:hAnsi="Times New Roman" w:cs="Times New Roman"/>
          <w:color w:val="000000" w:themeColor="text1"/>
          <w:kern w:val="0"/>
          <w:sz w:val="28"/>
          <w:szCs w:val="28"/>
        </w:rPr>
        <w:sectPr w:rsidR="00586AC6" w:rsidRPr="00CC7883" w:rsidSect="007C4F1A">
          <w:headerReference w:type="default" r:id="rId81"/>
          <w:pgSz w:w="11906" w:h="16838"/>
          <w:pgMar w:top="1134" w:right="851" w:bottom="1134" w:left="1701" w:header="709" w:footer="709" w:gutter="0"/>
          <w:cols w:space="708"/>
          <w:docGrid w:linePitch="360"/>
        </w:sectPr>
      </w:pPr>
      <w:r w:rsidRPr="00CC7883">
        <w:rPr>
          <w:rFonts w:ascii="Times New Roman" w:eastAsia="Times New Roman" w:hAnsi="Times New Roman" w:cs="Times New Roman"/>
          <w:color w:val="000000" w:themeColor="text1"/>
          <w:kern w:val="0"/>
          <w:sz w:val="28"/>
          <w:szCs w:val="28"/>
          <w:lang w:eastAsia="ru-RU"/>
        </w:rPr>
        <w:t>У контролях</w:t>
      </w:r>
      <w:r w:rsidR="00052462" w:rsidRPr="00CC7883">
        <w:rPr>
          <w:rFonts w:ascii="Times New Roman" w:eastAsia="Times New Roman" w:hAnsi="Times New Roman" w:cs="Times New Roman"/>
          <w:color w:val="000000" w:themeColor="text1"/>
          <w:kern w:val="0"/>
          <w:sz w:val="28"/>
          <w:szCs w:val="28"/>
          <w:lang w:eastAsia="ru-RU"/>
        </w:rPr>
        <w:t xml:space="preserve">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00052462" w:rsidRPr="00CC7883">
        <w:rPr>
          <w:rFonts w:ascii="Times New Roman" w:eastAsia="Times New Roman" w:hAnsi="Times New Roman" w:cs="Times New Roman"/>
          <w:color w:val="000000" w:themeColor="text1"/>
          <w:kern w:val="0"/>
          <w:sz w:val="28"/>
          <w:szCs w:val="28"/>
          <w:lang w:eastAsia="ru-RU"/>
        </w:rPr>
        <w:t xml:space="preserve"> із різним </w:t>
      </w:r>
      <w:r w:rsidRPr="00CC7883">
        <w:rPr>
          <w:rFonts w:ascii="Times New Roman" w:eastAsia="Times New Roman" w:hAnsi="Times New Roman" w:cs="Times New Roman"/>
          <w:color w:val="000000" w:themeColor="text1"/>
          <w:kern w:val="0"/>
          <w:sz w:val="28"/>
          <w:szCs w:val="28"/>
          <w:lang w:eastAsia="ru-RU"/>
        </w:rPr>
        <w:t>вмістом</w:t>
      </w:r>
      <w:r w:rsidR="00052462" w:rsidRPr="00CC7883">
        <w:rPr>
          <w:rFonts w:ascii="Times New Roman" w:eastAsia="Times New Roman" w:hAnsi="Times New Roman" w:cs="Times New Roman"/>
          <w:color w:val="000000" w:themeColor="text1"/>
          <w:kern w:val="0"/>
          <w:sz w:val="28"/>
          <w:szCs w:val="28"/>
          <w:lang w:eastAsia="ru-RU"/>
        </w:rPr>
        <w:t xml:space="preserve"> фітогормонів ІОК і 6-БАП) цей показник перебував у межах 18,0–25,0 шт. На вермикуліті (четвертий варіант) кількість коренів збільшувалася у середньому на 38,3–61,0 % відносно контролю: у сортів «Добриня», «Гарант», «Ярило» та «Загрей» цей показник дорівнював відповідно 35,6 шт.; 32,7 шт.; 31,0 шт.; 31,4 шт. </w:t>
      </w:r>
      <w:bookmarkEnd w:id="44"/>
    </w:p>
    <w:p w:rsidR="008A4327" w:rsidRPr="00CC7883" w:rsidRDefault="008A4327" w:rsidP="00047411">
      <w:pPr>
        <w:widowControl w:val="0"/>
        <w:spacing w:after="0" w:line="360" w:lineRule="auto"/>
        <w:ind w:firstLine="708"/>
        <w:jc w:val="right"/>
        <w:rPr>
          <w:rFonts w:ascii="Times New Roman" w:eastAsia="NSimSun" w:hAnsi="Times New Roman" w:cs="Times New Roman"/>
          <w:bCs/>
          <w:i/>
          <w:iCs/>
          <w:color w:val="000000" w:themeColor="text1"/>
          <w:kern w:val="3"/>
          <w:sz w:val="28"/>
          <w:szCs w:val="28"/>
        </w:rPr>
      </w:pPr>
      <w:r w:rsidRPr="00CC7883">
        <w:rPr>
          <w:rFonts w:ascii="Times New Roman" w:eastAsia="NSimSun" w:hAnsi="Times New Roman" w:cs="Times New Roman"/>
          <w:bCs/>
          <w:i/>
          <w:iCs/>
          <w:color w:val="000000" w:themeColor="text1"/>
          <w:kern w:val="3"/>
          <w:sz w:val="28"/>
          <w:szCs w:val="28"/>
        </w:rPr>
        <w:lastRenderedPageBreak/>
        <w:t>Таблиця 4.4</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b/>
          <w:bCs/>
          <w:color w:val="000000" w:themeColor="text1"/>
          <w:kern w:val="3"/>
          <w:sz w:val="28"/>
          <w:szCs w:val="28"/>
        </w:rPr>
        <w:t>Біометричні показники розвитку кореневої системи мікроклонів винограду на різних типах поживних субстратів (середнє за 2019–2022 рр.)</w:t>
      </w:r>
    </w:p>
    <w:tbl>
      <w:tblPr>
        <w:tblW w:w="14601" w:type="dxa"/>
        <w:tblInd w:w="108" w:type="dxa"/>
        <w:tblLayout w:type="fixed"/>
        <w:tblCellMar>
          <w:left w:w="10" w:type="dxa"/>
          <w:right w:w="10" w:type="dxa"/>
        </w:tblCellMar>
        <w:tblLook w:val="04A0"/>
      </w:tblPr>
      <w:tblGrid>
        <w:gridCol w:w="1843"/>
        <w:gridCol w:w="1418"/>
        <w:gridCol w:w="1417"/>
        <w:gridCol w:w="1418"/>
        <w:gridCol w:w="2268"/>
        <w:gridCol w:w="2551"/>
        <w:gridCol w:w="1843"/>
        <w:gridCol w:w="1843"/>
      </w:tblGrid>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bookmarkStart w:id="47" w:name="_Hlk210401365"/>
            <w:r w:rsidRPr="00CC7883">
              <w:rPr>
                <w:rFonts w:ascii="Times New Roman" w:eastAsia="Calibri" w:hAnsi="Times New Roman" w:cs="Times New Roman"/>
                <w:color w:val="000000" w:themeColor="text1"/>
                <w:kern w:val="0"/>
                <w:sz w:val="28"/>
                <w:szCs w:val="28"/>
              </w:rPr>
              <w:t>Варіанти</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Загальна кількість коренів, шт.</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color w:val="000000" w:themeColor="text1"/>
                <w:kern w:val="0"/>
                <w:sz w:val="28"/>
                <w:szCs w:val="28"/>
              </w:rPr>
              <w:t>Кількість коренів I порядку, шт.</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Кількість коренів IІ порядку, шт.</w:t>
            </w:r>
          </w:p>
        </w:tc>
        <w:tc>
          <w:tcPr>
            <w:tcW w:w="2268" w:type="dxa"/>
            <w:tcBorders>
              <w:top w:val="single" w:sz="4" w:space="0" w:color="000000"/>
              <w:left w:val="single" w:sz="4" w:space="0" w:color="000000"/>
              <w:bottom w:val="single" w:sz="4" w:space="0" w:color="000000"/>
              <w:right w:val="single" w:sz="4" w:space="0" w:color="000000"/>
            </w:tcBorders>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Загальна довжина коренів І порядку</w:t>
            </w:r>
            <w:r w:rsidR="00A334B2">
              <w:rPr>
                <w:rFonts w:ascii="Times New Roman" w:eastAsia="Calibri" w:hAnsi="Times New Roman" w:cs="Times New Roman"/>
                <w:color w:val="000000" w:themeColor="text1"/>
                <w:kern w:val="0"/>
                <w:sz w:val="28"/>
                <w:szCs w:val="28"/>
              </w:rPr>
              <w:t>, см</w:t>
            </w:r>
          </w:p>
        </w:tc>
        <w:tc>
          <w:tcPr>
            <w:tcW w:w="2551" w:type="dxa"/>
            <w:tcBorders>
              <w:top w:val="single" w:sz="4" w:space="0" w:color="000000"/>
              <w:left w:val="single" w:sz="4" w:space="0" w:color="000000"/>
              <w:bottom w:val="single" w:sz="4" w:space="0" w:color="000000"/>
              <w:right w:val="single" w:sz="4" w:space="0" w:color="000000"/>
            </w:tcBorders>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Загальна довжина коренів ІІ порядку</w:t>
            </w:r>
            <w:r w:rsidR="00A334B2">
              <w:rPr>
                <w:rFonts w:ascii="Times New Roman" w:eastAsia="Calibri" w:hAnsi="Times New Roman" w:cs="Times New Roman"/>
                <w:color w:val="000000" w:themeColor="text1"/>
                <w:kern w:val="0"/>
                <w:sz w:val="28"/>
                <w:szCs w:val="28"/>
              </w:rPr>
              <w:t>, см</w:t>
            </w:r>
          </w:p>
        </w:tc>
        <w:tc>
          <w:tcPr>
            <w:tcW w:w="1843" w:type="dxa"/>
            <w:tcBorders>
              <w:top w:val="single" w:sz="4" w:space="0" w:color="000000"/>
              <w:left w:val="single" w:sz="4" w:space="0" w:color="000000"/>
              <w:bottom w:val="single" w:sz="4" w:space="0" w:color="000000"/>
              <w:right w:val="single" w:sz="4" w:space="0" w:color="000000"/>
            </w:tcBorders>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Довжина одного кореня І порядку</w:t>
            </w:r>
            <w:r w:rsidR="00A334B2">
              <w:rPr>
                <w:rFonts w:ascii="Times New Roman" w:eastAsia="Calibri" w:hAnsi="Times New Roman" w:cs="Times New Roman"/>
                <w:color w:val="000000" w:themeColor="text1"/>
                <w:kern w:val="0"/>
                <w:sz w:val="28"/>
                <w:szCs w:val="28"/>
              </w:rPr>
              <w:t>, см</w:t>
            </w:r>
          </w:p>
        </w:tc>
        <w:tc>
          <w:tcPr>
            <w:tcW w:w="1843" w:type="dxa"/>
            <w:tcBorders>
              <w:top w:val="single" w:sz="4" w:space="0" w:color="000000"/>
              <w:left w:val="single" w:sz="4" w:space="0" w:color="000000"/>
              <w:bottom w:val="single" w:sz="4" w:space="0" w:color="000000"/>
              <w:right w:val="single" w:sz="4" w:space="0" w:color="000000"/>
            </w:tcBorders>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Довжина одного кореня ІІ порядку</w:t>
            </w:r>
            <w:r w:rsidR="00A334B2">
              <w:rPr>
                <w:rFonts w:ascii="Times New Roman" w:eastAsia="Calibri" w:hAnsi="Times New Roman" w:cs="Times New Roman"/>
                <w:color w:val="000000" w:themeColor="text1"/>
                <w:kern w:val="0"/>
                <w:sz w:val="28"/>
                <w:szCs w:val="28"/>
              </w:rPr>
              <w:t>, см</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2</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4</w:t>
            </w:r>
          </w:p>
        </w:tc>
        <w:tc>
          <w:tcPr>
            <w:tcW w:w="2268" w:type="dxa"/>
            <w:tcBorders>
              <w:top w:val="single" w:sz="4" w:space="0" w:color="000000"/>
              <w:left w:val="single" w:sz="4" w:space="0" w:color="000000"/>
              <w:bottom w:val="single" w:sz="4" w:space="0" w:color="000000"/>
              <w:right w:val="single" w:sz="4" w:space="0" w:color="000000"/>
            </w:tcBorders>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5</w:t>
            </w:r>
          </w:p>
        </w:tc>
        <w:tc>
          <w:tcPr>
            <w:tcW w:w="2551" w:type="dxa"/>
            <w:tcBorders>
              <w:top w:val="single" w:sz="4" w:space="0" w:color="000000"/>
              <w:left w:val="single" w:sz="4" w:space="0" w:color="000000"/>
              <w:bottom w:val="single" w:sz="4" w:space="0" w:color="000000"/>
              <w:right w:val="single" w:sz="4" w:space="0" w:color="000000"/>
            </w:tcBorders>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6</w:t>
            </w:r>
          </w:p>
        </w:tc>
        <w:tc>
          <w:tcPr>
            <w:tcW w:w="1843" w:type="dxa"/>
            <w:tcBorders>
              <w:top w:val="single" w:sz="4" w:space="0" w:color="000000"/>
              <w:left w:val="single" w:sz="4" w:space="0" w:color="000000"/>
              <w:bottom w:val="single" w:sz="4" w:space="0" w:color="000000"/>
              <w:right w:val="single" w:sz="4" w:space="0" w:color="000000"/>
            </w:tcBorders>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7</w:t>
            </w:r>
          </w:p>
        </w:tc>
        <w:tc>
          <w:tcPr>
            <w:tcW w:w="1843" w:type="dxa"/>
            <w:tcBorders>
              <w:top w:val="single" w:sz="4" w:space="0" w:color="000000"/>
              <w:left w:val="single" w:sz="4" w:space="0" w:color="000000"/>
              <w:bottom w:val="single" w:sz="4" w:space="0" w:color="000000"/>
              <w:right w:val="single" w:sz="4" w:space="0" w:color="000000"/>
            </w:tcBorders>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8</w:t>
            </w:r>
          </w:p>
        </w:tc>
      </w:tr>
      <w:tr w:rsidR="008A4327" w:rsidRPr="00CC7883" w:rsidTr="00E87F69">
        <w:tc>
          <w:tcPr>
            <w:tcW w:w="14601"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«Добриня»</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23,7</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18,7</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51,6</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44,4</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10,3</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22,7</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17,7</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48,1</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41,3</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9,6</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2,3</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18,3</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8,8</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9,5</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11,0</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12,0</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0,7</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35,6</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18,9</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13,3</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12,7</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8,7</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35,8</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16,8</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19,0</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14,0</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18,8</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7,5</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4,8</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0,95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1,2</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10,0</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11,1</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1,6</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0,6</w:t>
            </w:r>
          </w:p>
        </w:tc>
      </w:tr>
      <w:tr w:rsidR="008A4327" w:rsidRPr="00CC7883" w:rsidTr="00E87F69">
        <w:tc>
          <w:tcPr>
            <w:tcW w:w="14601"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«Гарант»</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19,0</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53,7</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49,0</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8,9</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22,3</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16,8</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47,9</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43,3</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8,7</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32,3</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17,0</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6,2</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25,4</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8,2</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0,9</w:t>
            </w:r>
          </w:p>
        </w:tc>
      </w:tr>
      <w:tr w:rsidR="008A4327" w:rsidRPr="00CC7883" w:rsidTr="00E87F69">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32,7</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19,5</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16,7</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33,4</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7,3</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35,7</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15,6</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20,1</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19,9</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42,2</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4,1</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2,1</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5,0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1,0</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11,3</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10,6</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1,0</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0,5</w:t>
            </w:r>
          </w:p>
        </w:tc>
      </w:tr>
      <w:bookmarkEnd w:id="47"/>
    </w:tbl>
    <w:p w:rsidR="00F74019" w:rsidRPr="00CC7883" w:rsidRDefault="008A4327" w:rsidP="00047411">
      <w:pPr>
        <w:widowControl w:val="0"/>
        <w:spacing w:line="259" w:lineRule="auto"/>
        <w:rPr>
          <w:rFonts w:ascii="Times New Roman" w:eastAsia="SimSun" w:hAnsi="Times New Roman" w:cs="Times New Roman"/>
          <w:color w:val="000000" w:themeColor="text1"/>
          <w:kern w:val="0"/>
          <w:sz w:val="22"/>
          <w:szCs w:val="22"/>
        </w:rPr>
        <w:sectPr w:rsidR="00F74019" w:rsidRPr="00CC7883" w:rsidSect="00E87F69">
          <w:headerReference w:type="default" r:id="rId82"/>
          <w:footerReference w:type="default" r:id="rId83"/>
          <w:pgSz w:w="16838" w:h="11906" w:orient="landscape"/>
          <w:pgMar w:top="1701" w:right="1134" w:bottom="851" w:left="1134" w:header="709" w:footer="709" w:gutter="0"/>
          <w:cols w:space="708"/>
          <w:docGrid w:linePitch="360"/>
        </w:sectPr>
      </w:pPr>
      <w:r w:rsidRPr="00CC7883">
        <w:rPr>
          <w:rFonts w:ascii="Times New Roman" w:eastAsia="SimSun" w:hAnsi="Times New Roman" w:cs="Times New Roman"/>
          <w:color w:val="000000" w:themeColor="text1"/>
          <w:kern w:val="0"/>
          <w:sz w:val="22"/>
          <w:szCs w:val="22"/>
        </w:rPr>
        <w:br w:type="page"/>
      </w:r>
    </w:p>
    <w:p w:rsidR="008A4327" w:rsidRPr="00CC7883" w:rsidRDefault="00E87F69" w:rsidP="00E87F69">
      <w:pPr>
        <w:widowControl w:val="0"/>
        <w:spacing w:line="259" w:lineRule="auto"/>
        <w:ind w:right="-31"/>
        <w:jc w:val="right"/>
        <w:rPr>
          <w:rFonts w:ascii="Times New Roman" w:eastAsia="SimSun" w:hAnsi="Times New Roman" w:cs="Times New Roman"/>
          <w:color w:val="000000" w:themeColor="text1"/>
          <w:kern w:val="0"/>
        </w:rPr>
      </w:pPr>
      <w:bookmarkStart w:id="48" w:name="_Hlk210401415"/>
      <w:r>
        <w:rPr>
          <w:rFonts w:ascii="Times New Roman" w:eastAsia="SimSun" w:hAnsi="Times New Roman" w:cs="Times New Roman"/>
          <w:color w:val="000000" w:themeColor="text1"/>
          <w:kern w:val="0"/>
        </w:rPr>
        <w:lastRenderedPageBreak/>
        <w:t xml:space="preserve">  </w:t>
      </w:r>
      <w:r w:rsidR="008A4327" w:rsidRPr="00CC7883">
        <w:rPr>
          <w:rFonts w:ascii="Times New Roman" w:eastAsia="SimSun" w:hAnsi="Times New Roman" w:cs="Times New Roman"/>
          <w:color w:val="000000" w:themeColor="text1"/>
          <w:kern w:val="0"/>
        </w:rPr>
        <w:t>Продовження табл. 4.4</w:t>
      </w:r>
    </w:p>
    <w:tbl>
      <w:tblPr>
        <w:tblW w:w="14601" w:type="dxa"/>
        <w:tblInd w:w="108" w:type="dxa"/>
        <w:tblLayout w:type="fixed"/>
        <w:tblCellMar>
          <w:left w:w="10" w:type="dxa"/>
          <w:right w:w="10" w:type="dxa"/>
        </w:tblCellMar>
        <w:tblLook w:val="04A0"/>
      </w:tblPr>
      <w:tblGrid>
        <w:gridCol w:w="1843"/>
        <w:gridCol w:w="1418"/>
        <w:gridCol w:w="1417"/>
        <w:gridCol w:w="1418"/>
        <w:gridCol w:w="2268"/>
        <w:gridCol w:w="2551"/>
        <w:gridCol w:w="1843"/>
        <w:gridCol w:w="1843"/>
      </w:tblGrid>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rPr>
            </w:pPr>
            <w:r w:rsidRPr="00CC7883">
              <w:rPr>
                <w:rFonts w:ascii="Times New Roman" w:eastAsia="Calibri" w:hAnsi="Times New Roman" w:cs="Times New Roman"/>
                <w:color w:val="000000" w:themeColor="text1"/>
                <w:kern w:val="0"/>
              </w:rPr>
              <w:t>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2</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4</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5</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6</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7</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rPr>
              <w:t>8</w:t>
            </w:r>
          </w:p>
        </w:tc>
      </w:tr>
      <w:tr w:rsidR="008A4327" w:rsidRPr="00CC7883" w:rsidTr="00E87F69">
        <w:trPr>
          <w:trHeight w:val="315"/>
        </w:trPr>
        <w:tc>
          <w:tcPr>
            <w:tcW w:w="14601"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«Ярило»</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21,0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16,0</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50,0</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48,6</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10,0</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3,0</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19,0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14,0</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46,9</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44,4</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9,4</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3,2</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28,6</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17,3</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11,7</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11,4</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6,8</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0,9</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31,0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18,8</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18,2</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17,2</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26,6</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6,8</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19,8</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18,6</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22,4</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7,7</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1,1</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rPr>
              <w:t>НІР</w:t>
            </w:r>
            <w:r w:rsidRPr="00CC7883">
              <w:rPr>
                <w:rFonts w:ascii="Times New Roman" w:eastAsia="Calibri" w:hAnsi="Times New Roman" w:cs="Times New Roman"/>
                <w:color w:val="000000" w:themeColor="text1"/>
                <w:kern w:val="0"/>
                <w:sz w:val="28"/>
                <w:vertAlign w:val="subscript"/>
              </w:rPr>
              <w:t>05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rPr>
              <w:t>5,5</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rPr>
              <w:t>1,2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rPr>
              <w:t>1,1</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rPr>
              <w:t>11,0</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rPr>
              <w:t>10,0</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rPr>
              <w:t>1,0</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rPr>
              <w:t>0,7</w:t>
            </w:r>
          </w:p>
        </w:tc>
      </w:tr>
      <w:tr w:rsidR="008A4327" w:rsidRPr="00CC7883" w:rsidTr="00E87F69">
        <w:trPr>
          <w:trHeight w:val="315"/>
        </w:trPr>
        <w:tc>
          <w:tcPr>
            <w:tcW w:w="14601"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«Загрей»</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21,0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16,0</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47,2</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42,4</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9,4</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2,6</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18,0</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13,0</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47,9</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43,9</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9,6</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3,4</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27,5</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14,0</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12,3</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13,7</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7,2</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1,2</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4</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31,4</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13,7</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17,7</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15,4</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15,3</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6,7</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1,3</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27,3</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8,0</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19,3</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24,2</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16,1</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6,3</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3"/>
                <w:sz w:val="28"/>
                <w:szCs w:val="28"/>
              </w:rPr>
              <w:t>1,5</w:t>
            </w:r>
          </w:p>
        </w:tc>
      </w:tr>
      <w:tr w:rsidR="008A4327" w:rsidRPr="00CC7883" w:rsidTr="00E87F69">
        <w:trPr>
          <w:trHeight w:val="315"/>
        </w:trPr>
        <w:tc>
          <w:tcPr>
            <w:tcW w:w="184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A4327" w:rsidRPr="00CC7883" w:rsidRDefault="008A4327" w:rsidP="00047411">
            <w:pPr>
              <w:widowControl w:val="0"/>
              <w:autoSpaceDN w:val="0"/>
              <w:spacing w:after="0" w:line="240" w:lineRule="auto"/>
              <w:jc w:val="center"/>
              <w:textAlignment w:val="baseline"/>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НІР</w:t>
            </w:r>
            <w:r w:rsidRPr="00CC7883">
              <w:rPr>
                <w:rFonts w:ascii="Times New Roman" w:eastAsia="Calibri" w:hAnsi="Times New Roman" w:cs="Times New Roman"/>
                <w:color w:val="000000" w:themeColor="text1"/>
                <w:kern w:val="0"/>
                <w:sz w:val="28"/>
                <w:szCs w:val="28"/>
                <w:vertAlign w:val="subscript"/>
              </w:rPr>
              <w:t>05</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5,6</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1,3</w:t>
            </w:r>
          </w:p>
        </w:tc>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1,3</w:t>
            </w:r>
          </w:p>
        </w:tc>
        <w:tc>
          <w:tcPr>
            <w:tcW w:w="2268"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11,5</w:t>
            </w:r>
          </w:p>
        </w:tc>
        <w:tc>
          <w:tcPr>
            <w:tcW w:w="2551"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10,5</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1,1</w:t>
            </w:r>
          </w:p>
        </w:tc>
        <w:tc>
          <w:tcPr>
            <w:tcW w:w="1843" w:type="dxa"/>
            <w:tcBorders>
              <w:top w:val="single" w:sz="4" w:space="0" w:color="000000"/>
              <w:left w:val="single" w:sz="4" w:space="0" w:color="000000"/>
              <w:bottom w:val="single" w:sz="4" w:space="0" w:color="000000"/>
              <w:right w:val="single" w:sz="4" w:space="0" w:color="000000"/>
            </w:tcBorders>
            <w:vAlign w:val="bottom"/>
          </w:tcPr>
          <w:p w:rsidR="008A4327" w:rsidRPr="00CC7883" w:rsidRDefault="008A4327"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0,6</w:t>
            </w:r>
          </w:p>
        </w:tc>
      </w:tr>
      <w:bookmarkEnd w:id="48"/>
    </w:tbl>
    <w:p w:rsidR="008A4327" w:rsidRPr="00CC7883" w:rsidRDefault="008A4327"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p>
    <w:p w:rsidR="00E926EC" w:rsidRDefault="00E926EC"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bookmarkStart w:id="49" w:name="_Hlk156241843"/>
    </w:p>
    <w:p w:rsidR="00071A62" w:rsidRDefault="00071A62"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p>
    <w:p w:rsidR="00071A62" w:rsidRDefault="00071A62"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p>
    <w:p w:rsidR="00071A62" w:rsidRDefault="00071A62"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p>
    <w:p w:rsidR="00071A62" w:rsidRDefault="00071A62"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p>
    <w:p w:rsidR="00071A62" w:rsidRDefault="00071A62"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p>
    <w:p w:rsidR="00071A62" w:rsidRPr="00CC7883" w:rsidRDefault="00071A62"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sectPr w:rsidR="00071A62" w:rsidRPr="00CC7883" w:rsidSect="008A4327">
          <w:footerReference w:type="default" r:id="rId84"/>
          <w:pgSz w:w="16838" w:h="11906" w:orient="landscape"/>
          <w:pgMar w:top="1701" w:right="1134" w:bottom="851" w:left="1134" w:header="709" w:footer="709" w:gutter="0"/>
          <w:cols w:space="708"/>
          <w:docGrid w:linePitch="360"/>
        </w:sectPr>
      </w:pPr>
    </w:p>
    <w:p w:rsidR="008A4327" w:rsidRPr="00CC7883" w:rsidRDefault="008A4327"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szCs w:val="28"/>
        </w:rPr>
      </w:pPr>
      <w:bookmarkStart w:id="50" w:name="_Hlk156241867"/>
      <w:bookmarkEnd w:id="49"/>
      <w:r w:rsidRPr="00CC7883">
        <w:rPr>
          <w:rFonts w:ascii="Times New Roman" w:eastAsia="NSimSun" w:hAnsi="Times New Roman" w:cs="Times New Roman"/>
          <w:noProof/>
          <w:color w:val="000000" w:themeColor="text1"/>
          <w:kern w:val="3"/>
          <w:lang w:val="ru-RU" w:eastAsia="ru-RU"/>
        </w:rPr>
        <w:lastRenderedPageBreak/>
        <w:drawing>
          <wp:inline distT="0" distB="0" distL="0" distR="0">
            <wp:extent cx="2469600" cy="2880000"/>
            <wp:effectExtent l="19050" t="19050" r="6985" b="0"/>
            <wp:docPr id="1044846418" name="Рисунок 21" descr="Зображення, що містить ескіз, рослина, мистецтво, ботаніка&#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846418" name="Рисунок 21" descr="Зображення, що містить ескіз, рослина, мистецтво, ботаніка&#10;&#10;Автоматично згенерований опис"/>
                    <pic:cNvPicPr preferRelativeResize="0">
                      <a:picLocks noChangeAspect="1" noChangeArrowheads="1"/>
                    </pic:cNvPicPr>
                  </pic:nvPicPr>
                  <pic:blipFill>
                    <a:blip r:embed="rId8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69600" cy="2880000"/>
                    </a:xfrm>
                    <a:prstGeom prst="rect">
                      <a:avLst/>
                    </a:prstGeom>
                    <a:noFill/>
                    <a:ln>
                      <a:solidFill>
                        <a:sysClr val="windowText" lastClr="000000"/>
                      </a:solidFill>
                    </a:ln>
                  </pic:spPr>
                </pic:pic>
              </a:graphicData>
            </a:graphic>
          </wp:inline>
        </w:drawing>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noProof/>
          <w:color w:val="000000" w:themeColor="text1"/>
          <w:kern w:val="3"/>
          <w:lang w:val="ru-RU" w:eastAsia="ru-RU"/>
        </w:rPr>
        <w:drawing>
          <wp:inline distT="0" distB="0" distL="0" distR="0">
            <wp:extent cx="2552400" cy="2880000"/>
            <wp:effectExtent l="19050" t="19050" r="635" b="0"/>
            <wp:docPr id="134993921" name="Рисунок 22" descr="Зображення, що містить осінь&#10;&#10;Автоматично згенерований опис із низьким рівнем достовірност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93921" name="Рисунок 22" descr="Зображення, що містить осінь&#10;&#10;Автоматично згенерований опис із низьким рівнем достовірності"/>
                    <pic:cNvPicPr preferRelativeResize="0">
                      <a:picLocks noChangeAspect="1" noChangeArrowheads="1"/>
                    </pic:cNvPicPr>
                  </pic:nvPicPr>
                  <pic:blipFill rotWithShape="1">
                    <a:blip r:embed="rId8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41" t="444" r="541" b="444"/>
                    <a:stretch/>
                  </pic:blipFill>
                  <pic:spPr bwMode="auto">
                    <a:xfrm>
                      <a:off x="0" y="0"/>
                      <a:ext cx="2552400" cy="288000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A4327" w:rsidRPr="00CC7883" w:rsidRDefault="000F31F4"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Агроперліт</w:t>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r>
      <w:r w:rsidRPr="00CC7883">
        <w:rPr>
          <w:rFonts w:ascii="Times New Roman" w:eastAsia="NSimSun" w:hAnsi="Times New Roman" w:cs="Times New Roman"/>
          <w:color w:val="000000" w:themeColor="text1"/>
          <w:kern w:val="3"/>
          <w:sz w:val="28"/>
          <w:szCs w:val="28"/>
        </w:rPr>
        <w:tab/>
        <w:t xml:space="preserve">            </w:t>
      </w:r>
      <w:r w:rsidR="008A4327" w:rsidRPr="00CC7883">
        <w:rPr>
          <w:rFonts w:ascii="Times New Roman" w:eastAsia="NSimSun" w:hAnsi="Times New Roman" w:cs="Times New Roman"/>
          <w:color w:val="000000" w:themeColor="text1"/>
          <w:kern w:val="3"/>
          <w:sz w:val="28"/>
          <w:szCs w:val="28"/>
        </w:rPr>
        <w:t>Вермикуліт</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noProof/>
          <w:color w:val="000000" w:themeColor="text1"/>
          <w:kern w:val="3"/>
          <w:lang w:val="ru-RU" w:eastAsia="ru-RU"/>
        </w:rPr>
        <w:drawing>
          <wp:inline distT="0" distB="0" distL="0" distR="0">
            <wp:extent cx="2023200" cy="2880000"/>
            <wp:effectExtent l="19050" t="19050" r="0" b="0"/>
            <wp:docPr id="1508567255" name="Рисунок 23" descr="Зображення, що містить ескіз, рослина, мистецтво&#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567255" name="Рисунок 23" descr="Зображення, що містить ескіз, рослина, мистецтво&#10;&#10;Автоматично згенерований опис"/>
                    <pic:cNvPicPr preferRelativeResize="0">
                      <a:picLocks noChangeAspect="1" noChangeArrowheads="1"/>
                    </pic:cNvPicPr>
                  </pic:nvPicPr>
                  <pic:blipFill rotWithShape="1">
                    <a:blip r:embed="rId8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702" r="702"/>
                    <a:stretch/>
                  </pic:blipFill>
                  <pic:spPr bwMode="auto">
                    <a:xfrm>
                      <a:off x="0" y="0"/>
                      <a:ext cx="2023200" cy="2880000"/>
                    </a:xfrm>
                    <a:prstGeom prst="rect">
                      <a:avLst/>
                    </a:prstGeom>
                    <a:noFill/>
                    <a:ln w="9525" cap="flat" cmpd="sng" algn="ctr">
                      <a:solidFill>
                        <a:sysClr val="windowText" lastClr="000000"/>
                      </a:solidFill>
                      <a:prstDash val="solid"/>
                      <a:round/>
                      <a:headEnd type="none" w="med" len="med"/>
                      <a:tailEnd type="none" w="med" len="med"/>
                      <a:extLst>
                        <a:ext uri="{C807C97D-BFC1-408E-A445-0C87EB9F89A2}">
                          <ask:lineSketchStyleProps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sk="http://schemas.microsoft.com/office/drawing/2018/sketchyshapes"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sd="0">
                            <a:custGeom>
                              <a:avLst/>
                              <a:gdLst/>
                              <a:ahLst/>
                              <a:cxnLst/>
                              <a:rect l="0" t="0" r="0" b="0"/>
                              <a:pathLst/>
                            </a:custGeom>
                            <ask:type/>
                          </ask:lineSketchStyleProps>
                        </a:ext>
                      </a:extLst>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rPr>
      </w:pPr>
      <w:r w:rsidRPr="00CC7883">
        <w:rPr>
          <w:rFonts w:ascii="Times New Roman" w:eastAsia="NSimSun" w:hAnsi="Times New Roman" w:cs="Times New Roman"/>
          <w:color w:val="000000" w:themeColor="text1"/>
          <w:kern w:val="3"/>
          <w:sz w:val="28"/>
        </w:rPr>
        <w:t>Агроперліт + вермикуліт</w:t>
      </w:r>
    </w:p>
    <w:p w:rsidR="008A4327" w:rsidRPr="00CC7883" w:rsidRDefault="008A4327" w:rsidP="00047411">
      <w:pPr>
        <w:widowControl w:val="0"/>
        <w:autoSpaceDN w:val="0"/>
        <w:spacing w:after="0" w:line="360" w:lineRule="auto"/>
        <w:jc w:val="center"/>
        <w:textAlignment w:val="baseline"/>
        <w:rPr>
          <w:rFonts w:ascii="Times New Roman" w:eastAsia="NSimSun" w:hAnsi="Times New Roman" w:cs="Times New Roman"/>
          <w:bCs/>
          <w:color w:val="000000" w:themeColor="text1"/>
          <w:kern w:val="3"/>
          <w:sz w:val="28"/>
          <w:szCs w:val="28"/>
        </w:rPr>
      </w:pPr>
      <w:r w:rsidRPr="00CC7883">
        <w:rPr>
          <w:rFonts w:ascii="Times New Roman" w:eastAsia="NSimSun" w:hAnsi="Times New Roman" w:cs="Times New Roman"/>
          <w:bCs/>
          <w:color w:val="000000" w:themeColor="text1"/>
          <w:kern w:val="3"/>
          <w:sz w:val="28"/>
          <w:szCs w:val="28"/>
        </w:rPr>
        <w:t>Рис. 4.7. Довжина коренів мікроклонів винограду на різних типах поживних субстратів</w:t>
      </w:r>
    </w:p>
    <w:p w:rsidR="008A4327" w:rsidRPr="00CC7883" w:rsidRDefault="008A4327"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szCs w:val="28"/>
        </w:rPr>
      </w:pPr>
    </w:p>
    <w:p w:rsidR="00586AC6" w:rsidRPr="00CC7883" w:rsidRDefault="00586AC6" w:rsidP="0098700F">
      <w:pPr>
        <w:widowControl w:val="0"/>
        <w:autoSpaceDN w:val="0"/>
        <w:spacing w:after="0" w:line="360" w:lineRule="auto"/>
        <w:ind w:firstLine="709"/>
        <w:jc w:val="both"/>
        <w:textAlignment w:val="baseline"/>
        <w:rPr>
          <w:rFonts w:ascii="Times New Roman" w:eastAsia="Times New Roman" w:hAnsi="Times New Roman" w:cs="Times New Roman"/>
          <w:color w:val="000000" w:themeColor="text1"/>
          <w:kern w:val="0"/>
          <w:sz w:val="28"/>
          <w:szCs w:val="28"/>
          <w:lang w:eastAsia="ru-RU"/>
        </w:rPr>
      </w:pPr>
      <w:r w:rsidRPr="00CC7883">
        <w:rPr>
          <w:rFonts w:ascii="Times New Roman" w:eastAsia="Times New Roman" w:hAnsi="Times New Roman" w:cs="Times New Roman"/>
          <w:color w:val="000000" w:themeColor="text1"/>
          <w:kern w:val="0"/>
          <w:sz w:val="28"/>
          <w:szCs w:val="28"/>
          <w:lang w:eastAsia="ru-RU"/>
        </w:rPr>
        <w:t>На суміші агроперліту з вермикулітом (п’ятий варіант) формувалася менша кількість коренів (але також відмінна від контролю) – 26,6–35,8 шт. На агроперліті (третій варіант) кількість коренів була найменшою, що може свідчити про його менш сприятливі фізико-хімічні властивості для розвитку кореневої системи.</w:t>
      </w:r>
    </w:p>
    <w:p w:rsidR="00586AC6" w:rsidRPr="00CC7883" w:rsidRDefault="00586AC6" w:rsidP="00047411">
      <w:pPr>
        <w:widowControl w:val="0"/>
        <w:autoSpaceDN w:val="0"/>
        <w:spacing w:after="0" w:line="360" w:lineRule="auto"/>
        <w:ind w:firstLine="709"/>
        <w:jc w:val="both"/>
        <w:textAlignment w:val="baseline"/>
        <w:rPr>
          <w:rFonts w:ascii="Times New Roman" w:eastAsia="Times New Roman" w:hAnsi="Times New Roman" w:cs="Times New Roman"/>
          <w:color w:val="000000" w:themeColor="text1"/>
          <w:kern w:val="0"/>
          <w:sz w:val="28"/>
          <w:szCs w:val="28"/>
          <w:lang w:eastAsia="ru-RU"/>
        </w:rPr>
      </w:pPr>
      <w:r w:rsidRPr="00CC7883">
        <w:rPr>
          <w:rFonts w:ascii="Times New Roman" w:eastAsia="Times New Roman" w:hAnsi="Times New Roman" w:cs="Times New Roman"/>
          <w:color w:val="000000" w:themeColor="text1"/>
          <w:kern w:val="0"/>
          <w:sz w:val="28"/>
          <w:szCs w:val="28"/>
          <w:lang w:eastAsia="ru-RU"/>
        </w:rPr>
        <w:lastRenderedPageBreak/>
        <w:t>Використання мінеральних субстратів сприяло більш інтенсивному формуванню коренів І порядку порівняно з контролем. У рослин контрольних варіантів кількість коренів І порядку дорівнювала 5,0–6,0 шт. На вермикуліті та суміші агроперліт + вермикуліт цей показник збільшувався у 1,4–3,4 раз</w:t>
      </w:r>
      <w:r w:rsidR="000B4DB9">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 Зокрема, у сорту «Добриня» кількість коренів І порядку на вермикуліті становила 16,7 шт., на суміші – 16,8 шт., що в середньому у 3,4</w:t>
      </w:r>
      <w:r w:rsidR="0026149E">
        <w:rPr>
          <w:rFonts w:ascii="Times New Roman" w:eastAsia="Times New Roman" w:hAnsi="Times New Roman" w:cs="Times New Roman"/>
          <w:color w:val="000000" w:themeColor="text1"/>
          <w:kern w:val="0"/>
          <w:sz w:val="28"/>
          <w:szCs w:val="28"/>
          <w:lang w:eastAsia="ru-RU"/>
        </w:rPr>
        <w:t> </w:t>
      </w:r>
      <w:r w:rsidR="000B4DB9" w:rsidRPr="00CC7883">
        <w:rPr>
          <w:rFonts w:ascii="Times New Roman" w:eastAsia="Times New Roman" w:hAnsi="Times New Roman" w:cs="Times New Roman"/>
          <w:color w:val="000000" w:themeColor="text1"/>
          <w:kern w:val="0"/>
          <w:sz w:val="28"/>
          <w:szCs w:val="28"/>
          <w:lang w:eastAsia="ru-RU"/>
        </w:rPr>
        <w:t>раз</w:t>
      </w:r>
      <w:r w:rsidR="000B4DB9">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 xml:space="preserve"> перевищувало контроль; у сорту «Гарант» –</w:t>
      </w:r>
      <w:r w:rsidR="00DB3AC6" w:rsidRPr="00F62136">
        <w:rPr>
          <w:rFonts w:ascii="Times New Roman" w:eastAsia="Times New Roman" w:hAnsi="Times New Roman" w:cs="Times New Roman"/>
          <w:color w:val="000000" w:themeColor="text1"/>
          <w:kern w:val="0"/>
          <w:sz w:val="28"/>
          <w:szCs w:val="28"/>
          <w:lang w:val="ru-RU" w:eastAsia="ru-RU"/>
        </w:rPr>
        <w:t xml:space="preserve"> </w:t>
      </w:r>
      <w:r w:rsidRPr="00CC7883">
        <w:rPr>
          <w:rFonts w:ascii="Times New Roman" w:eastAsia="Times New Roman" w:hAnsi="Times New Roman" w:cs="Times New Roman"/>
          <w:color w:val="000000" w:themeColor="text1"/>
          <w:kern w:val="0"/>
          <w:sz w:val="28"/>
          <w:szCs w:val="28"/>
          <w:lang w:eastAsia="ru-RU"/>
        </w:rPr>
        <w:t xml:space="preserve">13,2 шт., 15,6 шт., що відповідно у 2,5 </w:t>
      </w:r>
      <w:r w:rsidR="000B4DB9" w:rsidRPr="00CC7883">
        <w:rPr>
          <w:rFonts w:ascii="Times New Roman" w:eastAsia="Times New Roman" w:hAnsi="Times New Roman" w:cs="Times New Roman"/>
          <w:color w:val="000000" w:themeColor="text1"/>
          <w:kern w:val="0"/>
          <w:sz w:val="28"/>
          <w:szCs w:val="28"/>
          <w:lang w:eastAsia="ru-RU"/>
        </w:rPr>
        <w:t>раз</w:t>
      </w:r>
      <w:r w:rsidR="000B4DB9">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 xml:space="preserve"> було більше контролю; у сорту «Ярило» – 12,2 шт., 6,8</w:t>
      </w:r>
      <w:r w:rsidR="007443B5">
        <w:rPr>
          <w:rFonts w:ascii="Times New Roman" w:eastAsia="Times New Roman" w:hAnsi="Times New Roman" w:cs="Times New Roman"/>
          <w:color w:val="000000" w:themeColor="text1"/>
          <w:kern w:val="0"/>
          <w:sz w:val="28"/>
          <w:szCs w:val="28"/>
          <w:lang w:eastAsia="ru-RU"/>
        </w:rPr>
        <w:t> </w:t>
      </w:r>
      <w:r w:rsidRPr="00CC7883">
        <w:rPr>
          <w:rFonts w:ascii="Times New Roman" w:eastAsia="Times New Roman" w:hAnsi="Times New Roman" w:cs="Times New Roman"/>
          <w:color w:val="000000" w:themeColor="text1"/>
          <w:kern w:val="0"/>
          <w:sz w:val="28"/>
          <w:szCs w:val="28"/>
          <w:lang w:eastAsia="ru-RU"/>
        </w:rPr>
        <w:t xml:space="preserve">шт., що у 1,9 </w:t>
      </w:r>
      <w:r w:rsidR="000B4DB9" w:rsidRPr="00CC7883">
        <w:rPr>
          <w:rFonts w:ascii="Times New Roman" w:eastAsia="Times New Roman" w:hAnsi="Times New Roman" w:cs="Times New Roman"/>
          <w:color w:val="000000" w:themeColor="text1"/>
          <w:kern w:val="0"/>
          <w:sz w:val="28"/>
          <w:szCs w:val="28"/>
          <w:lang w:eastAsia="ru-RU"/>
        </w:rPr>
        <w:t>раз</w:t>
      </w:r>
      <w:r w:rsidR="000B4DB9">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 xml:space="preserve"> перевищувало контроль; та у сорту «Загрей» – 13,7 шт., 8,0 шт., що у 2,2 </w:t>
      </w:r>
      <w:r w:rsidR="000B4DB9" w:rsidRPr="00CC7883">
        <w:rPr>
          <w:rFonts w:ascii="Times New Roman" w:eastAsia="Times New Roman" w:hAnsi="Times New Roman" w:cs="Times New Roman"/>
          <w:color w:val="000000" w:themeColor="text1"/>
          <w:kern w:val="0"/>
          <w:sz w:val="28"/>
          <w:szCs w:val="28"/>
          <w:lang w:eastAsia="ru-RU"/>
        </w:rPr>
        <w:t>раз</w:t>
      </w:r>
      <w:r w:rsidR="000B4DB9">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 xml:space="preserve"> перевищувало контроль. </w:t>
      </w:r>
    </w:p>
    <w:p w:rsidR="00586AC6" w:rsidRPr="00CC7883" w:rsidRDefault="00586AC6" w:rsidP="00047411">
      <w:pPr>
        <w:widowControl w:val="0"/>
        <w:spacing w:after="0" w:line="360" w:lineRule="auto"/>
        <w:ind w:firstLine="708"/>
        <w:jc w:val="both"/>
        <w:rPr>
          <w:rFonts w:ascii="Times New Roman" w:eastAsia="Times New Roman" w:hAnsi="Times New Roman" w:cs="Times New Roman"/>
          <w:color w:val="000000" w:themeColor="text1"/>
          <w:kern w:val="0"/>
          <w:sz w:val="28"/>
          <w:szCs w:val="28"/>
          <w:lang w:eastAsia="ru-RU"/>
        </w:rPr>
      </w:pPr>
      <w:r w:rsidRPr="00CC7883">
        <w:rPr>
          <w:rFonts w:ascii="Times New Roman" w:eastAsia="Times New Roman" w:hAnsi="Times New Roman" w:cs="Times New Roman"/>
          <w:color w:val="000000" w:themeColor="text1"/>
          <w:kern w:val="0"/>
          <w:sz w:val="28"/>
          <w:szCs w:val="28"/>
          <w:lang w:eastAsia="ru-RU"/>
        </w:rPr>
        <w:t>На мінеральних поживних субстратах спостерігалося також збільшення кількості коренів ІІ порядку. Найбільше таких коренів формувалося у рослин, що культивували у варіантах з вермикулітом та сумішшю агроперліт + вермикуліт: у сорту «Добриня» – 18,9–19,0 шт., «Гарант» – 16,7–17,8 шт., «Ярило» – 18,8–19,8 шт., «Загрей» – 14,7–19,3 шт., що в середньому перевищувало контроль на 3,8–33,1 %. Збільшення кількості коренів ІІ порядку свідчить про формування більш розгалуженої та функціонально ефективної кореневої системи, що підвищує адаптаційний потенціал мікроклонів.</w:t>
      </w:r>
    </w:p>
    <w:p w:rsidR="00586AC6" w:rsidRPr="00CC7883" w:rsidRDefault="00586AC6" w:rsidP="00047411">
      <w:pPr>
        <w:widowControl w:val="0"/>
        <w:spacing w:after="0" w:line="360" w:lineRule="auto"/>
        <w:ind w:firstLine="708"/>
        <w:jc w:val="both"/>
        <w:rPr>
          <w:rFonts w:ascii="Times New Roman" w:eastAsia="Times New Roman" w:hAnsi="Times New Roman" w:cs="Times New Roman"/>
          <w:color w:val="000000" w:themeColor="text1"/>
          <w:kern w:val="0"/>
          <w:sz w:val="28"/>
          <w:szCs w:val="28"/>
          <w:lang w:eastAsia="ru-RU"/>
        </w:rPr>
      </w:pPr>
      <w:r w:rsidRPr="00CC7883">
        <w:rPr>
          <w:rFonts w:ascii="Times New Roman" w:eastAsia="Times New Roman" w:hAnsi="Times New Roman" w:cs="Times New Roman"/>
          <w:color w:val="000000" w:themeColor="text1"/>
          <w:kern w:val="0"/>
          <w:sz w:val="28"/>
          <w:szCs w:val="28"/>
          <w:lang w:eastAsia="ru-RU"/>
        </w:rPr>
        <w:t>Загальна довжина коренів І порядку була найбільшою у рослин контрольних варіантів, де формувалося менше коренів, проте кожен із них мав значну довжину (у сорту «Добриня» 48,1–51,6 см, «Гарант» 47,9–53,7 см, «Ярило» 46,9–50,0 см, «Загрей» 47,2–47,9 см). Використання мінеральних субстратів сприяло збільшенню кількості коренів І порядку, відповідно зменшенню їх довжини (довжина одного кореня дорівнювала 3,3–8,7 см), що свідчить про більш інтенсивне розгалуження кореневої системи. Загальна довжина коренів ІІ порядку та довжина одного кореня ІІ порядку збільшувал</w:t>
      </w:r>
      <w:r w:rsidR="00653A81">
        <w:rPr>
          <w:rFonts w:ascii="Times New Roman" w:eastAsia="Times New Roman" w:hAnsi="Times New Roman" w:cs="Times New Roman"/>
          <w:color w:val="000000" w:themeColor="text1"/>
          <w:kern w:val="0"/>
          <w:sz w:val="28"/>
          <w:szCs w:val="28"/>
          <w:lang w:eastAsia="ru-RU"/>
        </w:rPr>
        <w:t>и</w:t>
      </w:r>
      <w:r w:rsidRPr="00CC7883">
        <w:rPr>
          <w:rFonts w:ascii="Times New Roman" w:eastAsia="Times New Roman" w:hAnsi="Times New Roman" w:cs="Times New Roman"/>
          <w:color w:val="000000" w:themeColor="text1"/>
          <w:kern w:val="0"/>
          <w:sz w:val="28"/>
          <w:szCs w:val="28"/>
          <w:lang w:eastAsia="ru-RU"/>
        </w:rPr>
        <w:t xml:space="preserve">ся у варіантах з вермикулітом та сумішшю агроперліт + вермикуліт і дорівнювала 12,0–42,2 см та 0,7–2,1 см відповідно, що вказує на активне формування коренів ІІ порядку і більш розгалуженої кореневої </w:t>
      </w:r>
      <w:r w:rsidRPr="00CC7883">
        <w:rPr>
          <w:rFonts w:ascii="Times New Roman" w:eastAsia="Times New Roman" w:hAnsi="Times New Roman" w:cs="Times New Roman"/>
          <w:color w:val="000000" w:themeColor="text1"/>
          <w:kern w:val="0"/>
          <w:sz w:val="28"/>
          <w:szCs w:val="28"/>
          <w:lang w:eastAsia="ru-RU"/>
        </w:rPr>
        <w:lastRenderedPageBreak/>
        <w:t>системи.</w:t>
      </w:r>
      <w:bookmarkStart w:id="51" w:name="_Hlk176521622"/>
    </w:p>
    <w:p w:rsidR="00586AC6" w:rsidRPr="00CC7883" w:rsidRDefault="00586AC6" w:rsidP="00047411">
      <w:pPr>
        <w:widowControl w:val="0"/>
        <w:spacing w:after="0" w:line="360" w:lineRule="auto"/>
        <w:ind w:firstLine="708"/>
        <w:jc w:val="both"/>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 xml:space="preserve">За матеріалами розділу «Біометричні показники росту і розвитку мікроклонів винограду </w:t>
      </w:r>
      <w:r w:rsidRPr="00CC7883">
        <w:rPr>
          <w:rFonts w:ascii="Times New Roman" w:eastAsia="SimSun" w:hAnsi="Times New Roman" w:cs="Times New Roman"/>
          <w:i/>
          <w:iCs/>
          <w:color w:val="000000" w:themeColor="text1"/>
          <w:kern w:val="0"/>
          <w:sz w:val="28"/>
          <w:szCs w:val="28"/>
        </w:rPr>
        <w:t>in vitro</w:t>
      </w:r>
      <w:r w:rsidRPr="00CC7883">
        <w:rPr>
          <w:rFonts w:ascii="Times New Roman" w:eastAsia="SimSun" w:hAnsi="Times New Roman" w:cs="Times New Roman"/>
          <w:color w:val="000000" w:themeColor="text1"/>
          <w:kern w:val="0"/>
          <w:sz w:val="28"/>
          <w:szCs w:val="28"/>
        </w:rPr>
        <w:t>» надруковано 11 наукових праць [25</w:t>
      </w:r>
      <w:r w:rsidR="00B05C98" w:rsidRPr="00F62136">
        <w:rPr>
          <w:rFonts w:ascii="Times New Roman" w:eastAsia="SimSun" w:hAnsi="Times New Roman" w:cs="Times New Roman"/>
          <w:color w:val="000000" w:themeColor="text1"/>
          <w:kern w:val="0"/>
          <w:sz w:val="28"/>
          <w:szCs w:val="28"/>
          <w:lang w:val="ru-RU"/>
        </w:rPr>
        <w:t>,</w:t>
      </w:r>
      <w:r w:rsidRPr="00CC7883">
        <w:rPr>
          <w:rFonts w:ascii="Times New Roman" w:eastAsia="SimSun" w:hAnsi="Times New Roman" w:cs="Times New Roman"/>
          <w:color w:val="000000" w:themeColor="text1"/>
          <w:kern w:val="0"/>
          <w:sz w:val="28"/>
          <w:szCs w:val="28"/>
        </w:rPr>
        <w:t xml:space="preserve"> 21</w:t>
      </w:r>
      <w:r w:rsidR="00B05C98" w:rsidRPr="00F62136">
        <w:rPr>
          <w:rFonts w:ascii="Times New Roman" w:eastAsia="SimSun" w:hAnsi="Times New Roman" w:cs="Times New Roman"/>
          <w:color w:val="000000" w:themeColor="text1"/>
          <w:kern w:val="0"/>
          <w:sz w:val="28"/>
          <w:szCs w:val="28"/>
          <w:lang w:val="ru-RU"/>
        </w:rPr>
        <w:t>,</w:t>
      </w:r>
      <w:r w:rsidRPr="00CC7883">
        <w:rPr>
          <w:rFonts w:ascii="Times New Roman" w:eastAsia="SimSun" w:hAnsi="Times New Roman" w:cs="Times New Roman"/>
          <w:color w:val="000000" w:themeColor="text1"/>
          <w:kern w:val="0"/>
          <w:sz w:val="28"/>
          <w:szCs w:val="28"/>
        </w:rPr>
        <w:t xml:space="preserve"> 29</w:t>
      </w:r>
      <w:r w:rsidR="00B05C98" w:rsidRPr="00F62136">
        <w:rPr>
          <w:rFonts w:ascii="Times New Roman" w:eastAsia="SimSun" w:hAnsi="Times New Roman" w:cs="Times New Roman"/>
          <w:color w:val="000000" w:themeColor="text1"/>
          <w:kern w:val="0"/>
          <w:sz w:val="28"/>
          <w:szCs w:val="28"/>
          <w:lang w:val="ru-RU"/>
        </w:rPr>
        <w:t>,</w:t>
      </w:r>
      <w:r w:rsidRPr="00CC7883">
        <w:rPr>
          <w:rFonts w:ascii="Times New Roman" w:eastAsia="SimSun" w:hAnsi="Times New Roman" w:cs="Times New Roman"/>
          <w:color w:val="000000" w:themeColor="text1"/>
          <w:kern w:val="0"/>
          <w:sz w:val="28"/>
          <w:szCs w:val="28"/>
        </w:rPr>
        <w:t xml:space="preserve"> 2</w:t>
      </w:r>
      <w:r w:rsidR="00552985" w:rsidRPr="00CC7883">
        <w:rPr>
          <w:rFonts w:ascii="Times New Roman" w:eastAsia="SimSun" w:hAnsi="Times New Roman" w:cs="Times New Roman"/>
          <w:color w:val="000000" w:themeColor="text1"/>
          <w:kern w:val="0"/>
          <w:sz w:val="28"/>
          <w:szCs w:val="28"/>
        </w:rPr>
        <w:t>6</w:t>
      </w:r>
      <w:r w:rsidR="002D22A1" w:rsidRPr="00CC7883">
        <w:rPr>
          <w:rFonts w:ascii="Times New Roman" w:eastAsia="SimSun" w:hAnsi="Times New Roman" w:cs="Times New Roman"/>
          <w:color w:val="000000" w:themeColor="text1"/>
          <w:kern w:val="0"/>
          <w:sz w:val="28"/>
          <w:szCs w:val="28"/>
        </w:rPr>
        <w:t>8</w:t>
      </w:r>
      <w:r w:rsidR="00B05C98" w:rsidRPr="00F62136">
        <w:rPr>
          <w:rFonts w:ascii="Times New Roman" w:eastAsia="SimSun" w:hAnsi="Times New Roman" w:cs="Times New Roman"/>
          <w:color w:val="000000" w:themeColor="text1"/>
          <w:kern w:val="0"/>
          <w:sz w:val="28"/>
          <w:szCs w:val="28"/>
          <w:lang w:val="ru-RU"/>
        </w:rPr>
        <w:t>,</w:t>
      </w:r>
      <w:r w:rsidRPr="00CC7883">
        <w:rPr>
          <w:rFonts w:ascii="Times New Roman" w:eastAsia="SimSun" w:hAnsi="Times New Roman" w:cs="Times New Roman"/>
          <w:color w:val="000000" w:themeColor="text1"/>
          <w:kern w:val="0"/>
          <w:sz w:val="28"/>
          <w:szCs w:val="28"/>
        </w:rPr>
        <w:t xml:space="preserve"> 22</w:t>
      </w:r>
      <w:r w:rsidR="00B05C98" w:rsidRPr="00F62136">
        <w:rPr>
          <w:rFonts w:ascii="Times New Roman" w:eastAsia="SimSun" w:hAnsi="Times New Roman" w:cs="Times New Roman"/>
          <w:color w:val="000000" w:themeColor="text1"/>
          <w:kern w:val="0"/>
          <w:sz w:val="28"/>
          <w:szCs w:val="28"/>
          <w:lang w:val="ru-RU"/>
        </w:rPr>
        <w:t>,</w:t>
      </w:r>
      <w:r w:rsidRPr="00CC7883">
        <w:rPr>
          <w:rFonts w:ascii="Times New Roman" w:eastAsia="SimSun" w:hAnsi="Times New Roman" w:cs="Times New Roman"/>
          <w:color w:val="000000" w:themeColor="text1"/>
          <w:kern w:val="0"/>
          <w:sz w:val="28"/>
          <w:szCs w:val="28"/>
        </w:rPr>
        <w:t xml:space="preserve"> 23</w:t>
      </w:r>
      <w:r w:rsidR="00B05C98" w:rsidRPr="00F62136">
        <w:rPr>
          <w:rFonts w:ascii="Times New Roman" w:eastAsia="SimSun" w:hAnsi="Times New Roman" w:cs="Times New Roman"/>
          <w:color w:val="000000" w:themeColor="text1"/>
          <w:kern w:val="0"/>
          <w:sz w:val="28"/>
          <w:szCs w:val="28"/>
          <w:lang w:val="ru-RU"/>
        </w:rPr>
        <w:t>,</w:t>
      </w:r>
      <w:r w:rsidRPr="00CC7883">
        <w:rPr>
          <w:rFonts w:ascii="Times New Roman" w:eastAsia="SimSun" w:hAnsi="Times New Roman" w:cs="Times New Roman"/>
          <w:color w:val="000000" w:themeColor="text1"/>
          <w:kern w:val="0"/>
          <w:sz w:val="28"/>
          <w:szCs w:val="28"/>
        </w:rPr>
        <w:t xml:space="preserve"> 33</w:t>
      </w:r>
      <w:r w:rsidR="00B05C98" w:rsidRPr="00F62136">
        <w:rPr>
          <w:rFonts w:ascii="Times New Roman" w:eastAsia="SimSun" w:hAnsi="Times New Roman" w:cs="Times New Roman"/>
          <w:color w:val="000000" w:themeColor="text1"/>
          <w:kern w:val="0"/>
          <w:sz w:val="28"/>
          <w:szCs w:val="28"/>
          <w:lang w:val="ru-RU"/>
        </w:rPr>
        <w:t>,</w:t>
      </w:r>
      <w:r w:rsidRPr="00CC7883">
        <w:rPr>
          <w:rFonts w:ascii="Times New Roman" w:eastAsia="SimSun" w:hAnsi="Times New Roman" w:cs="Times New Roman"/>
          <w:color w:val="000000" w:themeColor="text1"/>
          <w:kern w:val="0"/>
          <w:sz w:val="28"/>
          <w:szCs w:val="28"/>
        </w:rPr>
        <w:t xml:space="preserve"> 26</w:t>
      </w:r>
      <w:r w:rsidR="00B05C98" w:rsidRPr="00F62136">
        <w:rPr>
          <w:rFonts w:ascii="Times New Roman" w:eastAsia="SimSun" w:hAnsi="Times New Roman" w:cs="Times New Roman"/>
          <w:color w:val="000000" w:themeColor="text1"/>
          <w:kern w:val="0"/>
          <w:sz w:val="28"/>
          <w:szCs w:val="28"/>
          <w:lang w:val="ru-RU"/>
        </w:rPr>
        <w:t>,</w:t>
      </w:r>
      <w:r w:rsidRPr="00CC7883">
        <w:rPr>
          <w:rFonts w:ascii="Times New Roman" w:eastAsia="SimSun" w:hAnsi="Times New Roman" w:cs="Times New Roman"/>
          <w:color w:val="000000" w:themeColor="text1"/>
          <w:kern w:val="0"/>
          <w:sz w:val="28"/>
          <w:szCs w:val="28"/>
        </w:rPr>
        <w:t xml:space="preserve"> 31</w:t>
      </w:r>
      <w:r w:rsidR="00B05C98" w:rsidRPr="00F62136">
        <w:rPr>
          <w:rFonts w:ascii="Times New Roman" w:eastAsia="SimSun" w:hAnsi="Times New Roman" w:cs="Times New Roman"/>
          <w:color w:val="000000" w:themeColor="text1"/>
          <w:kern w:val="0"/>
          <w:sz w:val="28"/>
          <w:szCs w:val="28"/>
          <w:lang w:val="ru-RU"/>
        </w:rPr>
        <w:t>,</w:t>
      </w:r>
      <w:r w:rsidRPr="00CC7883">
        <w:rPr>
          <w:rFonts w:ascii="Times New Roman" w:eastAsia="SimSun" w:hAnsi="Times New Roman" w:cs="Times New Roman"/>
          <w:color w:val="000000" w:themeColor="text1"/>
          <w:kern w:val="0"/>
          <w:sz w:val="28"/>
          <w:szCs w:val="28"/>
        </w:rPr>
        <w:t xml:space="preserve"> 20</w:t>
      </w:r>
      <w:r w:rsidR="00B05C98" w:rsidRPr="00F62136">
        <w:rPr>
          <w:rFonts w:ascii="Times New Roman" w:eastAsia="SimSun" w:hAnsi="Times New Roman" w:cs="Times New Roman"/>
          <w:color w:val="000000" w:themeColor="text1"/>
          <w:kern w:val="0"/>
          <w:sz w:val="28"/>
          <w:szCs w:val="28"/>
          <w:lang w:val="ru-RU"/>
        </w:rPr>
        <w:t>,</w:t>
      </w:r>
      <w:r w:rsidRPr="00CC7883">
        <w:rPr>
          <w:rFonts w:ascii="Times New Roman" w:eastAsia="SimSun" w:hAnsi="Times New Roman" w:cs="Times New Roman"/>
          <w:color w:val="000000" w:themeColor="text1"/>
          <w:kern w:val="0"/>
          <w:sz w:val="28"/>
          <w:szCs w:val="28"/>
        </w:rPr>
        <w:t xml:space="preserve"> 27]</w:t>
      </w:r>
      <w:bookmarkEnd w:id="51"/>
      <w:r w:rsidRPr="00CC7883">
        <w:rPr>
          <w:rFonts w:ascii="Times New Roman" w:eastAsia="SimSun" w:hAnsi="Times New Roman" w:cs="Times New Roman"/>
          <w:color w:val="000000" w:themeColor="text1"/>
          <w:kern w:val="0"/>
          <w:sz w:val="28"/>
          <w:szCs w:val="28"/>
        </w:rPr>
        <w:t>.</w:t>
      </w:r>
    </w:p>
    <w:p w:rsidR="00586AC6" w:rsidRPr="00CC7883" w:rsidRDefault="00586AC6" w:rsidP="00047411">
      <w:pPr>
        <w:widowControl w:val="0"/>
        <w:spacing w:after="0" w:line="360" w:lineRule="auto"/>
        <w:ind w:firstLine="708"/>
        <w:jc w:val="both"/>
        <w:rPr>
          <w:rFonts w:ascii="Times New Roman" w:eastAsia="NSimSun" w:hAnsi="Times New Roman" w:cs="Times New Roman"/>
          <w:color w:val="000000" w:themeColor="text1"/>
          <w:kern w:val="3"/>
          <w:sz w:val="28"/>
          <w:szCs w:val="28"/>
        </w:rPr>
      </w:pPr>
    </w:p>
    <w:p w:rsidR="008A4327" w:rsidRPr="00CC7883" w:rsidRDefault="008A4327" w:rsidP="00047411">
      <w:pPr>
        <w:widowControl w:val="0"/>
        <w:ind w:firstLine="709"/>
        <w:outlineLvl w:val="1"/>
        <w:rPr>
          <w:rFonts w:ascii="Times New Roman" w:eastAsia="SimSun" w:hAnsi="Times New Roman" w:cs="Times New Roman"/>
          <w:b/>
          <w:bCs/>
          <w:color w:val="000000" w:themeColor="text1"/>
          <w:kern w:val="0"/>
          <w:sz w:val="28"/>
          <w:szCs w:val="28"/>
        </w:rPr>
      </w:pPr>
      <w:bookmarkStart w:id="52" w:name="_Toc220058940"/>
      <w:bookmarkEnd w:id="50"/>
      <w:r w:rsidRPr="00CC7883">
        <w:rPr>
          <w:rFonts w:ascii="Times New Roman" w:eastAsia="SimSun" w:hAnsi="Times New Roman" w:cs="Times New Roman"/>
          <w:b/>
          <w:bCs/>
          <w:color w:val="000000" w:themeColor="text1"/>
          <w:kern w:val="0"/>
          <w:sz w:val="28"/>
          <w:szCs w:val="28"/>
        </w:rPr>
        <w:t>Висновки до розділу 4</w:t>
      </w:r>
      <w:bookmarkEnd w:id="52"/>
    </w:p>
    <w:p w:rsidR="008A4327" w:rsidRPr="00CC7883" w:rsidRDefault="008A4327" w:rsidP="00047411">
      <w:pPr>
        <w:widowControl w:val="0"/>
        <w:spacing w:after="0" w:line="360" w:lineRule="auto"/>
        <w:jc w:val="center"/>
        <w:rPr>
          <w:rFonts w:ascii="Times New Roman" w:eastAsia="SimSun" w:hAnsi="Times New Roman" w:cs="Times New Roman"/>
          <w:color w:val="000000" w:themeColor="text1"/>
          <w:kern w:val="0"/>
          <w:sz w:val="28"/>
          <w:szCs w:val="28"/>
        </w:rPr>
      </w:pPr>
    </w:p>
    <w:p w:rsidR="008A4327" w:rsidRPr="00CC7883" w:rsidRDefault="008A4327" w:rsidP="00047411">
      <w:pPr>
        <w:pStyle w:val="a7"/>
        <w:widowControl w:val="0"/>
        <w:numPr>
          <w:ilvl w:val="0"/>
          <w:numId w:val="44"/>
        </w:numPr>
        <w:spacing w:after="0" w:line="360" w:lineRule="auto"/>
        <w:ind w:left="0" w:firstLine="0"/>
        <w:jc w:val="both"/>
        <w:rPr>
          <w:rFonts w:ascii="Times New Roman" w:eastAsia="NSimSun" w:hAnsi="Times New Roman" w:cs="Times New Roman"/>
          <w:color w:val="000000" w:themeColor="text1"/>
          <w:kern w:val="0"/>
          <w:sz w:val="28"/>
          <w:szCs w:val="28"/>
        </w:rPr>
      </w:pPr>
      <w:r w:rsidRPr="00CC7883">
        <w:rPr>
          <w:rFonts w:ascii="Times New Roman" w:eastAsia="Times New Roman" w:hAnsi="Times New Roman" w:cs="Times New Roman"/>
          <w:color w:val="000000" w:themeColor="text1"/>
          <w:kern w:val="0"/>
          <w:sz w:val="28"/>
          <w:szCs w:val="28"/>
          <w:lang w:eastAsia="ru-RU"/>
        </w:rPr>
        <w:t>Інтенсивність формування вегетативної надземної маси та кореневої системи мікроклонів винограду суттєво залежала від складу поживного середовища, зокрема від концентрації фітогормонів, наявності біологічно активних препаратів, мінеральних субстратів (у т.</w:t>
      </w:r>
      <w:r w:rsidR="000F31F4" w:rsidRPr="00CC7883">
        <w:rPr>
          <w:rFonts w:ascii="Times New Roman" w:eastAsia="Times New Roman" w:hAnsi="Times New Roman" w:cs="Times New Roman"/>
          <w:color w:val="000000" w:themeColor="text1"/>
          <w:kern w:val="0"/>
          <w:sz w:val="28"/>
          <w:szCs w:val="28"/>
          <w:lang w:eastAsia="ru-RU"/>
        </w:rPr>
        <w:t xml:space="preserve"> </w:t>
      </w:r>
      <w:r w:rsidRPr="00CC7883">
        <w:rPr>
          <w:rFonts w:ascii="Times New Roman" w:eastAsia="Times New Roman" w:hAnsi="Times New Roman" w:cs="Times New Roman"/>
          <w:color w:val="000000" w:themeColor="text1"/>
          <w:kern w:val="0"/>
          <w:sz w:val="28"/>
          <w:szCs w:val="28"/>
          <w:lang w:eastAsia="ru-RU"/>
        </w:rPr>
        <w:t xml:space="preserve">ч. структуровані поживні середовища: MS + агроперліт, MS + вермикуліт, MS + агроперліт + вермикуліт) та </w:t>
      </w:r>
      <w:r w:rsidRPr="00CC7883">
        <w:rPr>
          <w:rFonts w:ascii="Times New Roman" w:eastAsia="NSimSun" w:hAnsi="Times New Roman" w:cs="Times New Roman"/>
          <w:color w:val="000000" w:themeColor="text1"/>
          <w:kern w:val="0"/>
          <w:sz w:val="28"/>
          <w:szCs w:val="28"/>
        </w:rPr>
        <w:t>сорту винограду.</w:t>
      </w:r>
    </w:p>
    <w:p w:rsidR="008A4327" w:rsidRPr="00CC7883" w:rsidRDefault="008A4327" w:rsidP="00047411">
      <w:pPr>
        <w:widowControl w:val="0"/>
        <w:numPr>
          <w:ilvl w:val="0"/>
          <w:numId w:val="44"/>
        </w:numPr>
        <w:spacing w:after="0" w:line="360" w:lineRule="auto"/>
        <w:ind w:left="0" w:firstLine="0"/>
        <w:contextualSpacing/>
        <w:jc w:val="both"/>
        <w:rPr>
          <w:rFonts w:ascii="Times New Roman" w:eastAsia="NSimSun" w:hAnsi="Times New Roman" w:cs="Times New Roman"/>
          <w:color w:val="000000" w:themeColor="text1"/>
          <w:kern w:val="0"/>
          <w:sz w:val="28"/>
          <w:szCs w:val="28"/>
        </w:rPr>
      </w:pPr>
      <w:bookmarkStart w:id="53" w:name="_Hlk220501054"/>
      <w:r w:rsidRPr="00CC7883">
        <w:rPr>
          <w:rFonts w:ascii="Times New Roman" w:eastAsia="Times New Roman" w:hAnsi="Times New Roman" w:cs="Times New Roman"/>
          <w:color w:val="000000" w:themeColor="text1"/>
          <w:kern w:val="0"/>
          <w:sz w:val="28"/>
          <w:szCs w:val="28"/>
          <w:lang w:eastAsia="ru-RU"/>
        </w:rPr>
        <w:t>Мікроклони винограду, культивовані на поживних середовищах із меншим вмістом фітогормонів (ІОК – 0,3 мг/л, 6-БАП – 0,2 мг/л)</w:t>
      </w:r>
      <w:r w:rsidR="001072A1">
        <w:rPr>
          <w:rFonts w:ascii="Times New Roman" w:eastAsia="Times New Roman" w:hAnsi="Times New Roman" w:cs="Times New Roman"/>
          <w:color w:val="000000" w:themeColor="text1"/>
          <w:kern w:val="0"/>
          <w:sz w:val="28"/>
          <w:szCs w:val="28"/>
          <w:lang w:eastAsia="ru-RU"/>
        </w:rPr>
        <w:t>,</w:t>
      </w:r>
      <w:r w:rsidRPr="00CC7883">
        <w:rPr>
          <w:rFonts w:ascii="Times New Roman" w:eastAsia="Times New Roman" w:hAnsi="Times New Roman" w:cs="Times New Roman"/>
          <w:color w:val="000000" w:themeColor="text1"/>
          <w:kern w:val="0"/>
          <w:sz w:val="28"/>
          <w:szCs w:val="28"/>
          <w:lang w:eastAsia="ru-RU"/>
        </w:rPr>
        <w:t xml:space="preserve"> характеризувалися більш інтенсивним розвитком надземної та підземної частин порівняно з рослинами на середовищах із вищими концентраціями фітогормонів</w:t>
      </w:r>
      <w:bookmarkEnd w:id="53"/>
      <w:r w:rsidRPr="00CC7883">
        <w:rPr>
          <w:rFonts w:ascii="Times New Roman" w:eastAsia="Times New Roman" w:hAnsi="Times New Roman" w:cs="Times New Roman"/>
          <w:color w:val="000000" w:themeColor="text1"/>
          <w:kern w:val="0"/>
          <w:sz w:val="28"/>
          <w:szCs w:val="28"/>
          <w:lang w:eastAsia="ru-RU"/>
        </w:rPr>
        <w:t xml:space="preserve"> (ІОК – 0,</w:t>
      </w:r>
      <w:r w:rsidR="001072A1">
        <w:rPr>
          <w:rFonts w:ascii="Times New Roman" w:eastAsia="Times New Roman" w:hAnsi="Times New Roman" w:cs="Times New Roman"/>
          <w:color w:val="000000" w:themeColor="text1"/>
          <w:kern w:val="0"/>
          <w:sz w:val="28"/>
          <w:szCs w:val="28"/>
          <w:lang w:eastAsia="ru-RU"/>
        </w:rPr>
        <w:t>6</w:t>
      </w:r>
      <w:r w:rsidRPr="00CC7883">
        <w:rPr>
          <w:rFonts w:ascii="Times New Roman" w:eastAsia="Times New Roman" w:hAnsi="Times New Roman" w:cs="Times New Roman"/>
          <w:color w:val="000000" w:themeColor="text1"/>
          <w:kern w:val="0"/>
          <w:sz w:val="28"/>
          <w:szCs w:val="28"/>
          <w:lang w:eastAsia="ru-RU"/>
        </w:rPr>
        <w:t xml:space="preserve"> мг/л, 6-БАП – 0,</w:t>
      </w:r>
      <w:r w:rsidR="001072A1">
        <w:rPr>
          <w:rFonts w:ascii="Times New Roman" w:eastAsia="Times New Roman" w:hAnsi="Times New Roman" w:cs="Times New Roman"/>
          <w:color w:val="000000" w:themeColor="text1"/>
          <w:kern w:val="0"/>
          <w:sz w:val="28"/>
          <w:szCs w:val="28"/>
          <w:lang w:eastAsia="ru-RU"/>
        </w:rPr>
        <w:t>5</w:t>
      </w:r>
      <w:r w:rsidRPr="00CC7883">
        <w:rPr>
          <w:rFonts w:ascii="Times New Roman" w:eastAsia="Times New Roman" w:hAnsi="Times New Roman" w:cs="Times New Roman"/>
          <w:color w:val="000000" w:themeColor="text1"/>
          <w:kern w:val="0"/>
          <w:sz w:val="28"/>
          <w:szCs w:val="28"/>
          <w:lang w:eastAsia="ru-RU"/>
        </w:rPr>
        <w:t xml:space="preserve"> мг/л). Висота пагонів була більшою на 7,1 %, кількість листків – на 6,2 %, площа листкової пластинки – на 8,6 %, площа листкової поверхні – на 9,9 %, облистяність – на 2,5 %. Загальна кількість коренів, кількість коренів І та ІІ порядків перевищували </w:t>
      </w:r>
      <w:r w:rsidR="009B2357">
        <w:rPr>
          <w:rFonts w:ascii="Times New Roman" w:eastAsia="Times New Roman" w:hAnsi="Times New Roman" w:cs="Times New Roman"/>
          <w:color w:val="000000" w:themeColor="text1"/>
          <w:kern w:val="0"/>
          <w:sz w:val="28"/>
          <w:szCs w:val="28"/>
          <w:lang w:eastAsia="ru-RU"/>
        </w:rPr>
        <w:t xml:space="preserve">контроль </w:t>
      </w:r>
      <w:r w:rsidRPr="00CC7883">
        <w:rPr>
          <w:rFonts w:ascii="Times New Roman" w:eastAsia="Times New Roman" w:hAnsi="Times New Roman" w:cs="Times New Roman"/>
          <w:color w:val="000000" w:themeColor="text1"/>
          <w:kern w:val="0"/>
          <w:sz w:val="28"/>
          <w:szCs w:val="28"/>
          <w:lang w:eastAsia="ru-RU"/>
        </w:rPr>
        <w:t xml:space="preserve">на 6,8 %, 12,6 % та 5,0 % відповідно, загальна довжина коренів І порядку збільшувалась на 5,6 %, а </w:t>
      </w:r>
      <w:r w:rsidR="00F7469F" w:rsidRPr="00CC7883">
        <w:rPr>
          <w:rFonts w:ascii="Times New Roman" w:eastAsia="Times New Roman" w:hAnsi="Times New Roman" w:cs="Times New Roman"/>
          <w:color w:val="000000" w:themeColor="text1"/>
          <w:kern w:val="0"/>
          <w:sz w:val="28"/>
          <w:szCs w:val="28"/>
          <w:lang w:eastAsia="ru-RU"/>
        </w:rPr>
        <w:t xml:space="preserve">загальна довжина </w:t>
      </w:r>
      <w:r w:rsidRPr="00CC7883">
        <w:rPr>
          <w:rFonts w:ascii="Times New Roman" w:eastAsia="Times New Roman" w:hAnsi="Times New Roman" w:cs="Times New Roman"/>
          <w:color w:val="000000" w:themeColor="text1"/>
          <w:kern w:val="0"/>
          <w:sz w:val="28"/>
          <w:szCs w:val="28"/>
          <w:lang w:eastAsia="ru-RU"/>
        </w:rPr>
        <w:t>корені</w:t>
      </w:r>
      <w:r w:rsidR="00F7469F">
        <w:rPr>
          <w:rFonts w:ascii="Times New Roman" w:eastAsia="Times New Roman" w:hAnsi="Times New Roman" w:cs="Times New Roman"/>
          <w:color w:val="000000" w:themeColor="text1"/>
          <w:kern w:val="0"/>
          <w:sz w:val="28"/>
          <w:szCs w:val="28"/>
          <w:lang w:eastAsia="ru-RU"/>
        </w:rPr>
        <w:t>в</w:t>
      </w:r>
      <w:r w:rsidRPr="00CC7883">
        <w:rPr>
          <w:rFonts w:ascii="Times New Roman" w:eastAsia="Times New Roman" w:hAnsi="Times New Roman" w:cs="Times New Roman"/>
          <w:color w:val="000000" w:themeColor="text1"/>
          <w:kern w:val="0"/>
          <w:sz w:val="28"/>
          <w:szCs w:val="28"/>
          <w:lang w:eastAsia="ru-RU"/>
        </w:rPr>
        <w:t xml:space="preserve"> ІІ порядку – на 6,6 %, довжина одного кореня ІІ порядк</w:t>
      </w:r>
      <w:r w:rsidR="00E2302F">
        <w:rPr>
          <w:rFonts w:ascii="Times New Roman" w:eastAsia="Times New Roman" w:hAnsi="Times New Roman" w:cs="Times New Roman"/>
          <w:color w:val="000000" w:themeColor="text1"/>
          <w:kern w:val="0"/>
          <w:sz w:val="28"/>
          <w:szCs w:val="28"/>
          <w:lang w:eastAsia="ru-RU"/>
        </w:rPr>
        <w:t>у</w:t>
      </w:r>
      <w:r w:rsidRPr="00CC7883">
        <w:rPr>
          <w:rFonts w:ascii="Times New Roman" w:eastAsia="Times New Roman" w:hAnsi="Times New Roman" w:cs="Times New Roman"/>
          <w:color w:val="000000" w:themeColor="text1"/>
          <w:kern w:val="0"/>
          <w:sz w:val="28"/>
          <w:szCs w:val="28"/>
          <w:lang w:eastAsia="ru-RU"/>
        </w:rPr>
        <w:t xml:space="preserve"> – на 0,1 %, але довжина одного кореня І порядку зменшувалася на 3,3 %. Таким чином, зменшена концентрація фітогормонів забезпечувала більш збалансований ріст рослин і активний ризогенез.</w:t>
      </w:r>
    </w:p>
    <w:p w:rsidR="008A4327" w:rsidRPr="00CC7883" w:rsidRDefault="008A4327" w:rsidP="00584B80">
      <w:pPr>
        <w:numPr>
          <w:ilvl w:val="0"/>
          <w:numId w:val="44"/>
        </w:numPr>
        <w:spacing w:after="0" w:line="360" w:lineRule="auto"/>
        <w:ind w:left="0" w:firstLine="0"/>
        <w:contextualSpacing/>
        <w:jc w:val="both"/>
        <w:rPr>
          <w:rFonts w:ascii="Times New Roman" w:eastAsia="NSimSun" w:hAnsi="Times New Roman" w:cs="Times New Roman"/>
          <w:color w:val="000000" w:themeColor="text1"/>
          <w:kern w:val="0"/>
          <w:sz w:val="28"/>
          <w:szCs w:val="28"/>
        </w:rPr>
      </w:pPr>
      <w:r w:rsidRPr="00CC7883">
        <w:rPr>
          <w:rFonts w:ascii="Times New Roman" w:eastAsia="Times New Roman" w:hAnsi="Times New Roman" w:cs="Times New Roman"/>
          <w:color w:val="000000" w:themeColor="text1"/>
          <w:kern w:val="0"/>
          <w:sz w:val="28"/>
          <w:szCs w:val="28"/>
          <w:lang w:eastAsia="ru-RU"/>
        </w:rPr>
        <w:t xml:space="preserve">Аналіз показників висоти мікроклонів та кількості листкових пластинок показав, що мікроклони контрольних варіантів характеризувалися найбільшою висотою пагонів (11,1–12,1 см у підщепних сортів і 9,7–10,3 см у </w:t>
      </w:r>
      <w:r w:rsidRPr="00CC7883">
        <w:rPr>
          <w:rFonts w:ascii="Times New Roman" w:eastAsia="Times New Roman" w:hAnsi="Times New Roman" w:cs="Times New Roman"/>
          <w:color w:val="000000" w:themeColor="text1"/>
          <w:kern w:val="0"/>
          <w:sz w:val="28"/>
          <w:szCs w:val="28"/>
          <w:lang w:eastAsia="ru-RU"/>
        </w:rPr>
        <w:lastRenderedPageBreak/>
        <w:t xml:space="preserve">технічних) та кількістю листків (4,7–7,0 шт.), що в середньому </w:t>
      </w:r>
      <w:r w:rsidRPr="00CC7883">
        <w:rPr>
          <w:rFonts w:ascii="Times New Roman" w:eastAsia="Times New Roman" w:hAnsi="Times New Roman" w:cs="Times New Roman"/>
          <w:bCs/>
          <w:color w:val="000000" w:themeColor="text1"/>
          <w:kern w:val="0"/>
          <w:sz w:val="28"/>
          <w:szCs w:val="28"/>
          <w:lang w:eastAsia="ru-RU"/>
        </w:rPr>
        <w:t>на 13,2–21,1 % більше</w:t>
      </w:r>
      <w:r w:rsidRPr="00CC7883">
        <w:rPr>
          <w:rFonts w:ascii="Times New Roman" w:eastAsia="Times New Roman" w:hAnsi="Times New Roman" w:cs="Times New Roman"/>
          <w:color w:val="000000" w:themeColor="text1"/>
          <w:kern w:val="0"/>
          <w:sz w:val="28"/>
          <w:szCs w:val="28"/>
          <w:lang w:eastAsia="ru-RU"/>
        </w:rPr>
        <w:t xml:space="preserve">, ніж у варіантах із додаванням біологічно активних препаратів, і </w:t>
      </w:r>
      <w:r w:rsidRPr="00CC7883">
        <w:rPr>
          <w:rFonts w:ascii="Times New Roman" w:eastAsia="Times New Roman" w:hAnsi="Times New Roman" w:cs="Times New Roman"/>
          <w:bCs/>
          <w:color w:val="000000" w:themeColor="text1"/>
          <w:kern w:val="0"/>
          <w:sz w:val="28"/>
          <w:szCs w:val="28"/>
          <w:lang w:eastAsia="ru-RU"/>
        </w:rPr>
        <w:t>на 10,0–20,2 % більше</w:t>
      </w:r>
      <w:r w:rsidRPr="00CC7883">
        <w:rPr>
          <w:rFonts w:ascii="Times New Roman" w:eastAsia="Times New Roman" w:hAnsi="Times New Roman" w:cs="Times New Roman"/>
          <w:color w:val="000000" w:themeColor="text1"/>
          <w:kern w:val="0"/>
          <w:sz w:val="28"/>
          <w:szCs w:val="28"/>
          <w:lang w:eastAsia="ru-RU"/>
        </w:rPr>
        <w:t xml:space="preserve">, ніж у варіантах зі структурованими поживними середовищами. Контрольні мікроклони також мали більшу кількість листків </w:t>
      </w:r>
      <w:r w:rsidRPr="00CC7883">
        <w:rPr>
          <w:rFonts w:ascii="Times New Roman" w:eastAsia="Times New Roman" w:hAnsi="Times New Roman" w:cs="Times New Roman"/>
          <w:b/>
          <w:bCs/>
          <w:color w:val="000000" w:themeColor="text1"/>
          <w:kern w:val="0"/>
          <w:sz w:val="28"/>
          <w:szCs w:val="28"/>
          <w:lang w:eastAsia="ru-RU"/>
        </w:rPr>
        <w:t>–</w:t>
      </w:r>
      <w:r w:rsidRPr="00CC7883">
        <w:rPr>
          <w:rFonts w:ascii="Times New Roman" w:eastAsia="Times New Roman" w:hAnsi="Times New Roman" w:cs="Times New Roman"/>
          <w:color w:val="000000" w:themeColor="text1"/>
          <w:kern w:val="0"/>
          <w:sz w:val="28"/>
          <w:szCs w:val="28"/>
          <w:lang w:eastAsia="ru-RU"/>
        </w:rPr>
        <w:t xml:space="preserve"> на </w:t>
      </w:r>
      <w:r w:rsidRPr="00CC7883">
        <w:rPr>
          <w:rFonts w:ascii="Times New Roman" w:eastAsia="Times New Roman" w:hAnsi="Times New Roman" w:cs="Times New Roman"/>
          <w:bCs/>
          <w:color w:val="000000" w:themeColor="text1"/>
          <w:kern w:val="0"/>
          <w:sz w:val="28"/>
          <w:szCs w:val="28"/>
          <w:lang w:eastAsia="ru-RU"/>
        </w:rPr>
        <w:t>3,1–5,9 % більше</w:t>
      </w:r>
      <w:r w:rsidRPr="00CC7883">
        <w:rPr>
          <w:rFonts w:ascii="Times New Roman" w:eastAsia="Times New Roman" w:hAnsi="Times New Roman" w:cs="Times New Roman"/>
          <w:color w:val="000000" w:themeColor="text1"/>
          <w:kern w:val="0"/>
          <w:sz w:val="28"/>
          <w:szCs w:val="28"/>
          <w:lang w:eastAsia="ru-RU"/>
        </w:rPr>
        <w:t>, що свідчить про стимулюючий вплив базового середовища MS із фітогормональним комплексом ІОК + 6-БАП на ці показники.</w:t>
      </w:r>
    </w:p>
    <w:p w:rsidR="008A4327" w:rsidRPr="00CC7883" w:rsidRDefault="008A4327" w:rsidP="00047411">
      <w:pPr>
        <w:widowControl w:val="0"/>
        <w:spacing w:after="0" w:line="360" w:lineRule="auto"/>
        <w:ind w:firstLine="720"/>
        <w:jc w:val="both"/>
        <w:rPr>
          <w:rFonts w:ascii="Times New Roman" w:eastAsia="Times New Roman" w:hAnsi="Times New Roman" w:cs="Times New Roman"/>
          <w:color w:val="000000" w:themeColor="text1"/>
          <w:kern w:val="0"/>
          <w:sz w:val="28"/>
          <w:szCs w:val="28"/>
          <w:lang w:eastAsia="ru-RU"/>
        </w:rPr>
      </w:pPr>
      <w:bookmarkStart w:id="54" w:name="_Hlk220501291"/>
      <w:r w:rsidRPr="00CC7883">
        <w:rPr>
          <w:rFonts w:ascii="Times New Roman" w:eastAsia="Times New Roman" w:hAnsi="Times New Roman" w:cs="Times New Roman"/>
          <w:color w:val="000000" w:themeColor="text1"/>
          <w:kern w:val="0"/>
          <w:sz w:val="28"/>
          <w:szCs w:val="28"/>
          <w:lang w:eastAsia="ru-RU"/>
        </w:rPr>
        <w:t xml:space="preserve">Використання чистих мінеральних субстратів для культивування мікроклонів винограду </w:t>
      </w:r>
      <w:r w:rsidRPr="00CC7883">
        <w:rPr>
          <w:rFonts w:ascii="Times New Roman" w:eastAsia="Times New Roman" w:hAnsi="Times New Roman" w:cs="Times New Roman"/>
          <w:i/>
          <w:color w:val="000000" w:themeColor="text1"/>
          <w:kern w:val="0"/>
          <w:sz w:val="28"/>
          <w:szCs w:val="28"/>
          <w:lang w:eastAsia="ru-RU"/>
        </w:rPr>
        <w:t>in vitro</w:t>
      </w:r>
      <w:r w:rsidRPr="00CC7883">
        <w:rPr>
          <w:rFonts w:ascii="Times New Roman" w:eastAsia="Times New Roman" w:hAnsi="Times New Roman" w:cs="Times New Roman"/>
          <w:color w:val="000000" w:themeColor="text1"/>
          <w:kern w:val="0"/>
          <w:sz w:val="28"/>
          <w:szCs w:val="28"/>
          <w:lang w:eastAsia="ru-RU"/>
        </w:rPr>
        <w:t xml:space="preserve"> призводило до зниження висоти пагонів відносно контролю: на агроперліті – на 40,2–45,8 %, на вермикуліті – на 50,7–68,3 %, на суміші агроперліт + вермикуліт – на 46,3–65,2 %; зменшення кількості листкових пластинок у дослідних варіантах становило: на агроперліті – 3,0–18,2 %, на вермикуліті – 15,2–35,5 %, на суміші агроперліт + вермикуліт – 10,3–17,2 %.</w:t>
      </w:r>
      <w:bookmarkEnd w:id="54"/>
      <w:r w:rsidRPr="00CC7883">
        <w:rPr>
          <w:rFonts w:ascii="Times New Roman" w:eastAsia="Times New Roman" w:hAnsi="Times New Roman" w:cs="Times New Roman"/>
          <w:color w:val="000000" w:themeColor="text1"/>
          <w:kern w:val="0"/>
          <w:sz w:val="28"/>
          <w:szCs w:val="28"/>
          <w:lang w:eastAsia="ru-RU"/>
        </w:rPr>
        <w:t xml:space="preserve"> При порівнянні дослідних варіантів було встановлено, що на агроперліті формувалися мікроклони з найвищою висотою та більшою кількістю листкових пластинок.</w:t>
      </w:r>
    </w:p>
    <w:p w:rsidR="008A4327" w:rsidRPr="00CC7883" w:rsidRDefault="008A4327" w:rsidP="00047411">
      <w:pPr>
        <w:widowControl w:val="0"/>
        <w:numPr>
          <w:ilvl w:val="0"/>
          <w:numId w:val="44"/>
        </w:numPr>
        <w:tabs>
          <w:tab w:val="num" w:pos="360"/>
        </w:tabs>
        <w:spacing w:after="0" w:line="360" w:lineRule="auto"/>
        <w:ind w:left="0" w:firstLine="0"/>
        <w:contextualSpacing/>
        <w:jc w:val="both"/>
        <w:rPr>
          <w:rFonts w:ascii="Times New Roman" w:eastAsia="NSimSun" w:hAnsi="Times New Roman" w:cs="Times New Roman"/>
          <w:color w:val="000000" w:themeColor="text1"/>
          <w:kern w:val="0"/>
          <w:sz w:val="28"/>
          <w:szCs w:val="28"/>
        </w:rPr>
      </w:pPr>
      <w:r w:rsidRPr="00CC7883">
        <w:rPr>
          <w:rFonts w:ascii="Times New Roman" w:eastAsia="Times New Roman" w:hAnsi="Times New Roman" w:cs="Times New Roman"/>
          <w:color w:val="000000" w:themeColor="text1"/>
          <w:kern w:val="0"/>
          <w:sz w:val="28"/>
          <w:szCs w:val="28"/>
          <w:lang w:eastAsia="ru-RU"/>
        </w:rPr>
        <w:t xml:space="preserve">Додавання до поживних середовищ біологічно активних препаратів </w:t>
      </w:r>
      <w:r w:rsidRPr="00CC7883">
        <w:rPr>
          <w:rFonts w:ascii="Times New Roman" w:eastAsia="Times New Roman" w:hAnsi="Times New Roman" w:cs="Times New Roman"/>
          <w:bCs/>
          <w:color w:val="000000" w:themeColor="text1"/>
          <w:kern w:val="0"/>
          <w:sz w:val="28"/>
          <w:szCs w:val="28"/>
          <w:lang w:eastAsia="ru-RU"/>
        </w:rPr>
        <w:t>Радіфарм</w:t>
      </w:r>
      <w:r w:rsidRPr="00CC7883">
        <w:rPr>
          <w:rFonts w:ascii="Times New Roman" w:eastAsia="Times New Roman" w:hAnsi="Times New Roman" w:cs="Times New Roman"/>
          <w:color w:val="000000" w:themeColor="text1"/>
          <w:kern w:val="0"/>
          <w:sz w:val="28"/>
          <w:szCs w:val="28"/>
          <w:lang w:eastAsia="ru-RU"/>
        </w:rPr>
        <w:t xml:space="preserve"> і </w:t>
      </w:r>
      <w:r w:rsidRPr="00CC7883">
        <w:rPr>
          <w:rFonts w:ascii="Times New Roman" w:eastAsia="Times New Roman" w:hAnsi="Times New Roman" w:cs="Times New Roman"/>
          <w:bCs/>
          <w:color w:val="000000" w:themeColor="text1"/>
          <w:kern w:val="0"/>
          <w:sz w:val="28"/>
          <w:szCs w:val="28"/>
          <w:lang w:eastAsia="ru-RU"/>
        </w:rPr>
        <w:t>Clonex gel</w:t>
      </w:r>
      <w:r w:rsidRPr="00CC7883">
        <w:rPr>
          <w:rFonts w:ascii="Times New Roman" w:eastAsia="Times New Roman" w:hAnsi="Times New Roman" w:cs="Times New Roman"/>
          <w:color w:val="000000" w:themeColor="text1"/>
          <w:kern w:val="0"/>
          <w:sz w:val="28"/>
          <w:szCs w:val="28"/>
          <w:lang w:eastAsia="ru-RU"/>
        </w:rPr>
        <w:t xml:space="preserve"> сприяло збільшенню площі листкової пластинки (на 31,5–46,1 %), загальної площі листкової поверхні (на 28,0–38,5 %) та показника облистяності (на 50,5–68,3 %) відносно контролю. Найбільшими значеннями площі листкової поверхні (до 26,3–26,5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Times New Roman" w:hAnsi="Times New Roman" w:cs="Times New Roman"/>
          <w:color w:val="000000" w:themeColor="text1"/>
          <w:kern w:val="0"/>
          <w:sz w:val="28"/>
          <w:szCs w:val="28"/>
          <w:lang w:eastAsia="ru-RU"/>
        </w:rPr>
        <w:t xml:space="preserve">) та облистяності (2,5–2,6 дм²/м) характеризувалися мікроклони винограду сортів «Добриня» і «Гарант» у варіантах із </w:t>
      </w:r>
      <w:r w:rsidRPr="00CC7883">
        <w:rPr>
          <w:rFonts w:ascii="Times New Roman" w:eastAsia="Times New Roman" w:hAnsi="Times New Roman" w:cs="Times New Roman"/>
          <w:bCs/>
          <w:color w:val="000000" w:themeColor="text1"/>
          <w:kern w:val="0"/>
          <w:sz w:val="28"/>
          <w:szCs w:val="28"/>
          <w:lang w:eastAsia="ru-RU"/>
        </w:rPr>
        <w:t>Clonex gel</w:t>
      </w:r>
      <w:r w:rsidRPr="00CC7883">
        <w:rPr>
          <w:rFonts w:ascii="Times New Roman" w:eastAsia="Times New Roman" w:hAnsi="Times New Roman" w:cs="Times New Roman"/>
          <w:color w:val="000000" w:themeColor="text1"/>
          <w:kern w:val="0"/>
          <w:sz w:val="28"/>
          <w:szCs w:val="28"/>
          <w:lang w:eastAsia="ru-RU"/>
        </w:rPr>
        <w:t xml:space="preserve">. Мікроклони сортів «Ярило» і «Загрей» характеризувалися меншою площею листка, </w:t>
      </w:r>
      <w:r w:rsidR="001072A1">
        <w:rPr>
          <w:rFonts w:ascii="Times New Roman" w:eastAsia="Times New Roman" w:hAnsi="Times New Roman" w:cs="Times New Roman"/>
          <w:color w:val="000000" w:themeColor="text1"/>
          <w:kern w:val="0"/>
          <w:sz w:val="28"/>
          <w:szCs w:val="28"/>
          <w:lang w:eastAsia="ru-RU"/>
        </w:rPr>
        <w:t xml:space="preserve">площею </w:t>
      </w:r>
      <w:r w:rsidRPr="00CC7883">
        <w:rPr>
          <w:rFonts w:ascii="Times New Roman" w:eastAsia="Times New Roman" w:hAnsi="Times New Roman" w:cs="Times New Roman"/>
          <w:color w:val="000000" w:themeColor="text1"/>
          <w:kern w:val="0"/>
          <w:sz w:val="28"/>
          <w:szCs w:val="28"/>
          <w:lang w:eastAsia="ru-RU"/>
        </w:rPr>
        <w:t>листкової поверхні, облистяності, проте всі вони перевищували контрольні значення.</w:t>
      </w:r>
    </w:p>
    <w:p w:rsidR="008A4327" w:rsidRPr="00CC7883" w:rsidRDefault="008A4327" w:rsidP="00047411">
      <w:pPr>
        <w:widowControl w:val="0"/>
        <w:spacing w:after="0" w:line="360" w:lineRule="auto"/>
        <w:ind w:firstLine="708"/>
        <w:jc w:val="both"/>
        <w:rPr>
          <w:rFonts w:ascii="Times New Roman" w:eastAsia="SimSun" w:hAnsi="Times New Roman" w:cs="Times New Roman"/>
          <w:color w:val="000000" w:themeColor="text1"/>
          <w:kern w:val="0"/>
          <w:sz w:val="28"/>
          <w:szCs w:val="28"/>
        </w:rPr>
      </w:pPr>
      <w:r w:rsidRPr="00CC7883">
        <w:rPr>
          <w:rFonts w:ascii="Times New Roman" w:eastAsia="SimSun" w:hAnsi="Times New Roman" w:cs="Times New Roman"/>
          <w:color w:val="000000" w:themeColor="text1"/>
          <w:kern w:val="0"/>
          <w:sz w:val="28"/>
          <w:szCs w:val="28"/>
        </w:rPr>
        <w:t xml:space="preserve">Використання структурованих поживних середовищ із мінеральними субстратами (агроперліт, </w:t>
      </w:r>
      <w:r w:rsidRPr="00CC7883">
        <w:rPr>
          <w:rFonts w:ascii="Times New Roman" w:eastAsia="Times New Roman" w:hAnsi="Times New Roman" w:cs="Times New Roman"/>
          <w:color w:val="000000" w:themeColor="text1"/>
          <w:kern w:val="0"/>
          <w:sz w:val="28"/>
          <w:szCs w:val="28"/>
          <w:lang w:eastAsia="ru-RU"/>
        </w:rPr>
        <w:t>верми</w:t>
      </w:r>
      <w:r w:rsidRPr="00CC7883">
        <w:rPr>
          <w:rFonts w:ascii="Times New Roman" w:eastAsia="SimSun" w:hAnsi="Times New Roman" w:cs="Times New Roman"/>
          <w:color w:val="000000" w:themeColor="text1"/>
          <w:kern w:val="0"/>
          <w:sz w:val="28"/>
          <w:szCs w:val="28"/>
        </w:rPr>
        <w:t xml:space="preserve">куліт, агроперліт + </w:t>
      </w:r>
      <w:r w:rsidRPr="00CC7883">
        <w:rPr>
          <w:rFonts w:ascii="Times New Roman" w:eastAsia="Times New Roman" w:hAnsi="Times New Roman" w:cs="Times New Roman"/>
          <w:color w:val="000000" w:themeColor="text1"/>
          <w:kern w:val="0"/>
          <w:sz w:val="28"/>
          <w:szCs w:val="28"/>
          <w:lang w:eastAsia="ru-RU"/>
        </w:rPr>
        <w:t>верми</w:t>
      </w:r>
      <w:r w:rsidRPr="00CC7883">
        <w:rPr>
          <w:rFonts w:ascii="Times New Roman" w:eastAsia="SimSun" w:hAnsi="Times New Roman" w:cs="Times New Roman"/>
          <w:color w:val="000000" w:themeColor="text1"/>
          <w:kern w:val="0"/>
          <w:sz w:val="28"/>
          <w:szCs w:val="28"/>
        </w:rPr>
        <w:t xml:space="preserve">куліт) також позитивно впливало на формування асиміляційного апарату мікроклонів. Рослини цих варіантів, порівняно з контролем, мали більшу площу листкової поверхні (до 27,2 </w:t>
      </w:r>
      <w:r w:rsidRPr="00CC7883">
        <w:rPr>
          <w:rFonts w:ascii="Times New Roman" w:eastAsia="Calibri" w:hAnsi="Times New Roman" w:cs="Times New Roman"/>
          <w:color w:val="000000" w:themeColor="text1"/>
          <w:kern w:val="0"/>
          <w:sz w:val="28"/>
          <w:szCs w:val="28"/>
        </w:rPr>
        <w:t>см</w:t>
      </w:r>
      <w:r w:rsidRPr="00CC7883">
        <w:rPr>
          <w:rFonts w:ascii="Times New Roman" w:eastAsia="Calibri" w:hAnsi="Times New Roman" w:cs="Times New Roman"/>
          <w:color w:val="000000" w:themeColor="text1"/>
          <w:kern w:val="0"/>
          <w:sz w:val="28"/>
          <w:szCs w:val="28"/>
          <w:vertAlign w:val="superscript"/>
        </w:rPr>
        <w:t>2</w:t>
      </w:r>
      <w:r w:rsidRPr="00CC7883">
        <w:rPr>
          <w:rFonts w:ascii="Times New Roman" w:eastAsia="Calibri" w:hAnsi="Times New Roman" w:cs="Times New Roman"/>
          <w:color w:val="000000" w:themeColor="text1"/>
          <w:kern w:val="0"/>
          <w:sz w:val="28"/>
          <w:szCs w:val="28"/>
        </w:rPr>
        <w:t>/м</w:t>
      </w:r>
      <w:r w:rsidRPr="00CC7883">
        <w:rPr>
          <w:rFonts w:ascii="Times New Roman" w:eastAsia="SimSun" w:hAnsi="Times New Roman" w:cs="Times New Roman"/>
          <w:color w:val="000000" w:themeColor="text1"/>
          <w:kern w:val="0"/>
          <w:sz w:val="28"/>
          <w:szCs w:val="28"/>
        </w:rPr>
        <w:t xml:space="preserve">, що на </w:t>
      </w:r>
      <w:r w:rsidRPr="00CC7883">
        <w:rPr>
          <w:rFonts w:ascii="Times New Roman" w:eastAsia="SimSun" w:hAnsi="Times New Roman" w:cs="Times New Roman"/>
          <w:bCs/>
          <w:color w:val="000000" w:themeColor="text1"/>
          <w:kern w:val="0"/>
          <w:sz w:val="28"/>
          <w:szCs w:val="28"/>
        </w:rPr>
        <w:t>28,6–37,6 % більше контролю</w:t>
      </w:r>
      <w:r w:rsidRPr="00CC7883">
        <w:rPr>
          <w:rFonts w:ascii="Times New Roman" w:eastAsia="SimSun" w:hAnsi="Times New Roman" w:cs="Times New Roman"/>
          <w:color w:val="000000" w:themeColor="text1"/>
          <w:kern w:val="0"/>
          <w:sz w:val="28"/>
          <w:szCs w:val="28"/>
        </w:rPr>
        <w:t xml:space="preserve">) та облистяність </w:t>
      </w:r>
      <w:r w:rsidRPr="00CC7883">
        <w:rPr>
          <w:rFonts w:ascii="Times New Roman" w:eastAsia="SimSun" w:hAnsi="Times New Roman" w:cs="Times New Roman"/>
          <w:color w:val="000000" w:themeColor="text1"/>
          <w:kern w:val="0"/>
          <w:sz w:val="28"/>
          <w:szCs w:val="28"/>
        </w:rPr>
        <w:lastRenderedPageBreak/>
        <w:t xml:space="preserve">(1,8–2,6 дм²/м, що на </w:t>
      </w:r>
      <w:r w:rsidRPr="00CC7883">
        <w:rPr>
          <w:rFonts w:ascii="Times New Roman" w:eastAsia="SimSun" w:hAnsi="Times New Roman" w:cs="Times New Roman"/>
          <w:bCs/>
          <w:color w:val="000000" w:themeColor="text1"/>
          <w:kern w:val="0"/>
          <w:sz w:val="28"/>
          <w:szCs w:val="28"/>
        </w:rPr>
        <w:t>44,3–73,0 % більше контролю</w:t>
      </w:r>
      <w:r w:rsidRPr="00CC7883">
        <w:rPr>
          <w:rFonts w:ascii="Times New Roman" w:eastAsia="SimSun" w:hAnsi="Times New Roman" w:cs="Times New Roman"/>
          <w:color w:val="000000" w:themeColor="text1"/>
          <w:kern w:val="0"/>
          <w:sz w:val="28"/>
          <w:szCs w:val="28"/>
        </w:rPr>
        <w:t>).</w:t>
      </w:r>
      <w:r w:rsidR="00F21D92" w:rsidRPr="00CC7883">
        <w:rPr>
          <w:rFonts w:ascii="Times New Roman" w:eastAsia="SimSun" w:hAnsi="Times New Roman" w:cs="Times New Roman"/>
          <w:color w:val="000000" w:themeColor="text1"/>
          <w:kern w:val="0"/>
          <w:sz w:val="28"/>
          <w:szCs w:val="28"/>
        </w:rPr>
        <w:t xml:space="preserve"> </w:t>
      </w:r>
      <w:r w:rsidRPr="00CC7883">
        <w:rPr>
          <w:rFonts w:ascii="Times New Roman" w:eastAsia="SimSun" w:hAnsi="Times New Roman" w:cs="Times New Roman"/>
          <w:color w:val="000000" w:themeColor="text1"/>
          <w:kern w:val="0"/>
          <w:sz w:val="28"/>
          <w:szCs w:val="28"/>
        </w:rPr>
        <w:t xml:space="preserve">Така властивість була особливо виражена на структурованих поживних середовищах із </w:t>
      </w:r>
      <w:r w:rsidRPr="00CC7883">
        <w:rPr>
          <w:rFonts w:ascii="Times New Roman" w:eastAsia="Times New Roman" w:hAnsi="Times New Roman" w:cs="Times New Roman"/>
          <w:color w:val="000000" w:themeColor="text1"/>
          <w:kern w:val="0"/>
          <w:sz w:val="28"/>
          <w:szCs w:val="28"/>
          <w:lang w:eastAsia="ru-RU"/>
        </w:rPr>
        <w:t>верми</w:t>
      </w:r>
      <w:r w:rsidRPr="00CC7883">
        <w:rPr>
          <w:rFonts w:ascii="Times New Roman" w:eastAsia="SimSun" w:hAnsi="Times New Roman" w:cs="Times New Roman"/>
          <w:color w:val="000000" w:themeColor="text1"/>
          <w:kern w:val="0"/>
          <w:sz w:val="28"/>
          <w:szCs w:val="28"/>
        </w:rPr>
        <w:t xml:space="preserve">кулітом, сумішшю агроперліту з </w:t>
      </w:r>
      <w:r w:rsidRPr="00CC7883">
        <w:rPr>
          <w:rFonts w:ascii="Times New Roman" w:eastAsia="Times New Roman" w:hAnsi="Times New Roman" w:cs="Times New Roman"/>
          <w:color w:val="000000" w:themeColor="text1"/>
          <w:kern w:val="0"/>
          <w:sz w:val="28"/>
          <w:szCs w:val="28"/>
          <w:lang w:eastAsia="ru-RU"/>
        </w:rPr>
        <w:t>верми</w:t>
      </w:r>
      <w:r w:rsidRPr="00CC7883">
        <w:rPr>
          <w:rFonts w:ascii="Times New Roman" w:eastAsia="SimSun" w:hAnsi="Times New Roman" w:cs="Times New Roman"/>
          <w:color w:val="000000" w:themeColor="text1"/>
          <w:kern w:val="0"/>
          <w:sz w:val="28"/>
          <w:szCs w:val="28"/>
        </w:rPr>
        <w:t>кулітом.</w:t>
      </w:r>
    </w:p>
    <w:p w:rsidR="008A4327" w:rsidRPr="00CC7883" w:rsidRDefault="008A4327" w:rsidP="00047411">
      <w:pPr>
        <w:widowControl w:val="0"/>
        <w:spacing w:after="0" w:line="360" w:lineRule="auto"/>
        <w:ind w:firstLine="708"/>
        <w:jc w:val="both"/>
        <w:rPr>
          <w:rFonts w:ascii="Times New Roman" w:eastAsia="NSimSun" w:hAnsi="Times New Roman" w:cs="Times New Roman"/>
          <w:color w:val="000000" w:themeColor="text1"/>
          <w:kern w:val="0"/>
          <w:sz w:val="28"/>
          <w:szCs w:val="28"/>
        </w:rPr>
      </w:pPr>
      <w:r w:rsidRPr="00CC7883">
        <w:rPr>
          <w:rFonts w:ascii="Times New Roman" w:eastAsia="NSimSun" w:hAnsi="Times New Roman" w:cs="Times New Roman"/>
          <w:color w:val="000000" w:themeColor="text1"/>
          <w:kern w:val="0"/>
          <w:sz w:val="28"/>
          <w:szCs w:val="28"/>
        </w:rPr>
        <w:t xml:space="preserve">Після культивування мікроклонів винограду </w:t>
      </w:r>
      <w:r w:rsidRPr="00CC7883">
        <w:rPr>
          <w:rFonts w:ascii="Times New Roman" w:eastAsia="NSimSun" w:hAnsi="Times New Roman" w:cs="Times New Roman"/>
          <w:i/>
          <w:color w:val="000000" w:themeColor="text1"/>
          <w:kern w:val="0"/>
          <w:sz w:val="28"/>
          <w:szCs w:val="28"/>
        </w:rPr>
        <w:t>in vitro</w:t>
      </w:r>
      <w:r w:rsidRPr="00CC7883">
        <w:rPr>
          <w:rFonts w:ascii="Times New Roman" w:eastAsia="NSimSun" w:hAnsi="Times New Roman" w:cs="Times New Roman"/>
          <w:color w:val="000000" w:themeColor="text1"/>
          <w:kern w:val="0"/>
          <w:sz w:val="28"/>
          <w:szCs w:val="28"/>
        </w:rPr>
        <w:t xml:space="preserve"> на чистих мінеральних субстратах площа листкової пластинки підщепних сортів варіювала в межах 1,4–2,6 см², технічних – у межах 1,4–2,3 см², при цьому перевагу над контрольними значеннями, за цим показником відмічено тільки на суміші агроперліт + </w:t>
      </w:r>
      <w:r w:rsidRPr="00CC7883">
        <w:rPr>
          <w:rFonts w:ascii="Times New Roman" w:eastAsia="Times New Roman" w:hAnsi="Times New Roman" w:cs="Times New Roman"/>
          <w:color w:val="000000" w:themeColor="text1"/>
          <w:kern w:val="0"/>
          <w:sz w:val="28"/>
          <w:szCs w:val="28"/>
          <w:lang w:eastAsia="ru-RU"/>
        </w:rPr>
        <w:t>верми</w:t>
      </w:r>
      <w:r w:rsidRPr="00CC7883">
        <w:rPr>
          <w:rFonts w:ascii="Times New Roman" w:eastAsia="NSimSun" w:hAnsi="Times New Roman" w:cs="Times New Roman"/>
          <w:color w:val="000000" w:themeColor="text1"/>
          <w:kern w:val="0"/>
          <w:sz w:val="28"/>
          <w:szCs w:val="28"/>
        </w:rPr>
        <w:t xml:space="preserve">куліт для сортів «Добриня» і «Ярило» – на 5,0 та 11,4 % відповідно. Площа листкової поверхні мікроклонів як підщепних, так і технічних сортів залишалася меншою за контрольні значення; максимальні значення площі листкової поверхні серед дослідних варіантів відмічено на суміші агроперліту та </w:t>
      </w:r>
      <w:r w:rsidRPr="00CC7883">
        <w:rPr>
          <w:rFonts w:ascii="Times New Roman" w:eastAsia="Times New Roman" w:hAnsi="Times New Roman" w:cs="Times New Roman"/>
          <w:color w:val="000000" w:themeColor="text1"/>
          <w:kern w:val="0"/>
          <w:sz w:val="28"/>
          <w:szCs w:val="28"/>
          <w:lang w:eastAsia="ru-RU"/>
        </w:rPr>
        <w:t>верми</w:t>
      </w:r>
      <w:r w:rsidRPr="00CC7883">
        <w:rPr>
          <w:rFonts w:ascii="Times New Roman" w:eastAsia="NSimSun" w:hAnsi="Times New Roman" w:cs="Times New Roman"/>
          <w:color w:val="000000" w:themeColor="text1"/>
          <w:kern w:val="0"/>
          <w:sz w:val="28"/>
          <w:szCs w:val="28"/>
        </w:rPr>
        <w:t xml:space="preserve">куліту. </w:t>
      </w:r>
      <w:bookmarkStart w:id="55" w:name="_Hlk220501666"/>
      <w:r w:rsidRPr="00CC7883">
        <w:rPr>
          <w:rFonts w:ascii="Times New Roman" w:eastAsia="NSimSun" w:hAnsi="Times New Roman" w:cs="Times New Roman"/>
          <w:color w:val="000000" w:themeColor="text1"/>
          <w:kern w:val="0"/>
          <w:sz w:val="28"/>
          <w:szCs w:val="28"/>
        </w:rPr>
        <w:t>Суттєво відрізнявся від контролю показник облистяності мікроклонів, особливо на суміші агроперліт з вермикулітом.</w:t>
      </w:r>
      <w:bookmarkEnd w:id="55"/>
      <w:r w:rsidRPr="00CC7883">
        <w:rPr>
          <w:rFonts w:ascii="Times New Roman" w:eastAsia="NSimSun" w:hAnsi="Times New Roman" w:cs="Times New Roman"/>
          <w:color w:val="000000" w:themeColor="text1"/>
          <w:kern w:val="0"/>
          <w:sz w:val="28"/>
          <w:szCs w:val="28"/>
        </w:rPr>
        <w:t xml:space="preserve"> У підщепних сортів вони становили 2,5–2,9 дм²/м, у технічних – 2,1–3,1 дм²/м, </w:t>
      </w:r>
      <w:bookmarkStart w:id="56" w:name="_Hlk220501680"/>
      <w:r w:rsidRPr="00CC7883">
        <w:rPr>
          <w:rFonts w:ascii="Times New Roman" w:eastAsia="NSimSun" w:hAnsi="Times New Roman" w:cs="Times New Roman"/>
          <w:color w:val="000000" w:themeColor="text1"/>
          <w:kern w:val="0"/>
          <w:sz w:val="28"/>
          <w:szCs w:val="28"/>
        </w:rPr>
        <w:t>що перевищувало контрольні значення відповідно в середньому в 1,8 раз</w:t>
      </w:r>
      <w:r w:rsidR="000F7714">
        <w:rPr>
          <w:rFonts w:ascii="Times New Roman" w:eastAsia="NSimSun" w:hAnsi="Times New Roman" w:cs="Times New Roman"/>
          <w:color w:val="000000" w:themeColor="text1"/>
          <w:kern w:val="0"/>
          <w:sz w:val="28"/>
          <w:szCs w:val="28"/>
        </w:rPr>
        <w:t>а</w:t>
      </w:r>
      <w:r w:rsidRPr="00CC7883">
        <w:rPr>
          <w:rFonts w:ascii="Times New Roman" w:eastAsia="NSimSun" w:hAnsi="Times New Roman" w:cs="Times New Roman"/>
          <w:color w:val="000000" w:themeColor="text1"/>
          <w:kern w:val="0"/>
          <w:sz w:val="28"/>
          <w:szCs w:val="28"/>
        </w:rPr>
        <w:t xml:space="preserve"> для підщепних і 1,9 </w:t>
      </w:r>
      <w:r w:rsidR="000F7714" w:rsidRPr="00CC7883">
        <w:rPr>
          <w:rFonts w:ascii="Times New Roman" w:eastAsia="NSimSun" w:hAnsi="Times New Roman" w:cs="Times New Roman"/>
          <w:color w:val="000000" w:themeColor="text1"/>
          <w:kern w:val="0"/>
          <w:sz w:val="28"/>
          <w:szCs w:val="28"/>
        </w:rPr>
        <w:t>раз</w:t>
      </w:r>
      <w:r w:rsidR="000F7714">
        <w:rPr>
          <w:rFonts w:ascii="Times New Roman" w:eastAsia="NSimSun" w:hAnsi="Times New Roman" w:cs="Times New Roman"/>
          <w:color w:val="000000" w:themeColor="text1"/>
          <w:kern w:val="0"/>
          <w:sz w:val="28"/>
          <w:szCs w:val="28"/>
        </w:rPr>
        <w:t>а</w:t>
      </w:r>
      <w:r w:rsidRPr="00CC7883">
        <w:rPr>
          <w:rFonts w:ascii="Times New Roman" w:eastAsia="NSimSun" w:hAnsi="Times New Roman" w:cs="Times New Roman"/>
          <w:color w:val="000000" w:themeColor="text1"/>
          <w:kern w:val="0"/>
          <w:sz w:val="28"/>
          <w:szCs w:val="28"/>
        </w:rPr>
        <w:t xml:space="preserve"> для технічних сортів</w:t>
      </w:r>
      <w:bookmarkEnd w:id="56"/>
      <w:r w:rsidRPr="00CC7883">
        <w:rPr>
          <w:rFonts w:ascii="Times New Roman" w:eastAsia="NSimSun" w:hAnsi="Times New Roman" w:cs="Times New Roman"/>
          <w:color w:val="000000" w:themeColor="text1"/>
          <w:kern w:val="0"/>
          <w:sz w:val="28"/>
          <w:szCs w:val="28"/>
        </w:rPr>
        <w:t>.</w:t>
      </w:r>
    </w:p>
    <w:p w:rsidR="008A4327" w:rsidRPr="00CC7883" w:rsidRDefault="008A4327" w:rsidP="00047411">
      <w:pPr>
        <w:widowControl w:val="0"/>
        <w:numPr>
          <w:ilvl w:val="0"/>
          <w:numId w:val="44"/>
        </w:numPr>
        <w:tabs>
          <w:tab w:val="num" w:pos="360"/>
        </w:tabs>
        <w:spacing w:after="0" w:line="360" w:lineRule="auto"/>
        <w:ind w:left="0" w:firstLine="0"/>
        <w:contextualSpacing/>
        <w:jc w:val="both"/>
        <w:rPr>
          <w:rFonts w:ascii="Times New Roman" w:eastAsia="Times New Roman" w:hAnsi="Times New Roman" w:cs="Times New Roman"/>
          <w:color w:val="000000" w:themeColor="text1"/>
          <w:kern w:val="0"/>
          <w:sz w:val="28"/>
          <w:szCs w:val="28"/>
          <w:lang w:eastAsia="ru-RU"/>
        </w:rPr>
      </w:pPr>
      <w:bookmarkStart w:id="57" w:name="_Hlk220501745"/>
      <w:r w:rsidRPr="00CC7883">
        <w:rPr>
          <w:rFonts w:ascii="Times New Roman" w:eastAsia="Times New Roman" w:hAnsi="Times New Roman" w:cs="Times New Roman"/>
          <w:color w:val="000000" w:themeColor="text1"/>
          <w:kern w:val="0"/>
          <w:sz w:val="28"/>
          <w:szCs w:val="28"/>
          <w:lang w:eastAsia="ru-RU"/>
        </w:rPr>
        <w:t xml:space="preserve">Аналіз біометричних показників розвитку кореневої системи показав, що загальна кількість коренів та кількість коренів І </w:t>
      </w:r>
      <w:r w:rsidR="000F7714">
        <w:rPr>
          <w:rFonts w:ascii="Times New Roman" w:eastAsia="Times New Roman" w:hAnsi="Times New Roman" w:cs="Times New Roman"/>
          <w:color w:val="000000" w:themeColor="text1"/>
          <w:kern w:val="0"/>
          <w:sz w:val="28"/>
          <w:szCs w:val="28"/>
          <w:lang w:eastAsia="ru-RU"/>
        </w:rPr>
        <w:t>і</w:t>
      </w:r>
      <w:r w:rsidRPr="00CC7883">
        <w:rPr>
          <w:rFonts w:ascii="Times New Roman" w:eastAsia="Times New Roman" w:hAnsi="Times New Roman" w:cs="Times New Roman"/>
          <w:color w:val="000000" w:themeColor="text1"/>
          <w:kern w:val="0"/>
          <w:sz w:val="28"/>
          <w:szCs w:val="28"/>
          <w:lang w:eastAsia="ru-RU"/>
        </w:rPr>
        <w:t xml:space="preserve"> ІІ порядку у мікроклонів підщепних та технічних сортів значно залежала від складу поживного середовища та (особливо) використання стимуляторів коренеутворення.</w:t>
      </w:r>
      <w:bookmarkEnd w:id="57"/>
      <w:r w:rsidRPr="00CC7883">
        <w:rPr>
          <w:rFonts w:ascii="Times New Roman" w:eastAsia="Times New Roman" w:hAnsi="Times New Roman" w:cs="Times New Roman"/>
          <w:color w:val="000000" w:themeColor="text1"/>
          <w:kern w:val="0"/>
          <w:sz w:val="28"/>
          <w:szCs w:val="28"/>
          <w:lang w:eastAsia="ru-RU"/>
        </w:rPr>
        <w:t xml:space="preserve"> </w:t>
      </w:r>
      <w:bookmarkStart w:id="58" w:name="_Hlk220501801"/>
      <w:r w:rsidRPr="00CC7883">
        <w:rPr>
          <w:rFonts w:ascii="Times New Roman" w:eastAsia="Times New Roman" w:hAnsi="Times New Roman" w:cs="Times New Roman"/>
          <w:color w:val="000000" w:themeColor="text1"/>
          <w:kern w:val="0"/>
          <w:sz w:val="28"/>
          <w:szCs w:val="28"/>
          <w:lang w:eastAsia="ru-RU"/>
        </w:rPr>
        <w:t xml:space="preserve">У мікроклонів підщепних сортів дослідних варіантів загальна кількість коренів варіювала від 26,2 до 45,9 шт., у мікроклонів технічних сортів – від 21,3 до 42,1 шт., при цьому кількість коренів І порядку перевищувала контрольні значення (5,0–6,0 шт. підщепні, 5,0 шт. технічні) </w:t>
      </w:r>
      <w:r w:rsidR="00287628">
        <w:rPr>
          <w:rFonts w:ascii="Times New Roman" w:eastAsia="Times New Roman" w:hAnsi="Times New Roman" w:cs="Times New Roman"/>
          <w:color w:val="000000" w:themeColor="text1"/>
          <w:kern w:val="0"/>
          <w:sz w:val="28"/>
          <w:szCs w:val="28"/>
          <w:lang w:eastAsia="ru-RU"/>
        </w:rPr>
        <w:t>в</w:t>
      </w:r>
      <w:r w:rsidRPr="00CC7883">
        <w:rPr>
          <w:rFonts w:ascii="Times New Roman" w:eastAsia="Times New Roman" w:hAnsi="Times New Roman" w:cs="Times New Roman"/>
          <w:color w:val="000000" w:themeColor="text1"/>
          <w:kern w:val="0"/>
          <w:sz w:val="28"/>
          <w:szCs w:val="28"/>
          <w:lang w:eastAsia="ru-RU"/>
        </w:rPr>
        <w:t xml:space="preserve"> 1,4–1,6 раз</w:t>
      </w:r>
      <w:r w:rsidR="000B4DB9">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 xml:space="preserve">, кількість коренів ІІ порядку – </w:t>
      </w:r>
      <w:r w:rsidR="00287628">
        <w:rPr>
          <w:rFonts w:ascii="Times New Roman" w:eastAsia="Times New Roman" w:hAnsi="Times New Roman" w:cs="Times New Roman"/>
          <w:color w:val="000000" w:themeColor="text1"/>
          <w:kern w:val="0"/>
          <w:sz w:val="28"/>
          <w:szCs w:val="28"/>
          <w:lang w:eastAsia="ru-RU"/>
        </w:rPr>
        <w:t>в</w:t>
      </w:r>
      <w:r w:rsidRPr="00CC7883">
        <w:rPr>
          <w:rFonts w:ascii="Times New Roman" w:eastAsia="Times New Roman" w:hAnsi="Times New Roman" w:cs="Times New Roman"/>
          <w:color w:val="000000" w:themeColor="text1"/>
          <w:kern w:val="0"/>
          <w:sz w:val="28"/>
          <w:szCs w:val="28"/>
          <w:lang w:eastAsia="ru-RU"/>
        </w:rPr>
        <w:t xml:space="preserve"> 1,5–1,6 раз</w:t>
      </w:r>
      <w:r w:rsidR="000F7714">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w:t>
      </w:r>
      <w:bookmarkEnd w:id="58"/>
      <w:r w:rsidRPr="00CC7883">
        <w:rPr>
          <w:rFonts w:ascii="Times New Roman" w:eastAsia="Times New Roman" w:hAnsi="Times New Roman" w:cs="Times New Roman"/>
          <w:color w:val="000000" w:themeColor="text1"/>
          <w:kern w:val="0"/>
          <w:sz w:val="28"/>
          <w:szCs w:val="28"/>
          <w:lang w:eastAsia="ru-RU"/>
        </w:rPr>
        <w:t xml:space="preserve"> </w:t>
      </w:r>
      <w:bookmarkStart w:id="59" w:name="_Hlk220501832"/>
      <w:r w:rsidRPr="00CC7883">
        <w:rPr>
          <w:rFonts w:ascii="Times New Roman" w:eastAsia="Times New Roman" w:hAnsi="Times New Roman" w:cs="Times New Roman"/>
          <w:color w:val="000000" w:themeColor="text1"/>
          <w:kern w:val="0"/>
          <w:sz w:val="28"/>
          <w:szCs w:val="28"/>
          <w:lang w:eastAsia="ru-RU"/>
        </w:rPr>
        <w:t>Найбільш розгалужену кореневу систему формували мікроклони після обробки препаратом Clonex gel та після культивування на структурованих поживних середовищах із агроперлітом та вермикулітом.</w:t>
      </w:r>
      <w:bookmarkEnd w:id="59"/>
    </w:p>
    <w:p w:rsidR="008A4327" w:rsidRPr="00CC7883" w:rsidRDefault="008A4327" w:rsidP="00047411">
      <w:pPr>
        <w:widowControl w:val="0"/>
        <w:numPr>
          <w:ilvl w:val="0"/>
          <w:numId w:val="44"/>
        </w:numPr>
        <w:tabs>
          <w:tab w:val="num" w:pos="360"/>
        </w:tabs>
        <w:spacing w:after="0" w:line="360" w:lineRule="auto"/>
        <w:ind w:left="0" w:firstLine="0"/>
        <w:contextualSpacing/>
        <w:jc w:val="both"/>
        <w:rPr>
          <w:rFonts w:ascii="Times New Roman" w:eastAsia="Times New Roman" w:hAnsi="Times New Roman" w:cs="Times New Roman"/>
          <w:color w:val="000000" w:themeColor="text1"/>
          <w:kern w:val="0"/>
          <w:sz w:val="28"/>
          <w:szCs w:val="28"/>
          <w:lang w:eastAsia="ru-RU"/>
        </w:rPr>
      </w:pPr>
      <w:bookmarkStart w:id="60" w:name="_Hlk220501881"/>
      <w:r w:rsidRPr="00CC7883">
        <w:rPr>
          <w:rFonts w:ascii="Times New Roman" w:eastAsia="SimSun" w:hAnsi="Times New Roman" w:cs="Times New Roman"/>
          <w:color w:val="000000" w:themeColor="text1"/>
          <w:kern w:val="0"/>
          <w:sz w:val="28"/>
          <w:szCs w:val="28"/>
        </w:rPr>
        <w:t xml:space="preserve">Загальна довжина коренів І порядку </w:t>
      </w:r>
      <w:bookmarkEnd w:id="60"/>
      <w:r w:rsidRPr="00CC7883">
        <w:rPr>
          <w:rFonts w:ascii="Times New Roman" w:eastAsia="SimSun" w:hAnsi="Times New Roman" w:cs="Times New Roman"/>
          <w:color w:val="000000" w:themeColor="text1"/>
          <w:kern w:val="0"/>
          <w:sz w:val="28"/>
          <w:szCs w:val="28"/>
        </w:rPr>
        <w:t xml:space="preserve">у контрольних рослин була найбільшою – 47,9–53,7 см (підщепні сорти) і 47,2–50,0 см (технічні сорти), у </w:t>
      </w:r>
      <w:r w:rsidRPr="00CC7883">
        <w:rPr>
          <w:rFonts w:ascii="Times New Roman" w:eastAsia="SimSun" w:hAnsi="Times New Roman" w:cs="Times New Roman"/>
          <w:color w:val="000000" w:themeColor="text1"/>
          <w:kern w:val="0"/>
          <w:sz w:val="28"/>
          <w:szCs w:val="28"/>
        </w:rPr>
        <w:lastRenderedPageBreak/>
        <w:t xml:space="preserve">рослин дослідних варіантів вона зменшувалася на </w:t>
      </w:r>
      <w:bookmarkStart w:id="61" w:name="_Hlk220501927"/>
      <w:r w:rsidRPr="00CC7883">
        <w:rPr>
          <w:rFonts w:ascii="Times New Roman" w:eastAsia="SimSun" w:hAnsi="Times New Roman" w:cs="Times New Roman"/>
          <w:color w:val="000000" w:themeColor="text1"/>
          <w:kern w:val="0"/>
          <w:sz w:val="28"/>
          <w:szCs w:val="28"/>
        </w:rPr>
        <w:t>15,1–34,5 %</w:t>
      </w:r>
      <w:bookmarkEnd w:id="61"/>
      <w:r w:rsidRPr="00CC7883">
        <w:rPr>
          <w:rFonts w:ascii="Times New Roman" w:eastAsia="SimSun" w:hAnsi="Times New Roman" w:cs="Times New Roman"/>
          <w:color w:val="000000" w:themeColor="text1"/>
          <w:kern w:val="0"/>
          <w:sz w:val="28"/>
          <w:szCs w:val="28"/>
        </w:rPr>
        <w:t xml:space="preserve"> і </w:t>
      </w:r>
      <w:r w:rsidR="00C46225" w:rsidRPr="00CC7883">
        <w:rPr>
          <w:rFonts w:ascii="Times New Roman" w:eastAsia="SimSun" w:hAnsi="Times New Roman" w:cs="Times New Roman"/>
          <w:color w:val="000000" w:themeColor="text1"/>
          <w:kern w:val="0"/>
          <w:sz w:val="28"/>
          <w:szCs w:val="28"/>
        </w:rPr>
        <w:t>змінювалась</w:t>
      </w:r>
      <w:r w:rsidRPr="00CC7883">
        <w:rPr>
          <w:rFonts w:ascii="Times New Roman" w:eastAsia="SimSun" w:hAnsi="Times New Roman" w:cs="Times New Roman"/>
          <w:color w:val="000000" w:themeColor="text1"/>
          <w:kern w:val="0"/>
          <w:sz w:val="28"/>
          <w:szCs w:val="28"/>
        </w:rPr>
        <w:t xml:space="preserve"> від 28,1 до 58,3 см (підщепні сорти) та 22,5–44,0 см (технічні сорти). Загальна довжина коренів ІІ порядку у мікроклонів дослідних варіантів була меншою за контроль на </w:t>
      </w:r>
      <w:bookmarkStart w:id="62" w:name="_Hlk220502152"/>
      <w:r w:rsidRPr="00CC7883">
        <w:rPr>
          <w:rFonts w:ascii="Times New Roman" w:eastAsia="SimSun" w:hAnsi="Times New Roman" w:cs="Times New Roman"/>
          <w:color w:val="000000" w:themeColor="text1"/>
          <w:kern w:val="0"/>
          <w:sz w:val="28"/>
          <w:szCs w:val="28"/>
        </w:rPr>
        <w:t xml:space="preserve">26,2–33,4 % </w:t>
      </w:r>
      <w:bookmarkEnd w:id="62"/>
      <w:r w:rsidRPr="00CC7883">
        <w:rPr>
          <w:rFonts w:ascii="Times New Roman" w:eastAsia="SimSun" w:hAnsi="Times New Roman" w:cs="Times New Roman"/>
          <w:color w:val="000000" w:themeColor="text1"/>
          <w:kern w:val="0"/>
          <w:sz w:val="28"/>
          <w:szCs w:val="28"/>
        </w:rPr>
        <w:t>(підщепні сорти) та 38,2–40,1 % (технічні сорти) і становила 25,8–37,9 см (підщепні сорти) та 20,5–33,9 см (технічні сорти). Порівняння дослідних варіантів показало, що найдовші корені різних порядків формували мікроклони після впливу препаратів Радіфарм і Clonex gel на поживному середовищі з меншим вмістом фітогормонів.</w:t>
      </w:r>
    </w:p>
    <w:p w:rsidR="008A4327" w:rsidRPr="00CC7883" w:rsidRDefault="008A4327" w:rsidP="00047411">
      <w:pPr>
        <w:widowControl w:val="0"/>
        <w:numPr>
          <w:ilvl w:val="0"/>
          <w:numId w:val="44"/>
        </w:numPr>
        <w:tabs>
          <w:tab w:val="num" w:pos="360"/>
        </w:tabs>
        <w:spacing w:after="0" w:line="360" w:lineRule="auto"/>
        <w:ind w:left="0" w:firstLine="0"/>
        <w:jc w:val="both"/>
        <w:rPr>
          <w:rFonts w:ascii="Times New Roman" w:eastAsia="Times New Roman" w:hAnsi="Times New Roman" w:cs="Times New Roman"/>
          <w:color w:val="000000" w:themeColor="text1"/>
          <w:kern w:val="0"/>
          <w:sz w:val="28"/>
          <w:szCs w:val="28"/>
          <w:lang w:eastAsia="uk-UA"/>
        </w:rPr>
      </w:pPr>
      <w:r w:rsidRPr="00CC7883">
        <w:rPr>
          <w:rFonts w:ascii="Times New Roman" w:eastAsia="Times New Roman" w:hAnsi="Times New Roman" w:cs="Times New Roman"/>
          <w:color w:val="000000" w:themeColor="text1"/>
          <w:kern w:val="0"/>
          <w:sz w:val="28"/>
          <w:szCs w:val="28"/>
          <w:lang w:eastAsia="uk-UA"/>
        </w:rPr>
        <w:t>Довжина одного кореня І порядку у контрольних рослин дорівнювала 8,7–10,3 см (підщепні) та 9,4–10,0 см (технічні сорти), а у рослин дослідних варіантів вона коливалася від 3,1 до 10,3 см (підщепні) і від 3,1 до 8,1 см (технічні сорти), довжина одного кореня ІІ порядку у контрол</w:t>
      </w:r>
      <w:r w:rsidR="00C46225" w:rsidRPr="00CC7883">
        <w:rPr>
          <w:rFonts w:ascii="Times New Roman" w:eastAsia="Times New Roman" w:hAnsi="Times New Roman" w:cs="Times New Roman"/>
          <w:color w:val="000000" w:themeColor="text1"/>
          <w:kern w:val="0"/>
          <w:sz w:val="28"/>
          <w:szCs w:val="28"/>
          <w:lang w:eastAsia="uk-UA"/>
        </w:rPr>
        <w:t>ях</w:t>
      </w:r>
      <w:r w:rsidRPr="00CC7883">
        <w:rPr>
          <w:rFonts w:ascii="Times New Roman" w:eastAsia="Times New Roman" w:hAnsi="Times New Roman" w:cs="Times New Roman"/>
          <w:color w:val="000000" w:themeColor="text1"/>
          <w:kern w:val="0"/>
          <w:sz w:val="28"/>
          <w:szCs w:val="28"/>
          <w:lang w:eastAsia="uk-UA"/>
        </w:rPr>
        <w:t xml:space="preserve"> дорівнювала 2,3–2,6 см (підщепні) та 2,6–3,4 см (технічні сорти), у дослідних варіантах цей показник зменшувався в середньому на 49,5–63,1 % і дорівнював 1,0–1,5</w:t>
      </w:r>
      <w:r w:rsidR="0026149E">
        <w:rPr>
          <w:lang w:eastAsia="uk-UA"/>
        </w:rPr>
        <w:t> </w:t>
      </w:r>
      <w:r w:rsidRPr="00CC7883">
        <w:rPr>
          <w:rFonts w:ascii="Times New Roman" w:eastAsia="Times New Roman" w:hAnsi="Times New Roman" w:cs="Times New Roman"/>
          <w:color w:val="000000" w:themeColor="text1"/>
          <w:kern w:val="0"/>
          <w:sz w:val="28"/>
          <w:szCs w:val="28"/>
          <w:lang w:eastAsia="uk-UA"/>
        </w:rPr>
        <w:t xml:space="preserve">см та 0,9–2,0 см відповідно у підщепних і технічних сортів. </w:t>
      </w:r>
      <w:bookmarkStart w:id="63" w:name="_Hlk220502393"/>
      <w:r w:rsidRPr="00CC7883">
        <w:rPr>
          <w:rFonts w:ascii="Times New Roman" w:eastAsia="Times New Roman" w:hAnsi="Times New Roman" w:cs="Times New Roman"/>
          <w:color w:val="000000" w:themeColor="text1"/>
          <w:kern w:val="0"/>
          <w:sz w:val="28"/>
          <w:szCs w:val="28"/>
          <w:lang w:eastAsia="uk-UA"/>
        </w:rPr>
        <w:t>Порівняння дослідних варіантів показало, що найменше значення довжини одного кореня було відзначено у мікроклонів після культивування на структурованих поживних середовищах, тоді як застосування препаратів Clonex gel і Радіфарм дозволяло підтримувати більші значення цього показника.</w:t>
      </w:r>
    </w:p>
    <w:bookmarkEnd w:id="63"/>
    <w:p w:rsidR="008A4327" w:rsidRPr="00CC7883" w:rsidRDefault="008A4327" w:rsidP="00047411">
      <w:pPr>
        <w:widowControl w:val="0"/>
        <w:numPr>
          <w:ilvl w:val="0"/>
          <w:numId w:val="44"/>
        </w:numPr>
        <w:tabs>
          <w:tab w:val="num" w:pos="360"/>
        </w:tabs>
        <w:spacing w:after="0" w:line="360" w:lineRule="auto"/>
        <w:ind w:left="0" w:firstLine="0"/>
        <w:jc w:val="both"/>
        <w:rPr>
          <w:rFonts w:ascii="Times New Roman" w:eastAsia="Times New Roman" w:hAnsi="Times New Roman" w:cs="Times New Roman"/>
          <w:color w:val="000000" w:themeColor="text1"/>
          <w:kern w:val="0"/>
          <w:sz w:val="28"/>
          <w:szCs w:val="28"/>
          <w:lang w:eastAsia="uk-UA"/>
        </w:rPr>
      </w:pPr>
      <w:r w:rsidRPr="00CC7883">
        <w:rPr>
          <w:rFonts w:ascii="Times New Roman" w:eastAsia="Times New Roman" w:hAnsi="Times New Roman" w:cs="Times New Roman"/>
          <w:color w:val="000000" w:themeColor="text1"/>
          <w:kern w:val="0"/>
          <w:sz w:val="28"/>
          <w:szCs w:val="28"/>
          <w:lang w:eastAsia="uk-UA"/>
        </w:rPr>
        <w:t>Таким чином, за показниками кількості коренів, загальної довжини та довжини одного кореня найефективнішими виявилися варіанти з обробкою Clonex gel та культивуванням на структурованих поживних середовищах із агроперлітом і вермикулітом, що забезпечувало формування більш потужної, розгалуженої кореневої системи у мікроклонів винограду.</w:t>
      </w:r>
    </w:p>
    <w:p w:rsidR="008A4327" w:rsidRPr="00CC7883" w:rsidRDefault="008A4327" w:rsidP="00047411">
      <w:pPr>
        <w:widowControl w:val="0"/>
        <w:numPr>
          <w:ilvl w:val="0"/>
          <w:numId w:val="44"/>
        </w:numPr>
        <w:tabs>
          <w:tab w:val="num" w:pos="360"/>
        </w:tabs>
        <w:spacing w:after="0" w:line="360" w:lineRule="auto"/>
        <w:ind w:left="0" w:firstLine="0"/>
        <w:contextualSpacing/>
        <w:jc w:val="both"/>
        <w:rPr>
          <w:rFonts w:ascii="Times New Roman" w:eastAsia="Times New Roman" w:hAnsi="Times New Roman" w:cs="Times New Roman"/>
          <w:color w:val="000000" w:themeColor="text1"/>
          <w:kern w:val="0"/>
          <w:sz w:val="28"/>
          <w:szCs w:val="28"/>
          <w:lang w:eastAsia="ru-RU"/>
        </w:rPr>
      </w:pPr>
      <w:r w:rsidRPr="00CC7883">
        <w:rPr>
          <w:rFonts w:ascii="Times New Roman" w:eastAsia="Times New Roman" w:hAnsi="Times New Roman" w:cs="Times New Roman"/>
          <w:color w:val="000000" w:themeColor="text1"/>
          <w:kern w:val="0"/>
          <w:sz w:val="28"/>
          <w:szCs w:val="28"/>
          <w:lang w:eastAsia="ru-RU"/>
        </w:rPr>
        <w:t xml:space="preserve"> </w:t>
      </w:r>
      <w:bookmarkStart w:id="64" w:name="_Hlk220502502"/>
      <w:r w:rsidRPr="00CC7883">
        <w:rPr>
          <w:rFonts w:ascii="Times New Roman" w:eastAsia="Times New Roman" w:hAnsi="Times New Roman" w:cs="Times New Roman"/>
          <w:color w:val="000000" w:themeColor="text1"/>
          <w:kern w:val="0"/>
          <w:sz w:val="28"/>
          <w:szCs w:val="28"/>
          <w:lang w:eastAsia="ru-RU"/>
        </w:rPr>
        <w:t xml:space="preserve">Культивування мікроклонів винограду </w:t>
      </w:r>
      <w:r w:rsidRPr="00CC7883">
        <w:rPr>
          <w:rFonts w:ascii="Times New Roman" w:eastAsia="Times New Roman" w:hAnsi="Times New Roman" w:cs="Times New Roman"/>
          <w:i/>
          <w:color w:val="000000" w:themeColor="text1"/>
          <w:kern w:val="0"/>
          <w:sz w:val="28"/>
          <w:szCs w:val="28"/>
          <w:lang w:eastAsia="ru-RU"/>
        </w:rPr>
        <w:t>in vitro</w:t>
      </w:r>
      <w:r w:rsidRPr="00CC7883">
        <w:rPr>
          <w:rFonts w:ascii="Times New Roman" w:eastAsia="Times New Roman" w:hAnsi="Times New Roman" w:cs="Times New Roman"/>
          <w:color w:val="000000" w:themeColor="text1"/>
          <w:kern w:val="0"/>
          <w:sz w:val="28"/>
          <w:szCs w:val="28"/>
          <w:lang w:eastAsia="ru-RU"/>
        </w:rPr>
        <w:t xml:space="preserve"> на чистих мінеральних субстратах сприяло посиленому розвитку кореневої системи порівняно з контролем. Загальна кількість коренів у дослідних варіантах з вермикулітом та сумішшю агроперліт + вермикуліт перевищувала контрольні значення</w:t>
      </w:r>
      <w:bookmarkEnd w:id="64"/>
      <w:r w:rsidRPr="00CC7883">
        <w:rPr>
          <w:rFonts w:ascii="Times New Roman" w:eastAsia="Times New Roman" w:hAnsi="Times New Roman" w:cs="Times New Roman"/>
          <w:color w:val="000000" w:themeColor="text1"/>
          <w:kern w:val="0"/>
          <w:sz w:val="28"/>
          <w:szCs w:val="28"/>
          <w:lang w:eastAsia="ru-RU"/>
        </w:rPr>
        <w:t xml:space="preserve"> у середньому на </w:t>
      </w:r>
      <w:bookmarkStart w:id="65" w:name="_Hlk220502533"/>
      <w:r w:rsidRPr="00CC7883">
        <w:rPr>
          <w:rFonts w:ascii="Times New Roman" w:eastAsia="Times New Roman" w:hAnsi="Times New Roman" w:cs="Times New Roman"/>
          <w:color w:val="000000" w:themeColor="text1"/>
          <w:kern w:val="0"/>
          <w:sz w:val="28"/>
          <w:szCs w:val="28"/>
          <w:lang w:eastAsia="ru-RU"/>
        </w:rPr>
        <w:t xml:space="preserve">33,0–54,3 %. Кількість коренів І порядку на цих субстратах збільшувалася </w:t>
      </w:r>
      <w:r w:rsidR="00287628">
        <w:rPr>
          <w:rFonts w:ascii="Times New Roman" w:eastAsia="Times New Roman" w:hAnsi="Times New Roman" w:cs="Times New Roman"/>
          <w:color w:val="000000" w:themeColor="text1"/>
          <w:kern w:val="0"/>
          <w:sz w:val="28"/>
          <w:szCs w:val="28"/>
          <w:lang w:eastAsia="ru-RU"/>
        </w:rPr>
        <w:t>в</w:t>
      </w:r>
      <w:r w:rsidRPr="00CC7883">
        <w:rPr>
          <w:rFonts w:ascii="Times New Roman" w:eastAsia="Times New Roman" w:hAnsi="Times New Roman" w:cs="Times New Roman"/>
          <w:color w:val="000000" w:themeColor="text1"/>
          <w:kern w:val="0"/>
          <w:sz w:val="28"/>
          <w:szCs w:val="28"/>
          <w:lang w:eastAsia="ru-RU"/>
        </w:rPr>
        <w:t xml:space="preserve"> 1,4–3,4 раз</w:t>
      </w:r>
      <w:bookmarkEnd w:id="65"/>
      <w:r w:rsidR="000F7714">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 xml:space="preserve"> порівняно з контролем, що свідчить про активне </w:t>
      </w:r>
      <w:r w:rsidRPr="00CC7883">
        <w:rPr>
          <w:rFonts w:ascii="Times New Roman" w:eastAsia="Times New Roman" w:hAnsi="Times New Roman" w:cs="Times New Roman"/>
          <w:color w:val="000000" w:themeColor="text1"/>
          <w:kern w:val="0"/>
          <w:sz w:val="28"/>
          <w:szCs w:val="28"/>
          <w:lang w:eastAsia="ru-RU"/>
        </w:rPr>
        <w:lastRenderedPageBreak/>
        <w:t xml:space="preserve">формування основних осьових коренів. </w:t>
      </w:r>
      <w:bookmarkStart w:id="66" w:name="_Hlk220502548"/>
      <w:r w:rsidRPr="00CC7883">
        <w:rPr>
          <w:rFonts w:ascii="Times New Roman" w:eastAsia="Times New Roman" w:hAnsi="Times New Roman" w:cs="Times New Roman"/>
          <w:color w:val="000000" w:themeColor="text1"/>
          <w:kern w:val="0"/>
          <w:sz w:val="28"/>
          <w:szCs w:val="28"/>
          <w:lang w:eastAsia="ru-RU"/>
        </w:rPr>
        <w:t>Кільк</w:t>
      </w:r>
      <w:r w:rsidR="00E166AD">
        <w:rPr>
          <w:rFonts w:ascii="Times New Roman" w:eastAsia="Times New Roman" w:hAnsi="Times New Roman" w:cs="Times New Roman"/>
          <w:color w:val="000000" w:themeColor="text1"/>
          <w:kern w:val="0"/>
          <w:sz w:val="28"/>
          <w:szCs w:val="28"/>
          <w:lang w:eastAsia="ru-RU"/>
        </w:rPr>
        <w:t>ість</w:t>
      </w:r>
      <w:r w:rsidRPr="00CC7883">
        <w:rPr>
          <w:rFonts w:ascii="Times New Roman" w:eastAsia="Times New Roman" w:hAnsi="Times New Roman" w:cs="Times New Roman"/>
          <w:color w:val="000000" w:themeColor="text1"/>
          <w:kern w:val="0"/>
          <w:sz w:val="28"/>
          <w:szCs w:val="28"/>
          <w:lang w:eastAsia="ru-RU"/>
        </w:rPr>
        <w:t xml:space="preserve"> коренів ІІ порядку збільшувал</w:t>
      </w:r>
      <w:r w:rsidR="00E166AD">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с</w:t>
      </w:r>
      <w:r w:rsidR="00E166AD">
        <w:rPr>
          <w:rFonts w:ascii="Times New Roman" w:eastAsia="Times New Roman" w:hAnsi="Times New Roman" w:cs="Times New Roman"/>
          <w:color w:val="000000" w:themeColor="text1"/>
          <w:kern w:val="0"/>
          <w:sz w:val="28"/>
          <w:szCs w:val="28"/>
          <w:lang w:eastAsia="ru-RU"/>
        </w:rPr>
        <w:t>я</w:t>
      </w:r>
      <w:r w:rsidRPr="00CC7883">
        <w:rPr>
          <w:rFonts w:ascii="Times New Roman" w:eastAsia="Times New Roman" w:hAnsi="Times New Roman" w:cs="Times New Roman"/>
          <w:color w:val="000000" w:themeColor="text1"/>
          <w:kern w:val="0"/>
          <w:sz w:val="28"/>
          <w:szCs w:val="28"/>
          <w:lang w:eastAsia="ru-RU"/>
        </w:rPr>
        <w:t xml:space="preserve"> </w:t>
      </w:r>
      <w:r w:rsidR="00287628">
        <w:rPr>
          <w:rFonts w:ascii="Times New Roman" w:eastAsia="Times New Roman" w:hAnsi="Times New Roman" w:cs="Times New Roman"/>
          <w:color w:val="000000" w:themeColor="text1"/>
          <w:kern w:val="0"/>
          <w:sz w:val="28"/>
          <w:szCs w:val="28"/>
          <w:lang w:eastAsia="ru-RU"/>
        </w:rPr>
        <w:t>в</w:t>
      </w:r>
      <w:r w:rsidRPr="00CC7883">
        <w:rPr>
          <w:rFonts w:ascii="Times New Roman" w:eastAsia="Times New Roman" w:hAnsi="Times New Roman" w:cs="Times New Roman"/>
          <w:color w:val="000000" w:themeColor="text1"/>
          <w:kern w:val="0"/>
          <w:sz w:val="28"/>
          <w:szCs w:val="28"/>
          <w:lang w:eastAsia="ru-RU"/>
        </w:rPr>
        <w:t xml:space="preserve"> 1,1–1,3 раз</w:t>
      </w:r>
      <w:bookmarkEnd w:id="66"/>
      <w:r w:rsidR="000F7714">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 xml:space="preserve"> порівняно з контролем, що забезпечувало формування більш розгалуженої структури кореневої системи. Інтенсивне утворення коренів усіх порядків було на вермикуліті та суміші агроперліт + вермикуліт.</w:t>
      </w:r>
    </w:p>
    <w:p w:rsidR="008A4327" w:rsidRPr="00CC7883" w:rsidRDefault="008A4327" w:rsidP="00047411">
      <w:pPr>
        <w:widowControl w:val="0"/>
        <w:spacing w:after="0" w:line="360" w:lineRule="auto"/>
        <w:ind w:firstLine="708"/>
        <w:contextualSpacing/>
        <w:jc w:val="both"/>
        <w:rPr>
          <w:rFonts w:ascii="Times New Roman" w:eastAsia="Times New Roman" w:hAnsi="Times New Roman" w:cs="Times New Roman"/>
          <w:color w:val="000000" w:themeColor="text1"/>
          <w:kern w:val="0"/>
          <w:sz w:val="28"/>
          <w:szCs w:val="28"/>
          <w:lang w:eastAsia="ru-RU"/>
        </w:rPr>
      </w:pPr>
      <w:bookmarkStart w:id="67" w:name="_Hlk220502609"/>
      <w:r w:rsidRPr="00CC7883">
        <w:rPr>
          <w:rFonts w:ascii="Times New Roman" w:eastAsia="Times New Roman" w:hAnsi="Times New Roman" w:cs="Times New Roman"/>
          <w:color w:val="000000" w:themeColor="text1"/>
          <w:kern w:val="0"/>
          <w:sz w:val="28"/>
          <w:szCs w:val="28"/>
          <w:lang w:eastAsia="ru-RU"/>
        </w:rPr>
        <w:t>Найдовші корені І порядку формувалися у рослин контрольних варіантів. На поживних субстратах агроперліт, вермикуліт та агроперліт + вермикуліт загальна довжина коренів І порядку зменшувалася, що пояснюється збільшенням їх кількості та активним галуженням.</w:t>
      </w:r>
      <w:bookmarkEnd w:id="67"/>
      <w:r w:rsidRPr="00CC7883">
        <w:rPr>
          <w:rFonts w:ascii="Times New Roman" w:eastAsia="Times New Roman" w:hAnsi="Times New Roman" w:cs="Times New Roman"/>
          <w:color w:val="000000" w:themeColor="text1"/>
          <w:kern w:val="0"/>
          <w:sz w:val="28"/>
          <w:szCs w:val="28"/>
          <w:lang w:eastAsia="ru-RU"/>
        </w:rPr>
        <w:t xml:space="preserve"> Загальна довжина коренів ІІ порядку збільшувалась у рослин після культивування на вермикуліті, суміші агроперліту з вермикулітом (до 42,2 см), що свідчить про розвиток більш потужної та функціонально активної кореневої системи. Довжина одного кореня І порядку у контрольних рослин становила 8,7–10,3</w:t>
      </w:r>
      <w:r w:rsidR="0026149E">
        <w:rPr>
          <w:rFonts w:ascii="Times New Roman" w:eastAsia="Times New Roman" w:hAnsi="Times New Roman" w:cs="Times New Roman"/>
          <w:color w:val="000000" w:themeColor="text1"/>
          <w:kern w:val="0"/>
          <w:sz w:val="28"/>
          <w:szCs w:val="28"/>
          <w:lang w:eastAsia="ru-RU"/>
        </w:rPr>
        <w:t> </w:t>
      </w:r>
      <w:r w:rsidRPr="00CC7883">
        <w:rPr>
          <w:rFonts w:ascii="Times New Roman" w:eastAsia="Times New Roman" w:hAnsi="Times New Roman" w:cs="Times New Roman"/>
          <w:color w:val="000000" w:themeColor="text1"/>
          <w:kern w:val="0"/>
          <w:sz w:val="28"/>
          <w:szCs w:val="28"/>
          <w:lang w:eastAsia="ru-RU"/>
        </w:rPr>
        <w:t>см, у рослин дослідних варіантів на мінеральних субстратах вона зменшувалася в 1,5 раз</w:t>
      </w:r>
      <w:r w:rsidR="000F7714">
        <w:rPr>
          <w:rFonts w:ascii="Times New Roman" w:eastAsia="Times New Roman" w:hAnsi="Times New Roman" w:cs="Times New Roman"/>
          <w:color w:val="000000" w:themeColor="text1"/>
          <w:kern w:val="0"/>
          <w:sz w:val="28"/>
          <w:szCs w:val="28"/>
          <w:lang w:eastAsia="ru-RU"/>
        </w:rPr>
        <w:t>а</w:t>
      </w:r>
      <w:r w:rsidRPr="00CC7883">
        <w:rPr>
          <w:rFonts w:ascii="Times New Roman" w:eastAsia="Times New Roman" w:hAnsi="Times New Roman" w:cs="Times New Roman"/>
          <w:color w:val="000000" w:themeColor="text1"/>
          <w:kern w:val="0"/>
          <w:sz w:val="28"/>
          <w:szCs w:val="28"/>
          <w:lang w:eastAsia="ru-RU"/>
        </w:rPr>
        <w:t xml:space="preserve"> і дорівнювала 3,3–8,7 см. Аналогічну тенденцію було відзначено і для коренів ІІ порядку: у контрольних рослин цей показник дорівнював 2,3–3,4 см</w:t>
      </w:r>
      <w:r w:rsidR="00D90DB9">
        <w:rPr>
          <w:rFonts w:ascii="Times New Roman" w:eastAsia="Times New Roman" w:hAnsi="Times New Roman" w:cs="Times New Roman"/>
          <w:color w:val="000000" w:themeColor="text1"/>
          <w:kern w:val="0"/>
          <w:sz w:val="28"/>
          <w:szCs w:val="28"/>
          <w:lang w:eastAsia="ru-RU"/>
        </w:rPr>
        <w:t>,</w:t>
      </w:r>
      <w:r w:rsidRPr="00CC7883">
        <w:rPr>
          <w:rFonts w:ascii="Times New Roman" w:eastAsia="Times New Roman" w:hAnsi="Times New Roman" w:cs="Times New Roman"/>
          <w:color w:val="000000" w:themeColor="text1"/>
          <w:kern w:val="0"/>
          <w:sz w:val="28"/>
          <w:szCs w:val="28"/>
          <w:lang w:eastAsia="ru-RU"/>
        </w:rPr>
        <w:t xml:space="preserve"> у рослин дослідних варіантів він зменшувався до 0,7–2,1 см. Таким чином, застосування чистих мінеральних субстратів для культивування мікроклонів </w:t>
      </w:r>
      <w:r w:rsidR="001221F9"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kern w:val="0"/>
          <w:sz w:val="28"/>
          <w:szCs w:val="28"/>
          <w:lang w:eastAsia="ru-RU"/>
        </w:rPr>
        <w:t xml:space="preserve"> забезпечувало формування більш розгалуженої кореневої системи з великою кількістю коротких коренів ІІ порядку, що підвищує адаптаційний потенціал мікроклонів.</w:t>
      </w:r>
    </w:p>
    <w:p w:rsidR="008A4327" w:rsidRPr="00CC7883" w:rsidRDefault="007D0989" w:rsidP="00047411">
      <w:pPr>
        <w:widowControl w:val="0"/>
        <w:numPr>
          <w:ilvl w:val="0"/>
          <w:numId w:val="44"/>
        </w:numPr>
        <w:tabs>
          <w:tab w:val="num" w:pos="360"/>
        </w:tabs>
        <w:spacing w:after="0" w:line="360" w:lineRule="auto"/>
        <w:ind w:left="0" w:firstLine="0"/>
        <w:contextualSpacing/>
        <w:jc w:val="both"/>
        <w:rPr>
          <w:rFonts w:ascii="Times New Roman" w:hAnsi="Times New Roman" w:cs="Times New Roman"/>
          <w:color w:val="000000" w:themeColor="text1"/>
          <w:kern w:val="0"/>
          <w:sz w:val="22"/>
          <w:szCs w:val="22"/>
        </w:rPr>
      </w:pPr>
      <w:r>
        <w:rPr>
          <w:rFonts w:ascii="Times New Roman" w:eastAsia="Times New Roman" w:hAnsi="Times New Roman" w:cs="Times New Roman"/>
          <w:color w:val="000000" w:themeColor="text1"/>
          <w:kern w:val="0"/>
          <w:sz w:val="28"/>
          <w:szCs w:val="28"/>
          <w:lang w:eastAsia="ru-RU"/>
        </w:rPr>
        <w:t xml:space="preserve"> </w:t>
      </w:r>
      <w:r w:rsidR="008A4327" w:rsidRPr="00CC7883">
        <w:rPr>
          <w:rFonts w:ascii="Times New Roman" w:eastAsia="Times New Roman" w:hAnsi="Times New Roman" w:cs="Times New Roman"/>
          <w:color w:val="000000" w:themeColor="text1"/>
          <w:kern w:val="0"/>
          <w:sz w:val="28"/>
          <w:szCs w:val="28"/>
          <w:lang w:eastAsia="ru-RU"/>
        </w:rPr>
        <w:t xml:space="preserve">У результаті порівняльного аналізу біометричних показників росту та розвитку </w:t>
      </w:r>
      <w:r w:rsidR="00D90DB9">
        <w:rPr>
          <w:rFonts w:ascii="Times New Roman" w:eastAsia="Times New Roman" w:hAnsi="Times New Roman" w:cs="Times New Roman"/>
          <w:color w:val="000000" w:themeColor="text1"/>
          <w:kern w:val="0"/>
          <w:sz w:val="28"/>
          <w:szCs w:val="28"/>
          <w:lang w:eastAsia="ru-RU"/>
        </w:rPr>
        <w:t>надземної частини</w:t>
      </w:r>
      <w:r w:rsidR="008A4327" w:rsidRPr="00CC7883">
        <w:rPr>
          <w:rFonts w:ascii="Times New Roman" w:eastAsia="Times New Roman" w:hAnsi="Times New Roman" w:cs="Times New Roman"/>
          <w:color w:val="000000" w:themeColor="text1"/>
          <w:kern w:val="0"/>
          <w:sz w:val="28"/>
          <w:szCs w:val="28"/>
          <w:lang w:eastAsia="ru-RU"/>
        </w:rPr>
        <w:t xml:space="preserve"> та кореневої системи мікроклонів винограду встановлено сортову реакцію на склад поживного середовища та використаних мінеральних субстратів.</w:t>
      </w:r>
    </w:p>
    <w:p w:rsidR="008A4327" w:rsidRPr="00CC7883" w:rsidRDefault="008A4327" w:rsidP="00047411">
      <w:pPr>
        <w:widowControl w:val="0"/>
        <w:spacing w:after="0" w:line="360" w:lineRule="auto"/>
        <w:ind w:firstLine="709"/>
        <w:contextualSpacing/>
        <w:jc w:val="both"/>
        <w:rPr>
          <w:rFonts w:ascii="Times New Roman" w:eastAsia="Times New Roman" w:hAnsi="Times New Roman" w:cs="Times New Roman"/>
          <w:color w:val="000000" w:themeColor="text1"/>
          <w:kern w:val="0"/>
          <w:sz w:val="28"/>
          <w:szCs w:val="28"/>
          <w:lang w:eastAsia="ru-RU"/>
        </w:rPr>
      </w:pPr>
      <w:r w:rsidRPr="00CC7883">
        <w:rPr>
          <w:rFonts w:ascii="Times New Roman" w:eastAsia="Times New Roman" w:hAnsi="Times New Roman" w:cs="Times New Roman"/>
          <w:color w:val="000000" w:themeColor="text1"/>
          <w:kern w:val="0"/>
          <w:sz w:val="28"/>
          <w:szCs w:val="28"/>
          <w:lang w:eastAsia="ru-RU"/>
        </w:rPr>
        <w:t xml:space="preserve">На поживних середовищах мікроклони винограду підщепних сортів «Добриня» і «Гарант» характеризувалися кращими біометричними показниками формування вегетативної надземної маси, порівняно з сортами «Ярило» і «Загрей». За висотою рослин вони переважали технічні сорти на 18,1 %, кількістю листків на 1,3 шт., площею листкової пластинки на 9,1 %, </w:t>
      </w:r>
      <w:r w:rsidRPr="00CC7883">
        <w:rPr>
          <w:rFonts w:ascii="Times New Roman" w:eastAsia="Times New Roman" w:hAnsi="Times New Roman" w:cs="Times New Roman"/>
          <w:color w:val="000000" w:themeColor="text1"/>
          <w:kern w:val="0"/>
          <w:sz w:val="28"/>
          <w:szCs w:val="28"/>
          <w:lang w:eastAsia="ru-RU"/>
        </w:rPr>
        <w:lastRenderedPageBreak/>
        <w:t>площею листкової поверхні на 22,7 % та облистяністю на 5,1 %. Коренева система характеризувалася більшою загальною кількістю коренів і переважанням коренів І порядку, що вказує на інтенсивний первинний ризогенез. У технічних сортів, навпаки, спостерігалося активніше утворення коренів ІІ порядку, що забезпечувало більшу розгалуженість і загальну довжину кореневої системи.</w:t>
      </w:r>
    </w:p>
    <w:p w:rsidR="008A4327" w:rsidRPr="00CC7883" w:rsidRDefault="008A4327" w:rsidP="00047411">
      <w:pPr>
        <w:widowControl w:val="0"/>
        <w:spacing w:after="0" w:line="360" w:lineRule="auto"/>
        <w:jc w:val="both"/>
        <w:rPr>
          <w:rFonts w:ascii="Times New Roman" w:eastAsia="Times New Roman" w:hAnsi="Times New Roman" w:cs="Times New Roman"/>
          <w:color w:val="000000" w:themeColor="text1"/>
          <w:kern w:val="0"/>
          <w:sz w:val="28"/>
          <w:szCs w:val="28"/>
          <w:lang w:eastAsia="uk-UA"/>
        </w:rPr>
      </w:pPr>
      <w:r w:rsidRPr="00CC7883">
        <w:rPr>
          <w:rFonts w:ascii="Times New Roman" w:eastAsia="Times New Roman" w:hAnsi="Times New Roman" w:cs="Times New Roman"/>
          <w:color w:val="000000" w:themeColor="text1"/>
          <w:kern w:val="0"/>
          <w:sz w:val="28"/>
          <w:szCs w:val="28"/>
          <w:lang w:eastAsia="uk-UA"/>
        </w:rPr>
        <w:tab/>
        <w:t xml:space="preserve">На чистих мінеральних субстратах мікроклони підщепних сортів («Добриня», «Гарант») характеризувалися більшою висотою пагонів та листковою поверхнею, що свідчить про їх вищу адаптивність до умов мінеральних субстратів. У технічних сортів («Ярило», «Загрей») пагони формувалися повільніше, але вони характеризувалися більшим показником облистяності рослин. Найсприятливішим для росту вегетативної надземної маси мікроклонів більшості сортів виявився вермикуліт, який забезпечував оптимальне співвідношення вологоємності та аерації, сприяючи активному росту пагонів і листків. Коренева система мікроклонів підщепних сортів винограду характеризувалася інтенсивнішим утворенням основних осьових коренів на </w:t>
      </w:r>
      <w:r w:rsidRPr="00CC7883">
        <w:rPr>
          <w:rFonts w:ascii="Times New Roman" w:eastAsia="Times New Roman" w:hAnsi="Times New Roman" w:cs="Times New Roman"/>
          <w:color w:val="000000" w:themeColor="text1"/>
          <w:kern w:val="0"/>
          <w:sz w:val="28"/>
          <w:szCs w:val="28"/>
          <w:lang w:eastAsia="ru-RU"/>
        </w:rPr>
        <w:t>верми</w:t>
      </w:r>
      <w:r w:rsidRPr="00CC7883">
        <w:rPr>
          <w:rFonts w:ascii="Times New Roman" w:eastAsia="Times New Roman" w:hAnsi="Times New Roman" w:cs="Times New Roman"/>
          <w:color w:val="000000" w:themeColor="text1"/>
          <w:kern w:val="0"/>
          <w:sz w:val="28"/>
          <w:szCs w:val="28"/>
          <w:lang w:eastAsia="uk-UA"/>
        </w:rPr>
        <w:t xml:space="preserve">куліті та суміші агроперліт + </w:t>
      </w:r>
      <w:r w:rsidRPr="00CC7883">
        <w:rPr>
          <w:rFonts w:ascii="Times New Roman" w:eastAsia="Times New Roman" w:hAnsi="Times New Roman" w:cs="Times New Roman"/>
          <w:color w:val="000000" w:themeColor="text1"/>
          <w:kern w:val="0"/>
          <w:sz w:val="28"/>
          <w:szCs w:val="28"/>
          <w:lang w:eastAsia="ru-RU"/>
        </w:rPr>
        <w:t>верми</w:t>
      </w:r>
      <w:r w:rsidRPr="00CC7883">
        <w:rPr>
          <w:rFonts w:ascii="Times New Roman" w:eastAsia="Times New Roman" w:hAnsi="Times New Roman" w:cs="Times New Roman"/>
          <w:color w:val="000000" w:themeColor="text1"/>
          <w:kern w:val="0"/>
          <w:sz w:val="28"/>
          <w:szCs w:val="28"/>
          <w:lang w:eastAsia="uk-UA"/>
        </w:rPr>
        <w:t>куліт, тоді як технічні сорти формували більш розгалужену кореневу систему з підвищеною кількістю коренів ІІ порядку. Такі відмінності свідчать про генетично зумовлену специфіку ростових процесів та різну реакцію сортів на структурно-фізичні властивості субстратів.</w:t>
      </w:r>
    </w:p>
    <w:p w:rsidR="006E45F8" w:rsidRPr="00CC7883" w:rsidRDefault="006E45F8" w:rsidP="00047411">
      <w:pPr>
        <w:widowControl w:val="0"/>
        <w:rPr>
          <w:rFonts w:ascii="Times New Roman" w:eastAsia="Times New Roman" w:hAnsi="Times New Roman" w:cs="Times New Roman"/>
          <w:color w:val="000000" w:themeColor="text1"/>
          <w:kern w:val="0"/>
          <w:sz w:val="28"/>
          <w:szCs w:val="28"/>
          <w:lang w:eastAsia="uk-UA"/>
        </w:rPr>
        <w:sectPr w:rsidR="006E45F8" w:rsidRPr="00CC7883" w:rsidSect="00584B80">
          <w:headerReference w:type="default" r:id="rId88"/>
          <w:pgSz w:w="11906" w:h="16838"/>
          <w:pgMar w:top="1134" w:right="851" w:bottom="1134" w:left="1701" w:header="709" w:footer="709" w:gutter="0"/>
          <w:cols w:space="708"/>
          <w:docGrid w:linePitch="360"/>
        </w:sectPr>
      </w:pPr>
    </w:p>
    <w:p w:rsidR="005A3F7D" w:rsidRPr="00CC7883" w:rsidRDefault="005A3F7D" w:rsidP="00047411">
      <w:pPr>
        <w:widowControl w:val="0"/>
        <w:spacing w:after="0" w:line="360" w:lineRule="auto"/>
        <w:jc w:val="center"/>
        <w:outlineLvl w:val="0"/>
        <w:rPr>
          <w:rFonts w:ascii="Times New Roman" w:hAnsi="Times New Roman" w:cs="Times New Roman"/>
          <w:b/>
          <w:bCs/>
          <w:color w:val="000000" w:themeColor="text1"/>
          <w:sz w:val="28"/>
          <w:szCs w:val="28"/>
        </w:rPr>
      </w:pPr>
      <w:bookmarkStart w:id="68" w:name="_Toc220058941"/>
      <w:r w:rsidRPr="00CC7883">
        <w:rPr>
          <w:rFonts w:ascii="Times New Roman" w:hAnsi="Times New Roman" w:cs="Times New Roman"/>
          <w:b/>
          <w:bCs/>
          <w:color w:val="000000" w:themeColor="text1"/>
          <w:sz w:val="28"/>
          <w:szCs w:val="28"/>
        </w:rPr>
        <w:lastRenderedPageBreak/>
        <w:t>РОЗДІЛ 5</w:t>
      </w:r>
      <w:bookmarkEnd w:id="68"/>
    </w:p>
    <w:p w:rsidR="005A3F7D" w:rsidRPr="00CC7883" w:rsidRDefault="005A3F7D" w:rsidP="00047411">
      <w:pPr>
        <w:widowControl w:val="0"/>
        <w:spacing w:after="0" w:line="360" w:lineRule="auto"/>
        <w:jc w:val="center"/>
        <w:outlineLvl w:val="0"/>
        <w:rPr>
          <w:rFonts w:ascii="Times New Roman" w:hAnsi="Times New Roman" w:cs="Times New Roman"/>
          <w:b/>
          <w:bCs/>
          <w:i/>
          <w:iCs/>
          <w:color w:val="000000" w:themeColor="text1"/>
          <w:sz w:val="28"/>
          <w:szCs w:val="28"/>
        </w:rPr>
      </w:pPr>
      <w:bookmarkStart w:id="69" w:name="_Toc220058942"/>
      <w:r w:rsidRPr="00CC7883">
        <w:rPr>
          <w:rFonts w:ascii="Times New Roman" w:hAnsi="Times New Roman" w:cs="Times New Roman"/>
          <w:b/>
          <w:bCs/>
          <w:color w:val="000000" w:themeColor="text1"/>
          <w:sz w:val="28"/>
          <w:szCs w:val="28"/>
        </w:rPr>
        <w:t xml:space="preserve">ФІЗІОЛОГО-БІОХІМІЧНІ ПОКАЗНИКИ МІКРОКЛОНІВ ВИНОГРАДУ </w:t>
      </w:r>
      <w:r w:rsidRPr="00CC7883">
        <w:rPr>
          <w:rFonts w:ascii="Times New Roman" w:hAnsi="Times New Roman" w:cs="Times New Roman"/>
          <w:b/>
          <w:bCs/>
          <w:i/>
          <w:iCs/>
          <w:color w:val="000000" w:themeColor="text1"/>
          <w:sz w:val="28"/>
          <w:szCs w:val="28"/>
        </w:rPr>
        <w:t>IN</w:t>
      </w:r>
      <w:r w:rsidR="001221F9" w:rsidRPr="00CC7883">
        <w:rPr>
          <w:rFonts w:ascii="Times New Roman" w:hAnsi="Times New Roman" w:cs="Times New Roman"/>
          <w:b/>
          <w:bCs/>
          <w:i/>
          <w:iCs/>
          <w:color w:val="000000" w:themeColor="text1"/>
          <w:sz w:val="28"/>
          <w:szCs w:val="28"/>
        </w:rPr>
        <w:t> </w:t>
      </w:r>
      <w:r w:rsidRPr="00CC7883">
        <w:rPr>
          <w:rFonts w:ascii="Times New Roman" w:hAnsi="Times New Roman" w:cs="Times New Roman"/>
          <w:b/>
          <w:bCs/>
          <w:i/>
          <w:iCs/>
          <w:color w:val="000000" w:themeColor="text1"/>
          <w:sz w:val="28"/>
          <w:szCs w:val="28"/>
        </w:rPr>
        <w:t>VITRO</w:t>
      </w:r>
      <w:bookmarkEnd w:id="69"/>
    </w:p>
    <w:p w:rsidR="005A3F7D" w:rsidRPr="00CC7883" w:rsidRDefault="005A3F7D" w:rsidP="00047411">
      <w:pPr>
        <w:widowControl w:val="0"/>
        <w:spacing w:after="0" w:line="360" w:lineRule="auto"/>
        <w:jc w:val="center"/>
        <w:rPr>
          <w:rFonts w:ascii="Times New Roman" w:hAnsi="Times New Roman" w:cs="Times New Roman"/>
          <w:b/>
          <w:bCs/>
          <w:color w:val="000000" w:themeColor="text1"/>
          <w:sz w:val="28"/>
          <w:szCs w:val="28"/>
        </w:rPr>
      </w:pPr>
    </w:p>
    <w:p w:rsidR="005A3F7D" w:rsidRPr="00CC7883" w:rsidRDefault="005A3F7D" w:rsidP="00047411">
      <w:pPr>
        <w:widowControl w:val="0"/>
        <w:spacing w:after="0" w:line="360" w:lineRule="auto"/>
        <w:ind w:firstLine="709"/>
        <w:jc w:val="both"/>
        <w:outlineLvl w:val="1"/>
        <w:rPr>
          <w:rFonts w:ascii="Times New Roman" w:hAnsi="Times New Roman" w:cs="Times New Roman"/>
          <w:b/>
          <w:bCs/>
          <w:color w:val="000000" w:themeColor="text1"/>
          <w:sz w:val="28"/>
          <w:szCs w:val="28"/>
        </w:rPr>
      </w:pPr>
      <w:bookmarkStart w:id="70" w:name="_Toc220058943"/>
      <w:r w:rsidRPr="00CC7883">
        <w:rPr>
          <w:rFonts w:ascii="Times New Roman" w:hAnsi="Times New Roman" w:cs="Times New Roman"/>
          <w:b/>
          <w:bCs/>
          <w:color w:val="000000" w:themeColor="text1"/>
          <w:sz w:val="28"/>
          <w:szCs w:val="28"/>
        </w:rPr>
        <w:t>5.1. Вегетативна надземна маса</w:t>
      </w:r>
      <w:bookmarkEnd w:id="70"/>
    </w:p>
    <w:p w:rsidR="005A3F7D" w:rsidRPr="00CC7883" w:rsidRDefault="005A3F7D" w:rsidP="00047411">
      <w:pPr>
        <w:widowControl w:val="0"/>
        <w:spacing w:after="0" w:line="360" w:lineRule="auto"/>
        <w:ind w:firstLine="708"/>
        <w:jc w:val="both"/>
        <w:rPr>
          <w:rFonts w:ascii="Times New Roman" w:hAnsi="Times New Roman" w:cs="Times New Roman"/>
          <w:color w:val="000000" w:themeColor="text1"/>
          <w:sz w:val="28"/>
          <w:szCs w:val="28"/>
        </w:rPr>
      </w:pPr>
    </w:p>
    <w:p w:rsidR="005A3F7D" w:rsidRPr="00CC7883" w:rsidRDefault="005A3F7D" w:rsidP="00047411">
      <w:pPr>
        <w:widowControl w:val="0"/>
        <w:spacing w:after="0" w:line="360" w:lineRule="auto"/>
        <w:ind w:firstLine="709"/>
        <w:jc w:val="both"/>
        <w:outlineLvl w:val="2"/>
        <w:rPr>
          <w:rFonts w:ascii="Times New Roman" w:hAnsi="Times New Roman" w:cs="Times New Roman"/>
          <w:b/>
          <w:color w:val="000000" w:themeColor="text1"/>
          <w:sz w:val="28"/>
          <w:szCs w:val="28"/>
        </w:rPr>
      </w:pPr>
      <w:bookmarkStart w:id="71" w:name="_Toc220058944"/>
      <w:r w:rsidRPr="00CC7883">
        <w:rPr>
          <w:rFonts w:ascii="Times New Roman" w:hAnsi="Times New Roman" w:cs="Times New Roman"/>
          <w:b/>
          <w:color w:val="000000" w:themeColor="text1"/>
          <w:sz w:val="28"/>
          <w:szCs w:val="28"/>
        </w:rPr>
        <w:t>5.1.1. Водний режим та вміст сухих речовин</w:t>
      </w:r>
      <w:bookmarkEnd w:id="71"/>
    </w:p>
    <w:p w:rsidR="005A3F7D" w:rsidRPr="00CC7883" w:rsidRDefault="005A3F7D" w:rsidP="00047411">
      <w:pPr>
        <w:widowControl w:val="0"/>
        <w:spacing w:after="0" w:line="360" w:lineRule="auto"/>
        <w:ind w:firstLine="708"/>
        <w:jc w:val="both"/>
        <w:rPr>
          <w:rFonts w:ascii="Times New Roman" w:hAnsi="Times New Roman" w:cs="Times New Roman"/>
          <w:b/>
          <w:bCs/>
          <w:color w:val="000000" w:themeColor="text1"/>
          <w:sz w:val="28"/>
          <w:szCs w:val="28"/>
        </w:rPr>
      </w:pPr>
    </w:p>
    <w:p w:rsidR="005A3F7D" w:rsidRPr="00CC7883" w:rsidRDefault="005A3F7D" w:rsidP="00047411">
      <w:pPr>
        <w:widowControl w:val="0"/>
        <w:spacing w:after="0" w:line="360" w:lineRule="auto"/>
        <w:ind w:firstLine="708"/>
        <w:jc w:val="both"/>
        <w:rPr>
          <w:rFonts w:ascii="Times New Roman" w:hAnsi="Times New Roman" w:cs="Times New Roman"/>
          <w:i/>
          <w:iCs/>
          <w:color w:val="000000" w:themeColor="text1"/>
          <w:sz w:val="28"/>
          <w:szCs w:val="28"/>
        </w:rPr>
      </w:pPr>
      <w:r w:rsidRPr="00CC7883">
        <w:rPr>
          <w:rFonts w:ascii="Times New Roman" w:hAnsi="Times New Roman" w:cs="Times New Roman"/>
          <w:color w:val="000000" w:themeColor="text1"/>
          <w:sz w:val="28"/>
          <w:szCs w:val="28"/>
        </w:rPr>
        <w:t>У клітинах і тканинах розрізняють дві форми води – вільну</w:t>
      </w:r>
      <w:r w:rsidR="0041370F" w:rsidRPr="00CC7883">
        <w:rPr>
          <w:rFonts w:ascii="Times New Roman" w:hAnsi="Times New Roman" w:cs="Times New Roman"/>
          <w:color w:val="000000" w:themeColor="text1"/>
          <w:sz w:val="28"/>
          <w:szCs w:val="28"/>
        </w:rPr>
        <w:t xml:space="preserve"> (</w:t>
      </w:r>
      <w:r w:rsidR="00DE05AD" w:rsidRPr="00CC7883">
        <w:rPr>
          <w:rFonts w:ascii="Times New Roman" w:hAnsi="Times New Roman" w:cs="Times New Roman"/>
          <w:color w:val="000000" w:themeColor="text1"/>
          <w:sz w:val="28"/>
          <w:szCs w:val="28"/>
        </w:rPr>
        <w:t>легко</w:t>
      </w:r>
      <w:r w:rsidR="00DE05AD">
        <w:rPr>
          <w:rFonts w:ascii="Times New Roman" w:hAnsi="Times New Roman" w:cs="Times New Roman"/>
          <w:color w:val="000000" w:themeColor="text1"/>
          <w:sz w:val="28"/>
          <w:szCs w:val="28"/>
        </w:rPr>
        <w:t>у</w:t>
      </w:r>
      <w:r w:rsidR="00DE05AD" w:rsidRPr="00CC7883">
        <w:rPr>
          <w:rFonts w:ascii="Times New Roman" w:hAnsi="Times New Roman" w:cs="Times New Roman"/>
          <w:color w:val="000000" w:themeColor="text1"/>
          <w:sz w:val="28"/>
          <w:szCs w:val="28"/>
        </w:rPr>
        <w:t>трим</w:t>
      </w:r>
      <w:r w:rsidR="0041370F" w:rsidRPr="00CC7883">
        <w:rPr>
          <w:rFonts w:ascii="Times New Roman" w:hAnsi="Times New Roman" w:cs="Times New Roman"/>
          <w:color w:val="000000" w:themeColor="text1"/>
          <w:sz w:val="28"/>
          <w:szCs w:val="28"/>
        </w:rPr>
        <w:t>у</w:t>
      </w:r>
      <w:r w:rsidR="00DE05AD">
        <w:rPr>
          <w:rFonts w:ascii="Times New Roman" w:hAnsi="Times New Roman" w:cs="Times New Roman"/>
          <w:color w:val="000000" w:themeColor="text1"/>
          <w:sz w:val="28"/>
          <w:szCs w:val="28"/>
        </w:rPr>
        <w:t>ван</w:t>
      </w:r>
      <w:r w:rsidR="000A0F2C">
        <w:rPr>
          <w:rFonts w:ascii="Times New Roman" w:hAnsi="Times New Roman" w:cs="Times New Roman"/>
          <w:color w:val="000000" w:themeColor="text1"/>
          <w:sz w:val="28"/>
          <w:szCs w:val="28"/>
        </w:rPr>
        <w:t>у</w:t>
      </w:r>
      <w:r w:rsidR="0041370F"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і зв’язану. Вільна вода характеризується високою рухомістю, це розчинник, який є основою перебігу всіх фізіолого-біохімічних реакцій. Дія стресового фактора в першу чергу призводить до випаровування та зменшення у клітинах саме цієї форми води. Зв’язана вода поділяється на зв’язану осмотично- і колоїдно-</w:t>
      </w:r>
      <w:r w:rsidR="000A0F2C">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вона </w:t>
      </w:r>
      <w:r w:rsidR="003F6103">
        <w:rPr>
          <w:rFonts w:ascii="Times New Roman" w:hAnsi="Times New Roman" w:cs="Times New Roman"/>
          <w:color w:val="000000" w:themeColor="text1"/>
          <w:sz w:val="28"/>
          <w:szCs w:val="28"/>
        </w:rPr>
        <w:t>є</w:t>
      </w:r>
      <w:r w:rsidRPr="00CC7883">
        <w:rPr>
          <w:rFonts w:ascii="Times New Roman" w:hAnsi="Times New Roman" w:cs="Times New Roman"/>
          <w:color w:val="000000" w:themeColor="text1"/>
          <w:sz w:val="28"/>
          <w:szCs w:val="28"/>
        </w:rPr>
        <w:t xml:space="preserve"> або у середині колоїдної системи, або на поверхні колоїдів, або між ними. Здатність рослин утримувати певну кількість води завдяки осмотичним силам і підвищенню гідрофільності біоколоїдів є універсальною реакцією організму на погіршення умов довкілля. Тому під впливом будь-якого стресора зменшення водовіддачі відбувається внаслідок підвищення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00B9668A" w:rsidRPr="00CC7883">
        <w:rPr>
          <w:rFonts w:ascii="Times New Roman" w:hAnsi="Times New Roman" w:cs="Times New Roman"/>
          <w:color w:val="000000" w:themeColor="text1"/>
          <w:sz w:val="28"/>
          <w:szCs w:val="28"/>
        </w:rPr>
        <w:t>ої здатності тканин [38</w:t>
      </w:r>
      <w:r w:rsidRPr="00CC7883">
        <w:rPr>
          <w:rFonts w:ascii="Times New Roman" w:hAnsi="Times New Roman" w:cs="Times New Roman"/>
          <w:color w:val="000000" w:themeColor="text1"/>
          <w:sz w:val="28"/>
          <w:szCs w:val="28"/>
        </w:rPr>
        <w:t>].</w:t>
      </w:r>
    </w:p>
    <w:p w:rsidR="005A3F7D" w:rsidRPr="00CC7883" w:rsidRDefault="005A3F7D" w:rsidP="00047411">
      <w:pPr>
        <w:widowControl w:val="0"/>
        <w:spacing w:after="0" w:line="360" w:lineRule="auto"/>
        <w:ind w:firstLine="708"/>
        <w:jc w:val="both"/>
        <w:rPr>
          <w:rFonts w:ascii="Times New Roman" w:eastAsia="NSimSun" w:hAnsi="Times New Roman" w:cs="Times New Roman"/>
          <w:color w:val="000000" w:themeColor="text1"/>
          <w:kern w:val="3"/>
        </w:rPr>
      </w:pPr>
      <w:r w:rsidRPr="00CC7883">
        <w:rPr>
          <w:rFonts w:ascii="Times New Roman" w:eastAsia="NSimSun" w:hAnsi="Times New Roman" w:cs="Times New Roman"/>
          <w:i/>
          <w:iCs/>
          <w:color w:val="000000" w:themeColor="text1"/>
          <w:kern w:val="3"/>
          <w:sz w:val="28"/>
          <w:szCs w:val="28"/>
        </w:rPr>
        <w:t>Поживні середовища</w:t>
      </w:r>
      <w:r w:rsidRPr="00CC7883">
        <w:rPr>
          <w:rFonts w:ascii="Times New Roman" w:eastAsia="NSimSun" w:hAnsi="Times New Roman" w:cs="Times New Roman"/>
          <w:color w:val="000000" w:themeColor="text1"/>
          <w:kern w:val="3"/>
          <w:sz w:val="28"/>
          <w:szCs w:val="28"/>
        </w:rPr>
        <w:t>.</w:t>
      </w:r>
      <w:r w:rsidR="00540576" w:rsidRPr="00CC7883">
        <w:rPr>
          <w:rFonts w:ascii="Times New Roman" w:eastAsia="NSimSun" w:hAnsi="Times New Roman" w:cs="Times New Roman"/>
          <w:color w:val="000000" w:themeColor="text1"/>
          <w:kern w:val="3"/>
          <w:sz w:val="28"/>
          <w:szCs w:val="28"/>
        </w:rPr>
        <w:t xml:space="preserve"> </w:t>
      </w:r>
      <w:r w:rsidRPr="00CC7883">
        <w:rPr>
          <w:rFonts w:ascii="Times New Roman" w:hAnsi="Times New Roman" w:cs="Times New Roman"/>
          <w:i/>
          <w:iCs/>
          <w:color w:val="000000" w:themeColor="text1"/>
          <w:sz w:val="28"/>
          <w:szCs w:val="28"/>
          <w:u w:val="single"/>
        </w:rPr>
        <w:t>Загальне обводнення</w:t>
      </w:r>
      <w:r w:rsidRPr="00CC7883">
        <w:rPr>
          <w:rFonts w:ascii="Times New Roman" w:hAnsi="Times New Roman" w:cs="Times New Roman"/>
          <w:i/>
          <w:iCs/>
          <w:color w:val="000000" w:themeColor="text1"/>
          <w:sz w:val="28"/>
          <w:szCs w:val="28"/>
        </w:rPr>
        <w:t xml:space="preserve">. </w:t>
      </w:r>
      <w:r w:rsidRPr="00CC7883">
        <w:rPr>
          <w:rFonts w:ascii="Times New Roman" w:eastAsia="NSimSun" w:hAnsi="Times New Roman" w:cs="Times New Roman"/>
          <w:color w:val="000000" w:themeColor="text1"/>
          <w:kern w:val="3"/>
          <w:sz w:val="28"/>
          <w:szCs w:val="28"/>
        </w:rPr>
        <w:t xml:space="preserve">Для підготовки мікроклонів винограду до переведення в неконтрольовані умови важливого значення набуває структура тканин вегетативної </w:t>
      </w:r>
      <w:r w:rsidR="000069C8" w:rsidRPr="00CC7883">
        <w:rPr>
          <w:rFonts w:ascii="Times New Roman" w:eastAsia="NSimSun" w:hAnsi="Times New Roman" w:cs="Times New Roman"/>
          <w:color w:val="000000" w:themeColor="text1"/>
          <w:kern w:val="3"/>
          <w:sz w:val="28"/>
          <w:szCs w:val="28"/>
        </w:rPr>
        <w:t xml:space="preserve">надземної </w:t>
      </w:r>
      <w:r w:rsidRPr="00CC7883">
        <w:rPr>
          <w:rFonts w:ascii="Times New Roman" w:eastAsia="NSimSun" w:hAnsi="Times New Roman" w:cs="Times New Roman"/>
          <w:color w:val="000000" w:themeColor="text1"/>
          <w:kern w:val="3"/>
          <w:sz w:val="28"/>
          <w:szCs w:val="28"/>
        </w:rPr>
        <w:t xml:space="preserve">маси. Її прийнято оцінювати за накопиченням сухої речовини або загальним обводненням тканин. Вміст води може змінюватись у широких межах і залежить від віку, фізіологічного і біохімічного стану рослин. </w:t>
      </w:r>
    </w:p>
    <w:p w:rsidR="005A3F7D" w:rsidRPr="00CC7883" w:rsidRDefault="005A3F7D" w:rsidP="00047411">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bookmarkStart w:id="72" w:name="_Hlk164349223"/>
      <w:r w:rsidRPr="00CC7883">
        <w:rPr>
          <w:rFonts w:ascii="Times New Roman" w:eastAsia="NSimSun" w:hAnsi="Times New Roman" w:cs="Times New Roman"/>
          <w:color w:val="000000" w:themeColor="text1"/>
          <w:kern w:val="3"/>
          <w:sz w:val="28"/>
          <w:szCs w:val="28"/>
        </w:rPr>
        <w:t xml:space="preserve">Визначення загального обводнення тканин показало, що найбільше води було у пагонах та листках мікроклонів винограду контрольних варіантів та варіантів, де у складі MS були БАП </w:t>
      </w:r>
      <w:r w:rsidRPr="00CC7883">
        <w:rPr>
          <w:rFonts w:ascii="Times New Roman" w:hAnsi="Times New Roman" w:cs="Times New Roman"/>
          <w:color w:val="000000" w:themeColor="text1"/>
          <w:sz w:val="28"/>
          <w:szCs w:val="28"/>
        </w:rPr>
        <w:t>–</w:t>
      </w:r>
      <w:r w:rsidR="00115B07" w:rsidRPr="00CC7883">
        <w:rPr>
          <w:rFonts w:ascii="Times New Roman" w:eastAsia="NSimSun" w:hAnsi="Times New Roman" w:cs="Times New Roman"/>
          <w:color w:val="000000" w:themeColor="text1"/>
          <w:kern w:val="3"/>
          <w:sz w:val="28"/>
          <w:szCs w:val="28"/>
        </w:rPr>
        <w:t xml:space="preserve"> Clonex gel</w:t>
      </w:r>
      <w:r w:rsidRPr="00CC7883">
        <w:rPr>
          <w:rFonts w:ascii="Times New Roman" w:eastAsia="NSimSun" w:hAnsi="Times New Roman" w:cs="Times New Roman"/>
          <w:color w:val="000000" w:themeColor="text1"/>
          <w:kern w:val="3"/>
          <w:sz w:val="28"/>
          <w:szCs w:val="28"/>
        </w:rPr>
        <w:t xml:space="preserve"> і Радіфарм (третій–шостий варіанти). Так, у тканинах мікроклонів винограду підщепних сортів «Добриня» і «Гарант» контрольних варіантів загальний вміст води </w:t>
      </w:r>
      <w:r w:rsidRPr="00CC7883">
        <w:rPr>
          <w:rFonts w:ascii="Times New Roman" w:eastAsia="NSimSun" w:hAnsi="Times New Roman" w:cs="Times New Roman"/>
          <w:color w:val="000000" w:themeColor="text1"/>
          <w:kern w:val="3"/>
          <w:sz w:val="28"/>
          <w:szCs w:val="28"/>
        </w:rPr>
        <w:lastRenderedPageBreak/>
        <w:t>дорівнював 92,9–93,6 % і 92,1–93,0 %; у тканинах мікроклонів, які культивували на поживних середовищах із біологічно активними препаратами</w:t>
      </w:r>
      <w:r w:rsidR="00EA4E64">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він дорівнював 91,2–92,9 % і 91,2–92,2 %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5.1).</w:t>
      </w:r>
    </w:p>
    <w:p w:rsidR="005A3F7D" w:rsidRPr="00CC7883" w:rsidRDefault="003059DA"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3059DA">
        <w:rPr>
          <w:rFonts w:ascii="Times New Roman" w:eastAsia="NSimSun" w:hAnsi="Times New Roman" w:cs="Times New Roman"/>
          <w:color w:val="000000" w:themeColor="text1"/>
          <w:kern w:val="3"/>
          <w:sz w:val="28"/>
          <w:szCs w:val="28"/>
        </w:rPr>
        <w:drawing>
          <wp:inline distT="0" distB="0" distL="0" distR="0">
            <wp:extent cx="5061585" cy="1504950"/>
            <wp:effectExtent l="19050" t="0" r="24765" b="0"/>
            <wp:docPr id="109779874"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«Добриня»</w:t>
      </w:r>
    </w:p>
    <w:p w:rsidR="005A3F7D" w:rsidRPr="00CC7883" w:rsidRDefault="003059DA" w:rsidP="00047411">
      <w:pPr>
        <w:widowControl w:val="0"/>
        <w:autoSpaceDN w:val="0"/>
        <w:spacing w:after="0" w:line="360" w:lineRule="auto"/>
        <w:jc w:val="center"/>
        <w:rPr>
          <w:rFonts w:ascii="Times New Roman" w:eastAsia="NSimSun" w:hAnsi="Times New Roman" w:cs="Times New Roman"/>
          <w:color w:val="000000" w:themeColor="text1"/>
          <w:kern w:val="3"/>
        </w:rPr>
      </w:pPr>
      <w:r w:rsidRPr="003059DA">
        <w:rPr>
          <w:rFonts w:ascii="Times New Roman" w:eastAsia="NSimSun" w:hAnsi="Times New Roman" w:cs="Times New Roman"/>
          <w:color w:val="000000" w:themeColor="text1"/>
          <w:kern w:val="3"/>
        </w:rPr>
        <w:drawing>
          <wp:inline distT="0" distB="0" distL="0" distR="0">
            <wp:extent cx="5089525" cy="1409700"/>
            <wp:effectExtent l="19050" t="0" r="15875" b="0"/>
            <wp:docPr id="109779875"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«Гарант»</w:t>
      </w:r>
    </w:p>
    <w:p w:rsidR="005A3F7D" w:rsidRPr="00CC7883" w:rsidRDefault="003059DA" w:rsidP="00047411">
      <w:pPr>
        <w:widowControl w:val="0"/>
        <w:autoSpaceDN w:val="0"/>
        <w:spacing w:after="0" w:line="360" w:lineRule="auto"/>
        <w:jc w:val="center"/>
        <w:rPr>
          <w:rFonts w:ascii="Times New Roman" w:eastAsia="NSimSun" w:hAnsi="Times New Roman" w:cs="Times New Roman"/>
          <w:color w:val="000000" w:themeColor="text1"/>
          <w:kern w:val="3"/>
        </w:rPr>
      </w:pPr>
      <w:r w:rsidRPr="003059DA">
        <w:rPr>
          <w:rFonts w:ascii="Times New Roman" w:eastAsia="NSimSun" w:hAnsi="Times New Roman" w:cs="Times New Roman"/>
          <w:color w:val="000000" w:themeColor="text1"/>
          <w:kern w:val="3"/>
        </w:rPr>
        <w:drawing>
          <wp:inline distT="0" distB="0" distL="0" distR="0">
            <wp:extent cx="5118735" cy="1333500"/>
            <wp:effectExtent l="19050" t="0" r="24765" b="0"/>
            <wp:docPr id="109779873"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«Ярило»</w:t>
      </w:r>
    </w:p>
    <w:p w:rsidR="005A3F7D" w:rsidRPr="00CC7883" w:rsidRDefault="003059DA" w:rsidP="00047411">
      <w:pPr>
        <w:widowControl w:val="0"/>
        <w:autoSpaceDN w:val="0"/>
        <w:spacing w:after="0" w:line="360" w:lineRule="auto"/>
        <w:jc w:val="center"/>
        <w:rPr>
          <w:rFonts w:ascii="Times New Roman" w:eastAsia="NSimSun" w:hAnsi="Times New Roman" w:cs="Times New Roman"/>
          <w:color w:val="000000" w:themeColor="text1"/>
          <w:kern w:val="3"/>
        </w:rPr>
      </w:pPr>
      <w:r w:rsidRPr="003059DA">
        <w:rPr>
          <w:rFonts w:ascii="Times New Roman" w:eastAsia="NSimSun" w:hAnsi="Times New Roman" w:cs="Times New Roman"/>
          <w:color w:val="000000" w:themeColor="text1"/>
          <w:kern w:val="3"/>
        </w:rPr>
        <w:drawing>
          <wp:inline distT="0" distB="0" distL="0" distR="0">
            <wp:extent cx="5089525" cy="1442720"/>
            <wp:effectExtent l="19050" t="0" r="15875" b="5080"/>
            <wp:docPr id="109779876"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«Загрей»</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Рис. 5.1. </w:t>
      </w:r>
      <w:bookmarkStart w:id="73" w:name="_Hlk169358477"/>
      <w:r w:rsidRPr="00CC7883">
        <w:rPr>
          <w:rFonts w:ascii="Times New Roman" w:eastAsia="NSimSun" w:hAnsi="Times New Roman" w:cs="Times New Roman"/>
          <w:color w:val="000000" w:themeColor="text1"/>
          <w:kern w:val="3"/>
          <w:sz w:val="28"/>
          <w:szCs w:val="28"/>
          <w:lang w:eastAsia="zh-CN" w:bidi="hi-IN"/>
        </w:rPr>
        <w:t xml:space="preserve">Загальне обводнення </w:t>
      </w:r>
      <w:r w:rsidRPr="00CC7883">
        <w:rPr>
          <w:rFonts w:ascii="Times New Roman" w:eastAsia="NSimSun" w:hAnsi="Times New Roman" w:cs="Times New Roman"/>
          <w:color w:val="000000" w:themeColor="text1"/>
          <w:kern w:val="3"/>
          <w:sz w:val="28"/>
          <w:szCs w:val="28"/>
        </w:rPr>
        <w:t xml:space="preserve">і вміст сухих речовин у листках, пагонах мікроклонів винограду на різних типах поживних середовищ </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(середнє за 2019–2022 рр.)</w:t>
      </w:r>
    </w:p>
    <w:bookmarkEnd w:id="72"/>
    <w:bookmarkEnd w:id="73"/>
    <w:p w:rsidR="00071A62" w:rsidRDefault="00071A62" w:rsidP="00071A62">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p>
    <w:p w:rsidR="00071A62" w:rsidRPr="00CC7883" w:rsidRDefault="00071A62" w:rsidP="00071A62">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У листках і пагонах мікроклонів, що культивували на структурованих поживних середовищах (сьомий–дванадцятий варіанти)</w:t>
      </w:r>
      <w:r>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обводнення тканин було найменшим і перебувало на рівні 84,2–86,8 % («Добриня») і 85,5–88,2 % («Гарант»). </w:t>
      </w:r>
    </w:p>
    <w:p w:rsidR="00071A62" w:rsidRPr="00CC7883" w:rsidRDefault="00071A62" w:rsidP="00071A62">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Загальний вміст води у тканинах мікроклонів технічних сортів «Ярило» і «Загрей» контрольних варіантів дорівнював 93,4–93,9 %, 91,6–92,7 %; у тканинах мікроклонів, які культивували на поживних середовищах із біологічно активними препаратами</w:t>
      </w:r>
      <w:r>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він дорівнював 91,8–93,8 % і 90,9–92,1</w:t>
      </w:r>
      <w:r>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Загальний вміст води у тканинах листків і пагонів мікроклонів винограду, які культивували на структурованих поживних середовищах</w:t>
      </w:r>
      <w:r>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дорівнював 84,2–86,8 % і 85,5–87,9 %.</w:t>
      </w:r>
    </w:p>
    <w:p w:rsidR="00071A62" w:rsidRPr="00CC7883" w:rsidRDefault="00071A62" w:rsidP="00071A62">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Відносно контролю ці показники зменшувались на 0,4–1,6 % (поживні середовища з БАП), 3,7–8,8 % (структуровані поживні середовища) для підщепних сортів, на 0,1–1,6 %, 4,8–6,8 % для технічних сортів. Різниця між дослідними варіантами, де у складі поживних середовищ застосовували БАП (третій–шостий варіанти) та варіантами, де вносили мінеральні компоненти (сьомий–дванадцятий варіанти) дорівнювала 4,6–6,9 % (підщепні сорти) і 4,9–5,0 % (технічні сорти).</w:t>
      </w:r>
    </w:p>
    <w:p w:rsidR="00071A62" w:rsidRPr="00CC7883" w:rsidRDefault="00071A62" w:rsidP="00071A62">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Суттєвої різниці за вмістом води у тканинах листків і пагонів мікроклонів винограду, які культивували на поживних середовищах із різним вмістом ІОК та 6-БАП, нами не встановлено.</w:t>
      </w:r>
    </w:p>
    <w:p w:rsidR="00071A62" w:rsidRPr="00CC7883" w:rsidRDefault="00071A62" w:rsidP="00071A62">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i/>
          <w:iCs/>
          <w:color w:val="000000" w:themeColor="text1"/>
          <w:kern w:val="3"/>
          <w:sz w:val="28"/>
          <w:szCs w:val="28"/>
          <w:u w:val="single"/>
        </w:rPr>
        <w:t>Вміст легко</w:t>
      </w:r>
      <w:r>
        <w:rPr>
          <w:rFonts w:ascii="Times New Roman" w:eastAsia="NSimSun" w:hAnsi="Times New Roman" w:cs="Times New Roman"/>
          <w:i/>
          <w:iCs/>
          <w:color w:val="000000" w:themeColor="text1"/>
          <w:kern w:val="3"/>
          <w:sz w:val="28"/>
          <w:szCs w:val="28"/>
          <w:u w:val="single"/>
        </w:rPr>
        <w:t>у</w:t>
      </w:r>
      <w:r w:rsidRPr="00CC7883">
        <w:rPr>
          <w:rFonts w:ascii="Times New Roman" w:eastAsia="NSimSun" w:hAnsi="Times New Roman" w:cs="Times New Roman"/>
          <w:i/>
          <w:iCs/>
          <w:color w:val="000000" w:themeColor="text1"/>
          <w:kern w:val="3"/>
          <w:sz w:val="28"/>
          <w:szCs w:val="28"/>
          <w:u w:val="single"/>
        </w:rPr>
        <w:t>триму</w:t>
      </w:r>
      <w:r>
        <w:rPr>
          <w:rFonts w:ascii="Times New Roman" w:eastAsia="NSimSun" w:hAnsi="Times New Roman" w:cs="Times New Roman"/>
          <w:i/>
          <w:iCs/>
          <w:color w:val="000000" w:themeColor="text1"/>
          <w:kern w:val="3"/>
          <w:sz w:val="28"/>
          <w:szCs w:val="28"/>
          <w:u w:val="single"/>
        </w:rPr>
        <w:t>ван</w:t>
      </w:r>
      <w:r w:rsidRPr="00CC7883">
        <w:rPr>
          <w:rFonts w:ascii="Times New Roman" w:eastAsia="NSimSun" w:hAnsi="Times New Roman" w:cs="Times New Roman"/>
          <w:i/>
          <w:iCs/>
          <w:color w:val="000000" w:themeColor="text1"/>
          <w:kern w:val="3"/>
          <w:sz w:val="28"/>
          <w:szCs w:val="28"/>
          <w:u w:val="single"/>
        </w:rPr>
        <w:t>ої води</w:t>
      </w:r>
      <w:r w:rsidRPr="00CC7883">
        <w:rPr>
          <w:rFonts w:ascii="Times New Roman" w:eastAsia="NSimSun" w:hAnsi="Times New Roman" w:cs="Times New Roman"/>
          <w:i/>
          <w:iCs/>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Протягом років досліджень у листках і пагонах мікроклонів винограду визначали вміст легко</w:t>
      </w:r>
      <w:r>
        <w:rPr>
          <w:rFonts w:ascii="Times New Roman" w:eastAsia="NSimSun" w:hAnsi="Times New Roman" w:cs="Times New Roman"/>
          <w:color w:val="000000" w:themeColor="text1"/>
          <w:kern w:val="3"/>
          <w:sz w:val="28"/>
          <w:szCs w:val="28"/>
        </w:rPr>
        <w:t>у</w:t>
      </w:r>
      <w:r w:rsidRPr="00CC7883">
        <w:rPr>
          <w:rFonts w:ascii="Times New Roman" w:eastAsia="NSimSun" w:hAnsi="Times New Roman" w:cs="Times New Roman"/>
          <w:color w:val="000000" w:themeColor="text1"/>
          <w:kern w:val="3"/>
          <w:sz w:val="28"/>
          <w:szCs w:val="28"/>
        </w:rPr>
        <w:t>триму</w:t>
      </w:r>
      <w:r>
        <w:rPr>
          <w:rFonts w:ascii="Times New Roman" w:eastAsia="NSimSun" w:hAnsi="Times New Roman" w:cs="Times New Roman"/>
          <w:color w:val="000000" w:themeColor="text1"/>
          <w:kern w:val="3"/>
          <w:sz w:val="28"/>
          <w:szCs w:val="28"/>
        </w:rPr>
        <w:t>ван</w:t>
      </w:r>
      <w:r w:rsidRPr="00CC7883">
        <w:rPr>
          <w:rFonts w:ascii="Times New Roman" w:eastAsia="NSimSun" w:hAnsi="Times New Roman" w:cs="Times New Roman"/>
          <w:color w:val="000000" w:themeColor="text1"/>
          <w:kern w:val="3"/>
          <w:sz w:val="28"/>
          <w:szCs w:val="28"/>
        </w:rPr>
        <w:t>ої води. Це рухома форма води, яка сприяє терморегулюванню, транспорту поживних речовин до клітин та органів.</w:t>
      </w:r>
    </w:p>
    <w:p w:rsidR="005A3F7D" w:rsidRPr="00CC7883" w:rsidRDefault="005A3F7D" w:rsidP="00047411">
      <w:pPr>
        <w:widowControl w:val="0"/>
        <w:spacing w:after="0" w:line="360" w:lineRule="auto"/>
        <w:ind w:firstLine="708"/>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Слід зазначити, що у першому–шостому варіантах цей показник був практично на одному рівні – 41,8–42,4 %, 44,4–45,0 %, 40,1–40,4 %, 41,4–41,8</w:t>
      </w:r>
      <w:r w:rsidR="008467A4">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Достовірної різниці між цими варіантами відзначено не було (</w:t>
      </w:r>
      <w:r w:rsidR="00356530" w:rsidRPr="00CC7883">
        <w:rPr>
          <w:rFonts w:ascii="Times New Roman" w:eastAsia="NSimSun" w:hAnsi="Times New Roman" w:cs="Times New Roman"/>
          <w:color w:val="000000" w:themeColor="text1"/>
          <w:kern w:val="3"/>
          <w:sz w:val="28"/>
          <w:szCs w:val="28"/>
          <w:lang w:eastAsia="zh-CN" w:bidi="hi-IN"/>
        </w:rPr>
        <w:t>рис.</w:t>
      </w:r>
      <w:r w:rsidR="009B2497">
        <w:rPr>
          <w:rFonts w:ascii="Times New Roman" w:eastAsia="NSimSun" w:hAnsi="Times New Roman" w:cs="Times New Roman"/>
          <w:bCs/>
          <w:color w:val="000000" w:themeColor="text1"/>
          <w:kern w:val="3"/>
          <w:sz w:val="28"/>
          <w:szCs w:val="28"/>
          <w:lang w:eastAsia="zh-CN" w:bidi="hi-IN"/>
        </w:rPr>
        <w:t> </w:t>
      </w:r>
      <w:r w:rsidRPr="00CC7883">
        <w:rPr>
          <w:rFonts w:ascii="Times New Roman" w:eastAsia="NSimSun" w:hAnsi="Times New Roman" w:cs="Times New Roman"/>
          <w:color w:val="000000" w:themeColor="text1"/>
          <w:kern w:val="3"/>
          <w:sz w:val="28"/>
          <w:szCs w:val="28"/>
        </w:rPr>
        <w:t>5.2).</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lastRenderedPageBreak/>
        <w:drawing>
          <wp:inline distT="0" distB="0" distL="0" distR="0">
            <wp:extent cx="5924550" cy="2657475"/>
            <wp:effectExtent l="19050" t="0" r="19050" b="0"/>
            <wp:docPr id="894912931" name="Диаграмма 894912931"/>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Рис. 5.2. Вміст легко</w:t>
      </w:r>
      <w:r w:rsidR="009A7A9A">
        <w:rPr>
          <w:rFonts w:ascii="Times New Roman" w:eastAsia="NSimSun" w:hAnsi="Times New Roman" w:cs="Times New Roman"/>
          <w:color w:val="000000" w:themeColor="text1"/>
          <w:kern w:val="3"/>
          <w:sz w:val="28"/>
          <w:szCs w:val="28"/>
        </w:rPr>
        <w:t>у</w:t>
      </w:r>
      <w:r w:rsidRPr="00CC7883">
        <w:rPr>
          <w:rFonts w:ascii="Times New Roman" w:eastAsia="NSimSun" w:hAnsi="Times New Roman" w:cs="Times New Roman"/>
          <w:color w:val="000000" w:themeColor="text1"/>
          <w:kern w:val="3"/>
          <w:sz w:val="28"/>
          <w:szCs w:val="28"/>
        </w:rPr>
        <w:t>триму</w:t>
      </w:r>
      <w:r w:rsidR="009A7A9A">
        <w:rPr>
          <w:rFonts w:ascii="Times New Roman" w:eastAsia="NSimSun" w:hAnsi="Times New Roman" w:cs="Times New Roman"/>
          <w:color w:val="000000" w:themeColor="text1"/>
          <w:kern w:val="3"/>
          <w:sz w:val="28"/>
          <w:szCs w:val="28"/>
        </w:rPr>
        <w:t>ван</w:t>
      </w:r>
      <w:r w:rsidRPr="00CC7883">
        <w:rPr>
          <w:rFonts w:ascii="Times New Roman" w:eastAsia="NSimSun" w:hAnsi="Times New Roman" w:cs="Times New Roman"/>
          <w:color w:val="000000" w:themeColor="text1"/>
          <w:kern w:val="3"/>
          <w:sz w:val="28"/>
          <w:szCs w:val="28"/>
        </w:rPr>
        <w:t>ої води у листках і пагонах мікроклонів винограду на різних типах поживних середовищ (середнє за 2019–2022 рр.)</w:t>
      </w:r>
    </w:p>
    <w:p w:rsidR="005A3F7D" w:rsidRPr="00CC7883" w:rsidRDefault="005A3F7D" w:rsidP="00047411">
      <w:pPr>
        <w:widowControl w:val="0"/>
        <w:autoSpaceDN w:val="0"/>
        <w:spacing w:after="0" w:line="360" w:lineRule="auto"/>
        <w:jc w:val="both"/>
        <w:rPr>
          <w:rFonts w:ascii="Times New Roman" w:eastAsia="NSimSun" w:hAnsi="Times New Roman" w:cs="Times New Roman"/>
          <w:color w:val="000000" w:themeColor="text1"/>
          <w:kern w:val="3"/>
          <w:sz w:val="28"/>
          <w:szCs w:val="28"/>
        </w:rPr>
      </w:pPr>
    </w:p>
    <w:p w:rsidR="005A3F7D" w:rsidRPr="00CC7883" w:rsidRDefault="005A3F7D" w:rsidP="00047411">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При культивуванні мікроклонів винограду на структурованих поживних середовищах вміст легко</w:t>
      </w:r>
      <w:r w:rsidR="009A7A9A">
        <w:rPr>
          <w:rFonts w:ascii="Times New Roman" w:eastAsia="NSimSun" w:hAnsi="Times New Roman" w:cs="Times New Roman"/>
          <w:color w:val="000000" w:themeColor="text1"/>
          <w:kern w:val="3"/>
          <w:sz w:val="28"/>
          <w:szCs w:val="28"/>
        </w:rPr>
        <w:t>у</w:t>
      </w:r>
      <w:r w:rsidRPr="00CC7883">
        <w:rPr>
          <w:rFonts w:ascii="Times New Roman" w:eastAsia="NSimSun" w:hAnsi="Times New Roman" w:cs="Times New Roman"/>
          <w:color w:val="000000" w:themeColor="text1"/>
          <w:kern w:val="3"/>
          <w:sz w:val="28"/>
          <w:szCs w:val="28"/>
        </w:rPr>
        <w:t>триму</w:t>
      </w:r>
      <w:r w:rsidR="009A7A9A">
        <w:rPr>
          <w:rFonts w:ascii="Times New Roman" w:eastAsia="NSimSun" w:hAnsi="Times New Roman" w:cs="Times New Roman"/>
          <w:color w:val="000000" w:themeColor="text1"/>
          <w:kern w:val="3"/>
          <w:sz w:val="28"/>
          <w:szCs w:val="28"/>
        </w:rPr>
        <w:t>ван</w:t>
      </w:r>
      <w:r w:rsidRPr="00CC7883">
        <w:rPr>
          <w:rFonts w:ascii="Times New Roman" w:eastAsia="NSimSun" w:hAnsi="Times New Roman" w:cs="Times New Roman"/>
          <w:color w:val="000000" w:themeColor="text1"/>
          <w:kern w:val="3"/>
          <w:sz w:val="28"/>
          <w:szCs w:val="28"/>
        </w:rPr>
        <w:t>ої води зменшувався. У мікроклонів «Добриня» та «Гарант» на 3,3–5,7 % і 2,5–4,4 %, у мікроклонів «Ярило» та «Загрей» на 3,7–5,1 % і 2,2–3,1 % порівняно з контрольними варіантами.</w:t>
      </w:r>
    </w:p>
    <w:p w:rsidR="005A3F7D" w:rsidRPr="00CC7883" w:rsidRDefault="005A3F7D" w:rsidP="00047411">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Порівняння вмісту легко</w:t>
      </w:r>
      <w:r w:rsidR="00C87671">
        <w:rPr>
          <w:rFonts w:ascii="Times New Roman" w:eastAsia="NSimSun" w:hAnsi="Times New Roman" w:cs="Times New Roman"/>
          <w:color w:val="000000" w:themeColor="text1"/>
          <w:kern w:val="3"/>
          <w:sz w:val="28"/>
          <w:szCs w:val="28"/>
        </w:rPr>
        <w:t>у</w:t>
      </w:r>
      <w:r w:rsidRPr="00CC7883">
        <w:rPr>
          <w:rFonts w:ascii="Times New Roman" w:eastAsia="NSimSun" w:hAnsi="Times New Roman" w:cs="Times New Roman"/>
          <w:color w:val="000000" w:themeColor="text1"/>
          <w:kern w:val="3"/>
          <w:sz w:val="28"/>
          <w:szCs w:val="28"/>
        </w:rPr>
        <w:t>триму</w:t>
      </w:r>
      <w:r w:rsidR="00C87671">
        <w:rPr>
          <w:rFonts w:ascii="Times New Roman" w:eastAsia="NSimSun" w:hAnsi="Times New Roman" w:cs="Times New Roman"/>
          <w:color w:val="000000" w:themeColor="text1"/>
          <w:kern w:val="3"/>
          <w:sz w:val="28"/>
          <w:szCs w:val="28"/>
        </w:rPr>
        <w:t>ван</w:t>
      </w:r>
      <w:r w:rsidRPr="00CC7883">
        <w:rPr>
          <w:rFonts w:ascii="Times New Roman" w:eastAsia="NSimSun" w:hAnsi="Times New Roman" w:cs="Times New Roman"/>
          <w:color w:val="000000" w:themeColor="text1"/>
          <w:kern w:val="3"/>
          <w:sz w:val="28"/>
          <w:szCs w:val="28"/>
        </w:rPr>
        <w:t xml:space="preserve">ої води у тканинах мікроклонів винограду за фітогормональним складом показало, що рослини винограду, які культивували на поживних середовищах із меншим вмістом фітогормонів (ІОК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0,3 мг/л, 6-БАП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0,2 мг/л), мали більший вміст легко</w:t>
      </w:r>
      <w:r w:rsidR="00C87671">
        <w:rPr>
          <w:rFonts w:ascii="Times New Roman" w:eastAsia="NSimSun" w:hAnsi="Times New Roman" w:cs="Times New Roman"/>
          <w:color w:val="000000" w:themeColor="text1"/>
          <w:kern w:val="3"/>
          <w:sz w:val="28"/>
          <w:szCs w:val="28"/>
        </w:rPr>
        <w:t>у</w:t>
      </w:r>
      <w:r w:rsidRPr="00CC7883">
        <w:rPr>
          <w:rFonts w:ascii="Times New Roman" w:eastAsia="NSimSun" w:hAnsi="Times New Roman" w:cs="Times New Roman"/>
          <w:color w:val="000000" w:themeColor="text1"/>
          <w:kern w:val="3"/>
          <w:sz w:val="28"/>
          <w:szCs w:val="28"/>
        </w:rPr>
        <w:t>триму</w:t>
      </w:r>
      <w:r w:rsidR="00C87671">
        <w:rPr>
          <w:rFonts w:ascii="Times New Roman" w:eastAsia="NSimSun" w:hAnsi="Times New Roman" w:cs="Times New Roman"/>
          <w:color w:val="000000" w:themeColor="text1"/>
          <w:kern w:val="3"/>
          <w:sz w:val="28"/>
          <w:szCs w:val="28"/>
        </w:rPr>
        <w:t>ван</w:t>
      </w:r>
      <w:r w:rsidRPr="00CC7883">
        <w:rPr>
          <w:rFonts w:ascii="Times New Roman" w:eastAsia="NSimSun" w:hAnsi="Times New Roman" w:cs="Times New Roman"/>
          <w:color w:val="000000" w:themeColor="text1"/>
          <w:kern w:val="3"/>
          <w:sz w:val="28"/>
          <w:szCs w:val="28"/>
        </w:rPr>
        <w:t xml:space="preserve">ої води порівняно з мікроклонами винограду, що культивували на поживних середовищах із більшим вмістом фітогормонів (ІОК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0,6 мг/л, 6-БАП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0,5</w:t>
      </w:r>
      <w:r w:rsidR="008467A4">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мг/л). Таке збільшення знаходилось у межах 0,1–0,5 %. </w:t>
      </w:r>
    </w:p>
    <w:p w:rsidR="005A3F7D" w:rsidRPr="00CC7883" w:rsidRDefault="005A3F7D" w:rsidP="00047411">
      <w:pPr>
        <w:widowControl w:val="0"/>
        <w:autoSpaceDN w:val="0"/>
        <w:spacing w:after="0" w:line="360" w:lineRule="auto"/>
        <w:ind w:firstLine="708"/>
        <w:jc w:val="both"/>
        <w:rPr>
          <w:rFonts w:ascii="Times New Roman" w:eastAsia="NSimSun" w:hAnsi="Times New Roman" w:cs="Times New Roman"/>
          <w:color w:val="000000" w:themeColor="text1"/>
          <w:kern w:val="3"/>
        </w:rPr>
      </w:pPr>
      <w:r w:rsidRPr="00CC7883">
        <w:rPr>
          <w:rFonts w:ascii="Times New Roman" w:hAnsi="Times New Roman" w:cs="Times New Roman"/>
          <w:i/>
          <w:iCs/>
          <w:color w:val="000000" w:themeColor="text1"/>
          <w:sz w:val="28"/>
          <w:szCs w:val="28"/>
          <w:u w:val="single"/>
        </w:rPr>
        <w:t>Водо</w:t>
      </w:r>
      <w:r w:rsidR="000852FF">
        <w:rPr>
          <w:rFonts w:ascii="Times New Roman" w:hAnsi="Times New Roman" w:cs="Times New Roman"/>
          <w:i/>
          <w:iCs/>
          <w:color w:val="000000" w:themeColor="text1"/>
          <w:sz w:val="28"/>
          <w:szCs w:val="28"/>
          <w:u w:val="single"/>
        </w:rPr>
        <w:t>у</w:t>
      </w:r>
      <w:r w:rsidRPr="00CC7883">
        <w:rPr>
          <w:rFonts w:ascii="Times New Roman" w:hAnsi="Times New Roman" w:cs="Times New Roman"/>
          <w:i/>
          <w:iCs/>
          <w:color w:val="000000" w:themeColor="text1"/>
          <w:sz w:val="28"/>
          <w:szCs w:val="28"/>
          <w:u w:val="single"/>
        </w:rPr>
        <w:t>триму</w:t>
      </w:r>
      <w:r w:rsidR="000852FF">
        <w:rPr>
          <w:rFonts w:ascii="Times New Roman" w:hAnsi="Times New Roman" w:cs="Times New Roman"/>
          <w:i/>
          <w:iCs/>
          <w:color w:val="000000" w:themeColor="text1"/>
          <w:sz w:val="28"/>
          <w:szCs w:val="28"/>
          <w:u w:val="single"/>
        </w:rPr>
        <w:t>вальна</w:t>
      </w:r>
      <w:r w:rsidRPr="00CC7883">
        <w:rPr>
          <w:rFonts w:ascii="Times New Roman" w:hAnsi="Times New Roman" w:cs="Times New Roman"/>
          <w:i/>
          <w:iCs/>
          <w:color w:val="000000" w:themeColor="text1"/>
          <w:sz w:val="28"/>
          <w:szCs w:val="28"/>
          <w:u w:val="single"/>
        </w:rPr>
        <w:t xml:space="preserve"> здатність</w:t>
      </w:r>
      <w:r w:rsidRPr="00CC7883">
        <w:rPr>
          <w:rFonts w:ascii="Times New Roman" w:eastAsia="NSimSun" w:hAnsi="Times New Roman" w:cs="Times New Roman"/>
          <w:i/>
          <w:iCs/>
          <w:color w:val="000000" w:themeColor="text1"/>
          <w:kern w:val="3"/>
          <w:sz w:val="28"/>
          <w:szCs w:val="28"/>
        </w:rPr>
        <w:t xml:space="preserve">. </w:t>
      </w:r>
      <w:r w:rsidRPr="00CC7883">
        <w:rPr>
          <w:rFonts w:ascii="Times New Roman" w:eastAsia="NSimSun" w:hAnsi="Times New Roman" w:cs="Times New Roman"/>
          <w:iCs/>
          <w:color w:val="000000" w:themeColor="text1"/>
          <w:kern w:val="3"/>
          <w:sz w:val="28"/>
          <w:szCs w:val="28"/>
        </w:rPr>
        <w:t>Водо</w:t>
      </w:r>
      <w:r w:rsidR="000852FF">
        <w:rPr>
          <w:rFonts w:ascii="Times New Roman" w:eastAsia="NSimSun" w:hAnsi="Times New Roman" w:cs="Times New Roman"/>
          <w:iCs/>
          <w:color w:val="000000" w:themeColor="text1"/>
          <w:kern w:val="3"/>
          <w:sz w:val="28"/>
          <w:szCs w:val="28"/>
        </w:rPr>
        <w:t>у</w:t>
      </w:r>
      <w:r w:rsidRPr="00CC7883">
        <w:rPr>
          <w:rFonts w:ascii="Times New Roman" w:eastAsia="NSimSun" w:hAnsi="Times New Roman" w:cs="Times New Roman"/>
          <w:iCs/>
          <w:color w:val="000000" w:themeColor="text1"/>
          <w:kern w:val="3"/>
          <w:sz w:val="28"/>
          <w:szCs w:val="28"/>
        </w:rPr>
        <w:t>триму</w:t>
      </w:r>
      <w:r w:rsidR="000852FF">
        <w:rPr>
          <w:rFonts w:ascii="Times New Roman" w:eastAsia="NSimSun" w:hAnsi="Times New Roman" w:cs="Times New Roman"/>
          <w:iCs/>
          <w:color w:val="000000" w:themeColor="text1"/>
          <w:kern w:val="3"/>
          <w:sz w:val="28"/>
          <w:szCs w:val="28"/>
        </w:rPr>
        <w:t>вальна</w:t>
      </w:r>
      <w:r w:rsidRPr="00CC7883">
        <w:rPr>
          <w:rFonts w:ascii="Times New Roman" w:eastAsia="NSimSun" w:hAnsi="Times New Roman" w:cs="Times New Roman"/>
          <w:iCs/>
          <w:color w:val="000000" w:themeColor="text1"/>
          <w:kern w:val="3"/>
          <w:sz w:val="28"/>
          <w:szCs w:val="28"/>
        </w:rPr>
        <w:t xml:space="preserve"> здатність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це показник, який характеризує втрату води вегетативними органами рослин за певний проміжок часу. У технології розмноження винограду </w:t>
      </w:r>
      <w:r w:rsidRPr="00CC7883">
        <w:rPr>
          <w:rFonts w:ascii="Times New Roman" w:eastAsia="NSimSun" w:hAnsi="Times New Roman" w:cs="Times New Roman"/>
          <w:i/>
          <w:color w:val="000000" w:themeColor="text1"/>
          <w:kern w:val="3"/>
          <w:sz w:val="28"/>
          <w:szCs w:val="28"/>
        </w:rPr>
        <w:t>in vitro</w:t>
      </w:r>
      <w:r w:rsidRPr="00CC7883">
        <w:rPr>
          <w:rFonts w:ascii="Times New Roman" w:eastAsia="NSimSun" w:hAnsi="Times New Roman" w:cs="Times New Roman"/>
          <w:color w:val="000000" w:themeColor="text1"/>
          <w:kern w:val="3"/>
          <w:sz w:val="28"/>
          <w:szCs w:val="28"/>
        </w:rPr>
        <w:t xml:space="preserve"> він важливий з точки зору переведення рослин у неконтрольовані умови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NSimSun" w:hAnsi="Times New Roman" w:cs="Times New Roman"/>
          <w:i/>
          <w:color w:val="000000" w:themeColor="text1"/>
          <w:kern w:val="3"/>
          <w:sz w:val="28"/>
          <w:szCs w:val="28"/>
        </w:rPr>
        <w:t xml:space="preserve"> </w:t>
      </w:r>
      <w:r w:rsidRPr="00CC7883">
        <w:rPr>
          <w:rFonts w:ascii="Times New Roman" w:eastAsia="NSimSun" w:hAnsi="Times New Roman" w:cs="Times New Roman"/>
          <w:iCs/>
          <w:color w:val="000000" w:themeColor="text1"/>
          <w:kern w:val="3"/>
          <w:sz w:val="28"/>
          <w:szCs w:val="28"/>
        </w:rPr>
        <w:t xml:space="preserve">та їх приживлюваності. </w:t>
      </w:r>
      <w:r w:rsidRPr="00CC7883">
        <w:rPr>
          <w:rFonts w:ascii="Times New Roman" w:eastAsia="NSimSun" w:hAnsi="Times New Roman" w:cs="Times New Roman"/>
          <w:color w:val="000000" w:themeColor="text1"/>
          <w:kern w:val="3"/>
          <w:sz w:val="28"/>
          <w:szCs w:val="28"/>
        </w:rPr>
        <w:t xml:space="preserve">Чим більшою буде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eastAsia="NSimSun" w:hAnsi="Times New Roman" w:cs="Times New Roman"/>
          <w:color w:val="000000" w:themeColor="text1"/>
          <w:kern w:val="3"/>
          <w:sz w:val="28"/>
          <w:szCs w:val="28"/>
        </w:rPr>
        <w:t>а здатність листків та пагонів мікроклонів винограду на вказаному етапі, тим кращою буде їх приживлюваність.</w:t>
      </w:r>
    </w:p>
    <w:p w:rsidR="005A3F7D" w:rsidRPr="00CC7883" w:rsidRDefault="005A3F7D" w:rsidP="00047411">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lastRenderedPageBreak/>
        <w:t xml:space="preserve">Аналіз динаміки втрати води листками та пагонами мікроклонів винограду </w:t>
      </w:r>
      <w:r w:rsidRPr="00CC7883">
        <w:rPr>
          <w:rFonts w:ascii="Times New Roman" w:eastAsia="NSimSun" w:hAnsi="Times New Roman" w:cs="Times New Roman"/>
          <w:i/>
          <w:color w:val="000000" w:themeColor="text1"/>
          <w:kern w:val="3"/>
          <w:sz w:val="28"/>
          <w:szCs w:val="28"/>
        </w:rPr>
        <w:t>in vitro</w:t>
      </w:r>
      <w:r w:rsidRPr="00CC7883">
        <w:rPr>
          <w:rFonts w:ascii="Times New Roman" w:eastAsia="NSimSun" w:hAnsi="Times New Roman" w:cs="Times New Roman"/>
          <w:color w:val="000000" w:themeColor="text1"/>
          <w:kern w:val="3"/>
          <w:sz w:val="28"/>
          <w:szCs w:val="28"/>
        </w:rPr>
        <w:t xml:space="preserve"> підщепних і технічних сортів, які культивували на поживних середовищах контрольних варіантів показав, що для сортів «Добриня» і «Гарант» кількість випаровуваної води складала для першого варіанту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через 5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0,008 і 0,009 г, 10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0,015 і 0,009 г, 15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0,024 і 0,015 г, 20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0,037 і 0,039 г, 30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0,056 г, 60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0,086 і 0,100 г, а для контролю 2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через 5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0,007 і 0,008 г, 10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0,009 і 0,008 г, 15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0,011 і 0,010 г, 20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0,028 і 0,020 г, 30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0,047 і 0,042 г, 60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0,072 і 0,080 г. Для сортів «Ярило» і «Загрей» цей показник дорівнював через 5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0,008 і 0,007 г, 10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0,010 і 0,009 г, 15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0,023 і 0,013 г, 20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0,046 і 0,022 г, 30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0,068 і 0,042 г, 60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0,125 і 0,061 г, а для контрол</w:t>
      </w:r>
      <w:r w:rsidR="002638BC">
        <w:rPr>
          <w:rFonts w:ascii="Times New Roman" w:eastAsia="NSimSun" w:hAnsi="Times New Roman" w:cs="Times New Roman"/>
          <w:color w:val="000000" w:themeColor="text1"/>
          <w:kern w:val="3"/>
          <w:sz w:val="28"/>
          <w:szCs w:val="28"/>
        </w:rPr>
        <w:t>ю</w:t>
      </w:r>
      <w:r w:rsidRPr="00CC7883">
        <w:rPr>
          <w:rFonts w:ascii="Times New Roman" w:eastAsia="NSimSun" w:hAnsi="Times New Roman" w:cs="Times New Roman"/>
          <w:color w:val="000000" w:themeColor="text1"/>
          <w:kern w:val="3"/>
          <w:sz w:val="28"/>
          <w:szCs w:val="28"/>
        </w:rPr>
        <w:t xml:space="preserve"> 2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через 5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0,005</w:t>
      </w:r>
      <w:r w:rsidR="004D387B"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г, 10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0,008 г, 15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0,010 і 0,009 г, 20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0,0249 і 0,011 г, 30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0,047 і 0,022 г, 60 хв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0,078 і 0,042 г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5.3).</w:t>
      </w:r>
    </w:p>
    <w:p w:rsidR="004D3AE1" w:rsidRDefault="00533A9E" w:rsidP="00047411">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тканинах рослин </w:t>
      </w:r>
      <w:r w:rsidR="001221F9" w:rsidRPr="00CC7883">
        <w:rPr>
          <w:rFonts w:ascii="Times New Roman" w:hAnsi="Times New Roman" w:cs="Times New Roman"/>
          <w:i/>
          <w:iCs/>
          <w:color w:val="000000" w:themeColor="text1"/>
          <w:sz w:val="28"/>
          <w:szCs w:val="28"/>
        </w:rPr>
        <w:t>in vitro</w:t>
      </w:r>
      <w:r w:rsidR="002638BC">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культивованих на структурованих поживних середовищах із агроперлітом, вермикулітом та їх сумішшю (сьомий–дванадцятий варіанти) ці показники зменшувались по відношенню до контрольних значень (перший, другий варіанти).</w:t>
      </w:r>
      <w:r w:rsidR="00071A62">
        <w:rPr>
          <w:rFonts w:ascii="Times New Roman" w:eastAsia="NSimSun" w:hAnsi="Times New Roman" w:cs="Times New Roman"/>
          <w:color w:val="000000" w:themeColor="text1"/>
          <w:kern w:val="3"/>
          <w:sz w:val="28"/>
          <w:szCs w:val="28"/>
        </w:rPr>
        <w:t xml:space="preserve"> </w:t>
      </w:r>
      <w:r w:rsidR="004D387B" w:rsidRPr="00CC7883">
        <w:rPr>
          <w:rFonts w:ascii="Times New Roman" w:eastAsia="NSimSun" w:hAnsi="Times New Roman" w:cs="Times New Roman"/>
          <w:color w:val="000000" w:themeColor="text1"/>
          <w:kern w:val="3"/>
          <w:sz w:val="28"/>
          <w:szCs w:val="28"/>
        </w:rPr>
        <w:t>Так, мікроклони винограду підщепних сортів втрачали в середньому протягом 60 хв – 0,005–0,068 г (сьомий варіант), 0,004–0,049 г (восьмий варіант), 0,005–0,060 г (дев’ятий варіант), 0,004–0,048 г (десятий варіант), 0,004–0,053 г (одинадцятий варіант), 0,004–0,047 г (дванадцятий варіант). Ці показники були нижчими від контрольних у середньому на 32,5–58,3 % (сьомий, дев’ятий, одинадцятий варіанти) і 30,4–53,7 % (восьмий, десятий, дванадцятий варіанти) (через 5 хв), 21,1–46,3 % і 21,7–56,0 % (через 10 хв), 36,0–52,2 % і 8,5–32,3 % (через 15 хв), 7,8–57,4 % і 17,5–54,3 % (через 20 хв), 13,8–47,2 % і 18,3–51,4 % (через 30 хв), 15,6–45,9 % і 28,0–47,7 % (через 60</w:t>
      </w:r>
      <w:r w:rsidR="00584B80" w:rsidRPr="00F62136">
        <w:t xml:space="preserve"> </w:t>
      </w:r>
      <w:r w:rsidR="004D387B" w:rsidRPr="00CC7883">
        <w:rPr>
          <w:rFonts w:ascii="Times New Roman" w:eastAsia="NSimSun" w:hAnsi="Times New Roman" w:cs="Times New Roman"/>
          <w:color w:val="000000" w:themeColor="text1"/>
          <w:kern w:val="3"/>
          <w:sz w:val="28"/>
          <w:szCs w:val="28"/>
        </w:rPr>
        <w:t>хв).</w:t>
      </w:r>
    </w:p>
    <w:p w:rsidR="00071A62" w:rsidRPr="00CC7883" w:rsidRDefault="00071A62" w:rsidP="00047411">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Мікроклони винограду технічних сортів втрачали відповідно протягом 60 хв – 0,006–0,059 г (сьомий варіант), 0,005–0,035 г (восьмий варіант), 0,006–0,042 г (дев’ятий варіант), 0,005–0,024 г (десятий варіант), 0,006–0,030 г (одинадцятий варіант), 0,005–0,013 г (дванадцятий варіант).</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lastRenderedPageBreak/>
        <w:drawing>
          <wp:inline distT="0" distB="0" distL="0" distR="0">
            <wp:extent cx="5426710" cy="1466850"/>
            <wp:effectExtent l="19050" t="0" r="21590" b="0"/>
            <wp:docPr id="894912932" name="Диаграмма 894912932"/>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«Добриня»</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drawing>
          <wp:inline distT="0" distB="0" distL="0" distR="0">
            <wp:extent cx="5426710" cy="1419225"/>
            <wp:effectExtent l="19050" t="0" r="21590" b="0"/>
            <wp:docPr id="894912933" name="Диаграмма 894912933"/>
            <wp:cNvGraphicFramePr/>
            <a:graphic xmlns:a="http://schemas.openxmlformats.org/drawingml/2006/main">
              <a:graphicData uri="http://schemas.openxmlformats.org/drawingml/2006/chart">
                <c:chart xmlns:c="http://schemas.openxmlformats.org/drawingml/2006/chart" xmlns:r="http://schemas.openxmlformats.org/officeDocument/2006/relationships" r:id="rId95"/>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«Гарант»</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drawing>
          <wp:inline distT="0" distB="0" distL="0" distR="0">
            <wp:extent cx="5427023" cy="1508166"/>
            <wp:effectExtent l="19050" t="0" r="21277" b="0"/>
            <wp:docPr id="894912934" name="Диаграмма 894912934"/>
            <wp:cNvGraphicFramePr/>
            <a:graphic xmlns:a="http://schemas.openxmlformats.org/drawingml/2006/main">
              <a:graphicData uri="http://schemas.openxmlformats.org/drawingml/2006/chart">
                <c:chart xmlns:c="http://schemas.openxmlformats.org/drawingml/2006/chart" xmlns:r="http://schemas.openxmlformats.org/officeDocument/2006/relationships" r:id="rId96"/>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«Ярило»</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drawing>
          <wp:inline distT="0" distB="0" distL="0" distR="0">
            <wp:extent cx="5426710" cy="1485900"/>
            <wp:effectExtent l="19050" t="0" r="21590" b="0"/>
            <wp:docPr id="894912935" name="Диаграмма 894912935"/>
            <wp:cNvGraphicFramePr/>
            <a:graphic xmlns:a="http://schemas.openxmlformats.org/drawingml/2006/main">
              <a:graphicData uri="http://schemas.openxmlformats.org/drawingml/2006/chart">
                <c:chart xmlns:c="http://schemas.openxmlformats.org/drawingml/2006/chart" xmlns:r="http://schemas.openxmlformats.org/officeDocument/2006/relationships" r:id="rId97"/>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«Загрей»</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Рис. 5.3. Динаміка втрати води мікроклонами винограду на різних типах поживних середовищ (середнє за 2019–2022 рр.)</w:t>
      </w:r>
    </w:p>
    <w:p w:rsidR="00E926EC" w:rsidRPr="00CC7883" w:rsidRDefault="00E926EC" w:rsidP="00047411">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p>
    <w:p w:rsidR="005A3F7D" w:rsidRPr="00CC7883" w:rsidRDefault="005A3F7D" w:rsidP="0080604F">
      <w:pPr>
        <w:widowControl w:val="0"/>
        <w:autoSpaceDN w:val="0"/>
        <w:spacing w:after="0" w:line="360" w:lineRule="auto"/>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Ці показники були нижчим</w:t>
      </w:r>
      <w:r w:rsidR="0097164D">
        <w:rPr>
          <w:rFonts w:ascii="Times New Roman" w:eastAsia="NSimSun" w:hAnsi="Times New Roman" w:cs="Times New Roman"/>
          <w:color w:val="000000" w:themeColor="text1"/>
          <w:kern w:val="3"/>
          <w:sz w:val="28"/>
          <w:szCs w:val="28"/>
        </w:rPr>
        <w:t>и від контрольних</w:t>
      </w:r>
      <w:r w:rsidR="0080604F">
        <w:rPr>
          <w:rFonts w:ascii="Times New Roman" w:eastAsia="NSimSun" w:hAnsi="Times New Roman" w:cs="Times New Roman"/>
          <w:color w:val="000000" w:themeColor="text1"/>
          <w:kern w:val="3"/>
          <w:sz w:val="28"/>
          <w:szCs w:val="28"/>
        </w:rPr>
        <w:t xml:space="preserve"> у середньому</w:t>
      </w:r>
      <w:r w:rsidRPr="00CC7883">
        <w:rPr>
          <w:rFonts w:ascii="Times New Roman" w:eastAsia="NSimSun" w:hAnsi="Times New Roman" w:cs="Times New Roman"/>
          <w:color w:val="000000" w:themeColor="text1"/>
          <w:kern w:val="3"/>
          <w:sz w:val="28"/>
          <w:szCs w:val="28"/>
        </w:rPr>
        <w:t xml:space="preserve"> на 16,6–26,4 % (сьомий, дев’ятий, одинадцятий варіанти) і 6,1–22,9 % (восьмий, десятий, </w:t>
      </w:r>
      <w:r w:rsidRPr="00CC7883">
        <w:rPr>
          <w:rFonts w:ascii="Times New Roman" w:eastAsia="NSimSun" w:hAnsi="Times New Roman" w:cs="Times New Roman"/>
          <w:color w:val="000000" w:themeColor="text1"/>
          <w:kern w:val="3"/>
          <w:sz w:val="28"/>
          <w:szCs w:val="28"/>
        </w:rPr>
        <w:lastRenderedPageBreak/>
        <w:t>дванадцятий варіанти) (через 5 хв), 10,7–36,6 % і 14,6–46,8 % (через 10 хв), 37,6–60,4 % і 11,6–36,2 % (через 15 хв), 32,5–63,9 % і 13,6–63,3 % (через 20</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хв), 46,1–73,0</w:t>
      </w:r>
      <w:r w:rsidR="004D387B"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і 18,7–79,8 % (через 30 хв), 30,4–74,5 % і 25,7–80,1 % (через 60 хв).</w:t>
      </w:r>
    </w:p>
    <w:p w:rsidR="005A3F7D" w:rsidRPr="00CC7883" w:rsidRDefault="005A3F7D" w:rsidP="00047411">
      <w:pPr>
        <w:widowControl w:val="0"/>
        <w:autoSpaceDN w:val="0"/>
        <w:spacing w:after="0" w:line="360" w:lineRule="auto"/>
        <w:ind w:firstLine="708"/>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мікроклонів винограду на поживних середовищах із препаратами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NSimSun" w:hAnsi="Times New Roman" w:cs="Times New Roman"/>
          <w:color w:val="000000" w:themeColor="text1"/>
          <w:kern w:val="3"/>
          <w:sz w:val="28"/>
          <w:szCs w:val="28"/>
        </w:rPr>
        <w:t xml:space="preserve"> та Радіфарм (третій–шостий варіанти) – показник втрати води був на рівні контролю. Рослини цих варіантів через 5–60 хв втрачали 0,007–0,088</w:t>
      </w:r>
      <w:r w:rsidR="004D387B"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г (третій варіант), 0,006–0,069 г (четвертий варіант), 0,006–0,088 г (п’ятий варіант), 0,005–0,071 г води (шостий варіант) (сорт «Добриня»), 0,008–0,096 г, 0,006–0,081 г, 0,008–0,095 г, 0,005–0,068 г води (сорт «Гарант») та 0,008–0,110</w:t>
      </w:r>
      <w:r w:rsidR="004D387B"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г, 0,005–0,083 г, 0,007–0,097 г, 0,006–0,074 г води (сорт «Ярило»), 0,006–0,065 г, 0,007–0,044 г, 0,007–0,065 г, 0,005–0,048 г води (сорт «Загрей»).</w:t>
      </w:r>
    </w:p>
    <w:p w:rsidR="005A3F7D" w:rsidRPr="00CC7883" w:rsidRDefault="005A3F7D" w:rsidP="00047411">
      <w:pPr>
        <w:widowControl w:val="0"/>
        <w:autoSpaceDN w:val="0"/>
        <w:spacing w:after="0" w:line="360" w:lineRule="auto"/>
        <w:ind w:firstLine="708"/>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Порівняння показників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eastAsia="NSimSun" w:hAnsi="Times New Roman" w:cs="Times New Roman"/>
          <w:color w:val="000000" w:themeColor="text1"/>
          <w:kern w:val="3"/>
          <w:sz w:val="28"/>
          <w:szCs w:val="28"/>
        </w:rPr>
        <w:t xml:space="preserve">ої здатності у тканинах мікроклонів винограду за фітогормональним складом показало, що рослини винограду, які культивували на поживних середовищах із меншим вмістом фітогормонів (ІОК – 0,3 мг/л, 6-БАП – 0,2 мг/л), мали вищу </w:t>
      </w:r>
      <w:r w:rsidR="000852FF" w:rsidRPr="00CC7883">
        <w:rPr>
          <w:rFonts w:ascii="Times New Roman" w:hAnsi="Times New Roman" w:cs="Times New Roman"/>
          <w:color w:val="000000" w:themeColor="text1"/>
          <w:sz w:val="28"/>
          <w:szCs w:val="28"/>
        </w:rPr>
        <w:t>водо</w:t>
      </w:r>
      <w:r w:rsidR="000852FF">
        <w:rPr>
          <w:rFonts w:ascii="Times New Roman" w:hAnsi="Times New Roman" w:cs="Times New Roman"/>
          <w:color w:val="000000" w:themeColor="text1"/>
          <w:sz w:val="28"/>
          <w:szCs w:val="28"/>
        </w:rPr>
        <w:t>у</w:t>
      </w:r>
      <w:r w:rsidR="000852FF" w:rsidRPr="00CC7883">
        <w:rPr>
          <w:rFonts w:ascii="Times New Roman" w:hAnsi="Times New Roman" w:cs="Times New Roman"/>
          <w:color w:val="000000" w:themeColor="text1"/>
          <w:sz w:val="28"/>
          <w:szCs w:val="28"/>
        </w:rPr>
        <w:t>триму</w:t>
      </w:r>
      <w:r w:rsidR="000852FF">
        <w:rPr>
          <w:rFonts w:ascii="Times New Roman" w:hAnsi="Times New Roman" w:cs="Times New Roman"/>
          <w:color w:val="000000" w:themeColor="text1"/>
          <w:sz w:val="28"/>
          <w:szCs w:val="28"/>
        </w:rPr>
        <w:t>вальн</w:t>
      </w:r>
      <w:r w:rsidRPr="00CC7883">
        <w:rPr>
          <w:rFonts w:ascii="Times New Roman" w:eastAsia="NSimSun" w:hAnsi="Times New Roman" w:cs="Times New Roman"/>
          <w:color w:val="000000" w:themeColor="text1"/>
          <w:kern w:val="3"/>
          <w:sz w:val="28"/>
          <w:szCs w:val="28"/>
        </w:rPr>
        <w:t xml:space="preserve">у здатність порівняно з мікроклонами винограду, що культивували на поживних середовищах із більшим вмістом фітогормонів (ІОК – 0,6 мг/л, 6-БАП – 0,5 мг/л). Збільшення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Fonts w:ascii="Times New Roman" w:eastAsia="NSimSun" w:hAnsi="Times New Roman" w:cs="Times New Roman"/>
          <w:color w:val="000000" w:themeColor="text1"/>
          <w:kern w:val="3"/>
          <w:sz w:val="28"/>
          <w:szCs w:val="28"/>
        </w:rPr>
        <w:t>ої здатності досягало 19,1 % (через 5 хв), 36,0 % (через 10 хв), 30,7 % (через 15 хв), 26,1 % (через 20 хв), 25,6 % (через 30 хв), 22,5 % (через 60</w:t>
      </w:r>
      <w:r w:rsidR="001D594D"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хв) для сорту «Добриня»; 14,3 % (через 5 хв), 12,5 % (через 10 хв), 27,3 % (через 15 хв), 46,7 % (через 20 хв), 33,3 % (через 30 хв), 19,0 % (через 60 хв) для сорту «Гарант»; 25,3 % (через 5 хв), 17,6 % (через 10 хв), 36,1 % (через 15 хв), 41,8 % (через 20 хв), 34,2 % (через 30 хв), 33,3 % (через 60 хв) для сорту «Ярило»; 21,7 % (через 5 хв), 20,3 % (через 10 хв), 31,0 % (через 15 хв), 37,1 % (через 20 хв), 35,2 % (через 30 хв), 37,8 % (через 60 хв) для сорту «Загрей».</w:t>
      </w:r>
    </w:p>
    <w:p w:rsidR="005A3F7D" w:rsidRPr="00CC7883" w:rsidRDefault="005A3F7D" w:rsidP="00047411">
      <w:pPr>
        <w:widowControl w:val="0"/>
        <w:autoSpaceDN w:val="0"/>
        <w:spacing w:after="0" w:line="360" w:lineRule="auto"/>
        <w:ind w:firstLine="708"/>
        <w:jc w:val="both"/>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 xml:space="preserve">Отже, наведені результати дослідження свідчать про те, що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Fonts w:ascii="Times New Roman" w:eastAsia="NSimSun" w:hAnsi="Times New Roman" w:cs="Times New Roman"/>
          <w:color w:val="000000" w:themeColor="text1"/>
          <w:kern w:val="3"/>
          <w:sz w:val="28"/>
          <w:szCs w:val="28"/>
        </w:rPr>
        <w:t xml:space="preserve">а здатність тканин мікроклонів винограду на структурованих поживних середовищах була найбільшою, що свідчить про </w:t>
      </w:r>
      <w:r w:rsidRPr="00CC7883">
        <w:rPr>
          <w:rFonts w:ascii="Times New Roman" w:eastAsia="NSimSun" w:hAnsi="Times New Roman" w:cs="Times New Roman"/>
          <w:color w:val="000000" w:themeColor="text1"/>
          <w:kern w:val="3"/>
          <w:sz w:val="28"/>
          <w:szCs w:val="28"/>
        </w:rPr>
        <w:lastRenderedPageBreak/>
        <w:t>потенційно більшу стійкість цих мікроклонів у змінних умовах.</w:t>
      </w:r>
    </w:p>
    <w:p w:rsidR="005A3F7D" w:rsidRPr="00CC7883" w:rsidRDefault="005A3F7D" w:rsidP="00047411">
      <w:pPr>
        <w:widowControl w:val="0"/>
        <w:spacing w:after="0" w:line="360" w:lineRule="auto"/>
        <w:ind w:firstLine="708"/>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i/>
          <w:iCs/>
          <w:color w:val="000000" w:themeColor="text1"/>
          <w:kern w:val="3"/>
          <w:sz w:val="28"/>
          <w:szCs w:val="28"/>
          <w:u w:val="single"/>
        </w:rPr>
        <w:t>Вміст сухих речовин</w:t>
      </w:r>
      <w:r w:rsidRPr="00CC7883">
        <w:rPr>
          <w:rFonts w:ascii="Times New Roman" w:eastAsia="NSimSun" w:hAnsi="Times New Roman" w:cs="Times New Roman"/>
          <w:i/>
          <w:iCs/>
          <w:color w:val="000000" w:themeColor="text1"/>
          <w:kern w:val="3"/>
          <w:sz w:val="28"/>
          <w:szCs w:val="28"/>
        </w:rPr>
        <w:t>.</w:t>
      </w:r>
      <w:r w:rsidR="00540576" w:rsidRPr="00CC7883">
        <w:rPr>
          <w:rFonts w:ascii="Times New Roman" w:eastAsia="NSimSun" w:hAnsi="Times New Roman" w:cs="Times New Roman"/>
          <w:i/>
          <w:iCs/>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В умовах </w:t>
      </w:r>
      <w:r w:rsidR="001221F9" w:rsidRPr="00CC7883">
        <w:rPr>
          <w:rFonts w:ascii="Times New Roman" w:hAnsi="Times New Roman" w:cs="Times New Roman"/>
          <w:i/>
          <w:iCs/>
          <w:color w:val="000000" w:themeColor="text1"/>
          <w:sz w:val="28"/>
          <w:szCs w:val="28"/>
        </w:rPr>
        <w:t>in vitro</w:t>
      </w:r>
      <w:r w:rsidRPr="00CC7883">
        <w:rPr>
          <w:rFonts w:ascii="Times New Roman" w:eastAsia="NSimSun" w:hAnsi="Times New Roman" w:cs="Times New Roman"/>
          <w:color w:val="000000" w:themeColor="text1"/>
          <w:kern w:val="3"/>
          <w:sz w:val="28"/>
          <w:szCs w:val="28"/>
        </w:rPr>
        <w:t xml:space="preserve"> накопичення сухих речовин свідчить про ефективний перебіг обмінних процесів і стабільний ріст рослин, що забезпечує їх кращу адаптацію до умов </w:t>
      </w:r>
      <w:r w:rsidR="001221F9" w:rsidRPr="00CC7883">
        <w:rPr>
          <w:rFonts w:ascii="Times New Roman" w:hAnsi="Times New Roman" w:cs="Times New Roman"/>
          <w:i/>
          <w:color w:val="000000" w:themeColor="text1"/>
          <w:sz w:val="28"/>
          <w:szCs w:val="28"/>
        </w:rPr>
        <w:t>in vivo</w:t>
      </w:r>
      <w:r w:rsidR="001221F9"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w:t>
      </w:r>
      <w:r w:rsidR="00B9668A" w:rsidRPr="00CC7883">
        <w:rPr>
          <w:rFonts w:ascii="Times New Roman" w:eastAsia="NSimSun" w:hAnsi="Times New Roman" w:cs="Times New Roman"/>
          <w:color w:val="000000" w:themeColor="text1"/>
          <w:kern w:val="3"/>
          <w:sz w:val="28"/>
          <w:szCs w:val="28"/>
        </w:rPr>
        <w:t>40</w:t>
      </w:r>
      <w:r w:rsidRPr="00CC7883">
        <w:rPr>
          <w:rFonts w:ascii="Times New Roman" w:eastAsia="NSimSun" w:hAnsi="Times New Roman" w:cs="Times New Roman"/>
          <w:color w:val="000000" w:themeColor="text1"/>
          <w:kern w:val="3"/>
          <w:sz w:val="28"/>
          <w:szCs w:val="28"/>
        </w:rPr>
        <w:t>].</w:t>
      </w:r>
    </w:p>
    <w:p w:rsidR="005A3F7D" w:rsidRPr="00CC7883" w:rsidRDefault="005A3F7D" w:rsidP="00047411">
      <w:pPr>
        <w:widowControl w:val="0"/>
        <w:spacing w:after="0" w:line="360" w:lineRule="auto"/>
        <w:ind w:firstLine="708"/>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Результати наш</w:t>
      </w:r>
      <w:r w:rsidR="00D446B8">
        <w:rPr>
          <w:rFonts w:ascii="Times New Roman" w:eastAsia="NSimSun" w:hAnsi="Times New Roman" w:cs="Times New Roman"/>
          <w:color w:val="000000" w:themeColor="text1"/>
          <w:kern w:val="3"/>
          <w:sz w:val="28"/>
          <w:szCs w:val="28"/>
        </w:rPr>
        <w:t>ого</w:t>
      </w:r>
      <w:r w:rsidRPr="00CC7883">
        <w:rPr>
          <w:rFonts w:ascii="Times New Roman" w:eastAsia="NSimSun" w:hAnsi="Times New Roman" w:cs="Times New Roman"/>
          <w:color w:val="000000" w:themeColor="text1"/>
          <w:kern w:val="3"/>
          <w:sz w:val="28"/>
          <w:szCs w:val="28"/>
        </w:rPr>
        <w:t xml:space="preserve"> досліджен</w:t>
      </w:r>
      <w:r w:rsidR="00D446B8">
        <w:rPr>
          <w:rFonts w:ascii="Times New Roman" w:eastAsia="NSimSun" w:hAnsi="Times New Roman" w:cs="Times New Roman"/>
          <w:color w:val="000000" w:themeColor="text1"/>
          <w:kern w:val="3"/>
          <w:sz w:val="28"/>
          <w:szCs w:val="28"/>
        </w:rPr>
        <w:t>ня</w:t>
      </w:r>
      <w:r w:rsidRPr="00CC7883">
        <w:rPr>
          <w:rFonts w:ascii="Times New Roman" w:eastAsia="NSimSun" w:hAnsi="Times New Roman" w:cs="Times New Roman"/>
          <w:color w:val="000000" w:themeColor="text1"/>
          <w:kern w:val="3"/>
          <w:sz w:val="28"/>
          <w:szCs w:val="28"/>
        </w:rPr>
        <w:t xml:space="preserve"> показали, що кількість сухих речовин у вегетативній </w:t>
      </w:r>
      <w:r w:rsidR="00DF247A" w:rsidRPr="00CC7883">
        <w:rPr>
          <w:rFonts w:ascii="Times New Roman" w:eastAsia="NSimSun" w:hAnsi="Times New Roman" w:cs="Times New Roman"/>
          <w:color w:val="000000" w:themeColor="text1"/>
          <w:kern w:val="3"/>
          <w:sz w:val="28"/>
          <w:szCs w:val="28"/>
        </w:rPr>
        <w:t>надземній</w:t>
      </w:r>
      <w:r w:rsidR="00540576"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масі мікроклонів контрольних варіантів була меншою за показники дослідних варіантів. Вона дорівнювала для мікроклонів сортів </w:t>
      </w:r>
      <w:bookmarkStart w:id="74" w:name="_Hlk213925969"/>
      <w:r w:rsidRPr="00CC7883">
        <w:rPr>
          <w:rFonts w:ascii="Times New Roman" w:eastAsia="NSimSun" w:hAnsi="Times New Roman" w:cs="Times New Roman"/>
          <w:color w:val="000000" w:themeColor="text1"/>
          <w:kern w:val="3"/>
          <w:sz w:val="28"/>
          <w:szCs w:val="28"/>
        </w:rPr>
        <w:t xml:space="preserve">«Добриня»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6,4–7,1 %, «Гарант»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7,2–7,9 %, «Ярило»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5,9–6,6 %, «Загрей»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7,3–8,4 %</w:t>
      </w:r>
      <w:bookmarkEnd w:id="74"/>
      <w:r w:rsidRPr="00CC7883">
        <w:rPr>
          <w:rFonts w:ascii="Times New Roman" w:eastAsia="NSimSun" w:hAnsi="Times New Roman" w:cs="Times New Roman"/>
          <w:color w:val="000000" w:themeColor="text1"/>
          <w:kern w:val="3"/>
          <w:sz w:val="28"/>
          <w:szCs w:val="28"/>
        </w:rPr>
        <w:t xml:space="preserve">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5.1).</w:t>
      </w:r>
    </w:p>
    <w:p w:rsidR="005A3F7D" w:rsidRPr="00CC7883" w:rsidRDefault="005A3F7D" w:rsidP="00047411">
      <w:pPr>
        <w:widowControl w:val="0"/>
        <w:spacing w:after="0" w:line="360" w:lineRule="auto"/>
        <w:ind w:firstLine="708"/>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Найбільше сухих речовин синтезувалось у тканинах мікроклонів, які культивували на структурованих поживних середовищах, із меншим вмістом фітогормонів </w:t>
      </w:r>
      <w:bookmarkStart w:id="75" w:name="_Hlk213926718"/>
      <w:r w:rsidRPr="00CC7883">
        <w:rPr>
          <w:rFonts w:ascii="Times New Roman" w:eastAsia="NSimSun" w:hAnsi="Times New Roman" w:cs="Times New Roman"/>
          <w:color w:val="000000" w:themeColor="text1"/>
          <w:kern w:val="3"/>
          <w:sz w:val="28"/>
          <w:szCs w:val="28"/>
        </w:rPr>
        <w:t xml:space="preserve">(ІОК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0,3 мг/л, 6-БАП </w:t>
      </w:r>
      <w:r w:rsidRPr="00CC7883">
        <w:rPr>
          <w:rFonts w:ascii="Times New Roman" w:hAnsi="Times New Roman" w:cs="Times New Roman"/>
          <w:color w:val="000000" w:themeColor="text1"/>
          <w:sz w:val="28"/>
          <w:szCs w:val="28"/>
        </w:rPr>
        <w:t>–</w:t>
      </w:r>
      <w:r w:rsidRPr="00CC7883">
        <w:rPr>
          <w:rFonts w:ascii="Times New Roman" w:eastAsia="NSimSun" w:hAnsi="Times New Roman" w:cs="Times New Roman"/>
          <w:color w:val="000000" w:themeColor="text1"/>
          <w:kern w:val="3"/>
          <w:sz w:val="28"/>
          <w:szCs w:val="28"/>
        </w:rPr>
        <w:t xml:space="preserve"> 0,2 мг/л)</w:t>
      </w:r>
      <w:bookmarkEnd w:id="75"/>
      <w:r w:rsidRPr="00CC7883">
        <w:rPr>
          <w:rFonts w:ascii="Times New Roman" w:eastAsia="NSimSun" w:hAnsi="Times New Roman" w:cs="Times New Roman"/>
          <w:color w:val="000000" w:themeColor="text1"/>
          <w:kern w:val="3"/>
          <w:sz w:val="28"/>
          <w:szCs w:val="28"/>
        </w:rPr>
        <w:t>. Їх кількість збільшувалась відносно контролю на 7,7–8,8 %, 5,5–6,6 % (підщепні сорти) і 5,5–6,7 %, 5,5–6,5</w:t>
      </w:r>
      <w:r w:rsidR="001D594D"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(технічні сорти) і дорівнювала у середньому 13,4–15,8 % та 12,1–14,9</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 </w:t>
      </w:r>
    </w:p>
    <w:p w:rsidR="005A3F7D" w:rsidRPr="00CC7883" w:rsidRDefault="005A3F7D" w:rsidP="00047411">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У тканинах мікроклонів, які культивували на поживних середовищах MS + БАП, вміст сухих речовин був більшим за контроль на 0,4–1,5 %</w:t>
      </w:r>
      <w:r w:rsidR="00540576"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і 0,6–1,2 %, на 0,2–1,3 % і 0,2–1,4 % і дорівнював 6,8–8,5 % і 6,1–9,1 %.</w:t>
      </w:r>
    </w:p>
    <w:p w:rsidR="00C162EE" w:rsidRPr="00C162EE" w:rsidRDefault="005A3F7D" w:rsidP="00C162EE">
      <w:pPr>
        <w:widowControl w:val="0"/>
        <w:spacing w:after="0" w:line="360" w:lineRule="auto"/>
        <w:ind w:firstLine="708"/>
        <w:jc w:val="both"/>
        <w:rPr>
          <w:rFonts w:ascii="Times New Roman" w:hAnsi="Times New Roman" w:cs="Times New Roman"/>
          <w:color w:val="000000" w:themeColor="text1"/>
          <w:spacing w:val="-10"/>
          <w:sz w:val="28"/>
          <w:szCs w:val="28"/>
        </w:rPr>
      </w:pPr>
      <w:r w:rsidRPr="00CC7883">
        <w:rPr>
          <w:rFonts w:ascii="Times New Roman" w:hAnsi="Times New Roman" w:cs="Times New Roman"/>
          <w:i/>
          <w:iCs/>
          <w:color w:val="000000" w:themeColor="text1"/>
          <w:sz w:val="28"/>
          <w:szCs w:val="28"/>
        </w:rPr>
        <w:t>Поживні субстрати</w:t>
      </w:r>
      <w:r w:rsidRPr="00CC7883">
        <w:rPr>
          <w:rFonts w:ascii="Times New Roman" w:hAnsi="Times New Roman" w:cs="Times New Roman"/>
          <w:color w:val="000000" w:themeColor="text1"/>
          <w:sz w:val="28"/>
          <w:szCs w:val="28"/>
        </w:rPr>
        <w:t>.</w:t>
      </w:r>
      <w:r w:rsidR="00540576"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iCs/>
          <w:color w:val="000000" w:themeColor="text1"/>
          <w:sz w:val="28"/>
          <w:szCs w:val="28"/>
          <w:u w:val="single"/>
        </w:rPr>
        <w:t>Загальне обводнення</w:t>
      </w:r>
      <w:r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color w:val="000000" w:themeColor="text1"/>
          <w:sz w:val="28"/>
          <w:szCs w:val="28"/>
        </w:rPr>
        <w:t>Проведення обліку показників водного режиму мікроклонів винограду на поживних мінеральних субстратах показа</w:t>
      </w:r>
      <w:r w:rsidR="002A6526">
        <w:rPr>
          <w:rFonts w:ascii="Times New Roman" w:hAnsi="Times New Roman" w:cs="Times New Roman"/>
          <w:color w:val="000000" w:themeColor="text1"/>
          <w:sz w:val="28"/>
          <w:szCs w:val="28"/>
        </w:rPr>
        <w:t>ло</w:t>
      </w:r>
      <w:r w:rsidRPr="00CC7883">
        <w:rPr>
          <w:rFonts w:ascii="Times New Roman" w:hAnsi="Times New Roman" w:cs="Times New Roman"/>
          <w:color w:val="000000" w:themeColor="text1"/>
          <w:sz w:val="28"/>
          <w:szCs w:val="28"/>
        </w:rPr>
        <w:t xml:space="preserve"> зменшення вмісту загальної кількості води (обводнення) порівняно з усіма варіантами, де використовували агаризовані поживні середовища </w:t>
      </w:r>
      <w:r w:rsidRPr="00CC7883">
        <w:rPr>
          <w:rFonts w:ascii="Times New Roman" w:eastAsia="NSimSun" w:hAnsi="Times New Roman" w:cs="Times New Roman"/>
          <w:color w:val="000000" w:themeColor="text1"/>
          <w:kern w:val="3"/>
          <w:sz w:val="28"/>
          <w:szCs w:val="28"/>
        </w:rPr>
        <w:t>MS</w:t>
      </w:r>
      <w:r w:rsidRPr="00CC7883">
        <w:rPr>
          <w:rFonts w:ascii="Times New Roman" w:hAnsi="Times New Roman" w:cs="Times New Roman"/>
          <w:color w:val="000000" w:themeColor="text1"/>
          <w:sz w:val="28"/>
          <w:szCs w:val="28"/>
        </w:rPr>
        <w:t xml:space="preserve"> (з БАП та структурованими). </w:t>
      </w:r>
      <w:r w:rsidRPr="00C162EE">
        <w:rPr>
          <w:rFonts w:ascii="Times New Roman" w:hAnsi="Times New Roman" w:cs="Times New Roman"/>
          <w:color w:val="000000" w:themeColor="text1"/>
          <w:spacing w:val="-10"/>
          <w:sz w:val="28"/>
          <w:szCs w:val="28"/>
        </w:rPr>
        <w:t>Мікроклони винограду у контролях (перший, другий варіанти) характеризувалися найбільшим рівнем обводнення</w:t>
      </w:r>
      <w:r w:rsidR="004D387B" w:rsidRPr="00C162EE">
        <w:rPr>
          <w:rFonts w:ascii="Times New Roman" w:hAnsi="Times New Roman" w:cs="Times New Roman"/>
          <w:color w:val="000000" w:themeColor="text1"/>
          <w:spacing w:val="-10"/>
          <w:sz w:val="28"/>
          <w:szCs w:val="28"/>
        </w:rPr>
        <w:t xml:space="preserve"> (</w:t>
      </w:r>
      <w:r w:rsidR="00356530" w:rsidRPr="00C162EE">
        <w:rPr>
          <w:rFonts w:ascii="Times New Roman" w:eastAsia="NSimSun" w:hAnsi="Times New Roman" w:cs="Times New Roman"/>
          <w:color w:val="000000" w:themeColor="text1"/>
          <w:spacing w:val="-10"/>
          <w:kern w:val="3"/>
          <w:sz w:val="28"/>
          <w:szCs w:val="28"/>
          <w:lang w:eastAsia="zh-CN" w:bidi="hi-IN"/>
        </w:rPr>
        <w:t>рис.</w:t>
      </w:r>
      <w:r w:rsidR="00356530" w:rsidRPr="00C162EE">
        <w:rPr>
          <w:rFonts w:ascii="Times New Roman" w:eastAsia="NSimSun" w:hAnsi="Times New Roman" w:cs="Times New Roman"/>
          <w:bCs/>
          <w:color w:val="000000" w:themeColor="text1"/>
          <w:spacing w:val="-10"/>
          <w:kern w:val="3"/>
          <w:sz w:val="28"/>
          <w:szCs w:val="28"/>
          <w:lang w:eastAsia="zh-CN" w:bidi="hi-IN"/>
        </w:rPr>
        <w:t xml:space="preserve"> </w:t>
      </w:r>
      <w:r w:rsidR="004D387B" w:rsidRPr="00C162EE">
        <w:rPr>
          <w:rFonts w:ascii="Times New Roman" w:hAnsi="Times New Roman" w:cs="Times New Roman"/>
          <w:color w:val="000000" w:themeColor="text1"/>
          <w:spacing w:val="-10"/>
          <w:sz w:val="28"/>
          <w:szCs w:val="28"/>
        </w:rPr>
        <w:t>5.4)</w:t>
      </w:r>
      <w:r w:rsidRPr="00C162EE">
        <w:rPr>
          <w:rFonts w:ascii="Times New Roman" w:hAnsi="Times New Roman" w:cs="Times New Roman"/>
          <w:color w:val="000000" w:themeColor="text1"/>
          <w:spacing w:val="-10"/>
          <w:sz w:val="28"/>
          <w:szCs w:val="28"/>
        </w:rPr>
        <w:t xml:space="preserve">. </w:t>
      </w:r>
      <w:r w:rsidR="00C162EE" w:rsidRPr="00C162EE">
        <w:rPr>
          <w:rFonts w:ascii="Times New Roman" w:hAnsi="Times New Roman" w:cs="Times New Roman"/>
          <w:color w:val="000000" w:themeColor="text1"/>
          <w:spacing w:val="-10"/>
          <w:sz w:val="28"/>
          <w:szCs w:val="28"/>
        </w:rPr>
        <w:t>Так, у тканинах мікроклонів винограду підщепних сортів контрольних варіантів загальний вміст води дорівнював 92,7–93,6 % та 92,1–92,8 %; у тканинах мікроклонів, які культивували на агроперліті (третій варіант) вміст води дорівнював 87,2 та 88,9 %; у тканинах мікроклонів, які культивували на вермикуліті (четвертий варіант) – 86,4 та 88,5 %; у тканинах мікроклонів, які культивували на субстраті агроперліт + вермикуліт (п’ятий варіант) – 85,6 та 86,4 %.</w:t>
      </w:r>
    </w:p>
    <w:p w:rsidR="00122934" w:rsidRPr="00CC7883" w:rsidRDefault="00122934" w:rsidP="00047411">
      <w:pPr>
        <w:widowControl w:val="0"/>
        <w:spacing w:after="0" w:line="360" w:lineRule="auto"/>
        <w:ind w:firstLine="708"/>
        <w:jc w:val="both"/>
        <w:rPr>
          <w:rFonts w:ascii="Times New Roman" w:hAnsi="Times New Roman" w:cs="Times New Roman"/>
          <w:color w:val="000000" w:themeColor="text1"/>
          <w:sz w:val="28"/>
          <w:szCs w:val="28"/>
        </w:rPr>
      </w:pP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lang w:eastAsia="zh-CN" w:bidi="hi-IN"/>
        </w:rPr>
      </w:pPr>
      <w:r w:rsidRPr="00CC7883">
        <w:rPr>
          <w:rFonts w:ascii="Times New Roman" w:hAnsi="Times New Roman" w:cs="Times New Roman"/>
          <w:noProof/>
          <w:color w:val="000000" w:themeColor="text1"/>
          <w:lang w:val="ru-RU" w:eastAsia="ru-RU"/>
        </w:rPr>
        <w:drawing>
          <wp:inline distT="0" distB="0" distL="0" distR="0">
            <wp:extent cx="5218603" cy="1650670"/>
            <wp:effectExtent l="19050" t="0" r="20147" b="6680"/>
            <wp:docPr id="1156577649" name="Диаграмма 1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700-00001C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8"/>
              </a:graphicData>
            </a:graphic>
          </wp:inline>
        </w:drawing>
      </w:r>
    </w:p>
    <w:p w:rsidR="006B02F5"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«Добриня»</w:t>
      </w:r>
    </w:p>
    <w:p w:rsidR="005A3F7D" w:rsidRPr="00CC7883" w:rsidRDefault="005A3F7D" w:rsidP="00047411">
      <w:pPr>
        <w:widowControl w:val="0"/>
        <w:autoSpaceDN w:val="0"/>
        <w:spacing w:after="0"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rPr>
        <w:drawing>
          <wp:inline distT="0" distB="0" distL="0" distR="0">
            <wp:extent cx="5269469" cy="1520042"/>
            <wp:effectExtent l="19050" t="0" r="26431" b="3958"/>
            <wp:docPr id="1234349183" name="Диаграмма 1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700-00001D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9"/>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rPr>
        <w:t>«Гарант»</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lang w:eastAsia="zh-CN" w:bidi="hi-IN"/>
        </w:rPr>
      </w:pPr>
      <w:r w:rsidRPr="00CC7883">
        <w:rPr>
          <w:rFonts w:ascii="Times New Roman" w:hAnsi="Times New Roman" w:cs="Times New Roman"/>
          <w:noProof/>
          <w:color w:val="000000" w:themeColor="text1"/>
          <w:lang w:val="ru-RU" w:eastAsia="ru-RU"/>
        </w:rPr>
        <w:drawing>
          <wp:inline distT="0" distB="0" distL="0" distR="0">
            <wp:extent cx="5258674" cy="1555667"/>
            <wp:effectExtent l="19050" t="0" r="18176" b="6433"/>
            <wp:docPr id="1555134218" name="Диаграмма 1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700-00001E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0"/>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rPr>
        <w:t>«Ярило»</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lang w:eastAsia="zh-CN" w:bidi="hi-IN"/>
        </w:rPr>
      </w:pPr>
      <w:r w:rsidRPr="00CC7883">
        <w:rPr>
          <w:rFonts w:ascii="Times New Roman" w:hAnsi="Times New Roman" w:cs="Times New Roman"/>
          <w:noProof/>
          <w:color w:val="000000" w:themeColor="text1"/>
          <w:lang w:val="ru-RU" w:eastAsia="ru-RU"/>
        </w:rPr>
        <w:drawing>
          <wp:inline distT="0" distB="0" distL="0" distR="0">
            <wp:extent cx="5284519" cy="1484415"/>
            <wp:effectExtent l="19050" t="0" r="11381" b="1485"/>
            <wp:docPr id="1087440449" name="Диаграмма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700-00001F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1"/>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rPr>
        <w:t>«Загрей»</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lang w:eastAsia="zh-CN" w:bidi="hi-IN"/>
        </w:rPr>
        <w:t xml:space="preserve">Рис. 5.4. Загальне обводнення </w:t>
      </w:r>
      <w:r w:rsidRPr="00CC7883">
        <w:rPr>
          <w:rFonts w:ascii="Times New Roman" w:eastAsia="NSimSun" w:hAnsi="Times New Roman" w:cs="Times New Roman"/>
          <w:color w:val="000000" w:themeColor="text1"/>
          <w:kern w:val="3"/>
          <w:sz w:val="28"/>
          <w:szCs w:val="28"/>
        </w:rPr>
        <w:t>і вміст сухих речовин у листках, пагонах мікроклонів винограду на різних типах поживних субстратів</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(середнє за 2019–2022 рр.)</w:t>
      </w:r>
    </w:p>
    <w:p w:rsidR="004D387B" w:rsidRPr="00CC7883" w:rsidRDefault="004D387B"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У тканинах мікроклонів винограду технічних сортів контрольних варіантів загальний вміст води дорівнював 93,1–93,8 %, 91,6–92,7 %; у тканинах мікроклонів винограду, які культивували на поживних субстратах</w:t>
      </w:r>
      <w:r w:rsidR="006F6AC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вміст води дорівнював 87,0 % для обох сортів (агроперліт), 87,3 % і 86,9 % (вермикуліт), 85,0 % і 85,8 % (агроперліт + вермикуліт).</w:t>
      </w:r>
    </w:p>
    <w:p w:rsidR="004D387B" w:rsidRPr="00CC7883" w:rsidRDefault="004D387B" w:rsidP="00047411">
      <w:pPr>
        <w:pStyle w:val="StandardWW"/>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Відповідно, показники обводнення у рослин дослідних варіантів порівняно з контролями зменшувались на 3,5–6,0 % (агроперліт), 3,9–6,7 % (вермикуліт), 6,1–7,6 % (агроперліт + вермикуліт) для підщепних сортів та на 5,2–6,4 %, 5,3–6,2 %, 6,4–8,5 % для технічних сортів.</w:t>
      </w:r>
    </w:p>
    <w:p w:rsidR="004D387B" w:rsidRPr="00CC7883" w:rsidRDefault="004D387B" w:rsidP="00047411">
      <w:pPr>
        <w:pStyle w:val="StandardWW"/>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u w:val="single"/>
        </w:rPr>
        <w:t>Вміст легко</w:t>
      </w:r>
      <w:r w:rsidR="00C87671">
        <w:rPr>
          <w:rFonts w:ascii="Times New Roman" w:hAnsi="Times New Roman" w:cs="Times New Roman"/>
          <w:i/>
          <w:iCs/>
          <w:color w:val="000000" w:themeColor="text1"/>
          <w:sz w:val="28"/>
          <w:szCs w:val="28"/>
          <w:u w:val="single"/>
        </w:rPr>
        <w:t>у</w:t>
      </w:r>
      <w:r w:rsidRPr="00CC7883">
        <w:rPr>
          <w:rFonts w:ascii="Times New Roman" w:hAnsi="Times New Roman" w:cs="Times New Roman"/>
          <w:i/>
          <w:iCs/>
          <w:color w:val="000000" w:themeColor="text1"/>
          <w:sz w:val="28"/>
          <w:szCs w:val="28"/>
          <w:u w:val="single"/>
        </w:rPr>
        <w:t>триму</w:t>
      </w:r>
      <w:r w:rsidR="00C87671">
        <w:rPr>
          <w:rFonts w:ascii="Times New Roman" w:hAnsi="Times New Roman" w:cs="Times New Roman"/>
          <w:i/>
          <w:iCs/>
          <w:color w:val="000000" w:themeColor="text1"/>
          <w:sz w:val="28"/>
          <w:szCs w:val="28"/>
          <w:u w:val="single"/>
        </w:rPr>
        <w:t>ван</w:t>
      </w:r>
      <w:r w:rsidRPr="00CC7883">
        <w:rPr>
          <w:rFonts w:ascii="Times New Roman" w:hAnsi="Times New Roman" w:cs="Times New Roman"/>
          <w:i/>
          <w:iCs/>
          <w:color w:val="000000" w:themeColor="text1"/>
          <w:sz w:val="28"/>
          <w:szCs w:val="28"/>
          <w:u w:val="single"/>
        </w:rPr>
        <w:t>ої води.</w:t>
      </w:r>
      <w:r w:rsidRPr="00CC7883">
        <w:rPr>
          <w:rFonts w:ascii="Times New Roman" w:hAnsi="Times New Roman" w:cs="Times New Roman"/>
          <w:color w:val="000000" w:themeColor="text1"/>
          <w:sz w:val="28"/>
          <w:szCs w:val="28"/>
        </w:rPr>
        <w:t xml:space="preserve"> У результаті експериментальних визначень було встановлено, що вміст легко</w:t>
      </w:r>
      <w:r w:rsidR="00C87671">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триму</w:t>
      </w:r>
      <w:r w:rsidR="00C87671">
        <w:rPr>
          <w:rFonts w:ascii="Times New Roman" w:hAnsi="Times New Roman" w:cs="Times New Roman"/>
          <w:color w:val="000000" w:themeColor="text1"/>
          <w:sz w:val="28"/>
          <w:szCs w:val="28"/>
        </w:rPr>
        <w:t>ван</w:t>
      </w:r>
      <w:r w:rsidRPr="00CC7883">
        <w:rPr>
          <w:rFonts w:ascii="Times New Roman" w:hAnsi="Times New Roman" w:cs="Times New Roman"/>
          <w:color w:val="000000" w:themeColor="text1"/>
          <w:sz w:val="28"/>
          <w:szCs w:val="28"/>
        </w:rPr>
        <w:t xml:space="preserve">ої води в клітинних структурах мікроклонів винограду змінювався </w:t>
      </w:r>
      <w:r w:rsidR="006D0AD9">
        <w:rPr>
          <w:rFonts w:ascii="Times New Roman" w:hAnsi="Times New Roman" w:cs="Times New Roman"/>
          <w:color w:val="000000" w:themeColor="text1"/>
          <w:sz w:val="28"/>
          <w:szCs w:val="28"/>
        </w:rPr>
        <w:t>залежно</w:t>
      </w:r>
      <w:r w:rsidRPr="00CC7883">
        <w:rPr>
          <w:rFonts w:ascii="Times New Roman" w:hAnsi="Times New Roman" w:cs="Times New Roman"/>
          <w:color w:val="000000" w:themeColor="text1"/>
          <w:sz w:val="28"/>
          <w:szCs w:val="28"/>
        </w:rPr>
        <w:t xml:space="preserve"> від використаного для культивування субстрату.</w:t>
      </w:r>
    </w:p>
    <w:p w:rsidR="005A3F7D" w:rsidRPr="00CC7883" w:rsidRDefault="005A3F7D"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Так, у мікроклонів підщепних сортів, які культивували на агроперліті</w:t>
      </w:r>
      <w:r w:rsidR="006D0AD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Pr="00CC7883">
        <w:rPr>
          <w:rFonts w:ascii="Times New Roman" w:hAnsi="Times New Roman" w:cs="Times New Roman"/>
          <w:color w:val="000000" w:themeColor="text1"/>
          <w:sz w:val="28"/>
          <w:szCs w:val="28"/>
        </w:rPr>
        <w:t>уючої води дорівнював 39,5 % та 36,1 %, що було менше контрольних значень на 2,9–4,1 % (відносно першого варіанту) та 2,3–2,9 % (відносно другого варіанту). У контролі 1 цей показник дорівнював 42,4 та 40,2 % і у контролі 2 відповідно 41,8 та 39,0 %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szCs w:val="28"/>
        </w:rPr>
        <w:t>5.5).</w:t>
      </w:r>
      <w:r w:rsidR="00F66506" w:rsidRPr="00CC7883">
        <w:rPr>
          <w:rFonts w:ascii="Times New Roman" w:hAnsi="Times New Roman" w:cs="Times New Roman"/>
          <w:color w:val="000000" w:themeColor="text1"/>
          <w:sz w:val="28"/>
          <w:szCs w:val="28"/>
        </w:rPr>
        <w:t xml:space="preserve"> </w:t>
      </w:r>
    </w:p>
    <w:p w:rsidR="005A3F7D" w:rsidRPr="00CC7883" w:rsidRDefault="005A3F7D" w:rsidP="00047411">
      <w:pPr>
        <w:pStyle w:val="StandardWW"/>
        <w:suppressAutoHyphens w:val="0"/>
        <w:spacing w:line="360" w:lineRule="auto"/>
        <w:jc w:val="both"/>
        <w:rPr>
          <w:rFonts w:ascii="Times New Roman" w:hAnsi="Times New Roman" w:cs="Times New Roman"/>
          <w:color w:val="000000" w:themeColor="text1"/>
          <w:sz w:val="28"/>
          <w:szCs w:val="28"/>
        </w:rPr>
      </w:pPr>
      <w:r w:rsidRPr="00CC7883">
        <w:rPr>
          <w:rFonts w:ascii="Times New Roman" w:hAnsi="Times New Roman" w:cs="Times New Roman"/>
          <w:noProof/>
          <w:color w:val="000000" w:themeColor="text1"/>
          <w:lang w:val="ru-RU" w:eastAsia="ru-RU" w:bidi="ar-SA"/>
        </w:rPr>
        <w:drawing>
          <wp:inline distT="0" distB="0" distL="0" distR="0">
            <wp:extent cx="5914423" cy="2992582"/>
            <wp:effectExtent l="19050" t="0" r="10127" b="0"/>
            <wp:docPr id="15" name="Диаграмма 1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969B5E4D-ABFA-B4BA-B43C-460B4409968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2"/>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bCs/>
          <w:color w:val="000000" w:themeColor="text1"/>
          <w:kern w:val="3"/>
          <w:sz w:val="28"/>
          <w:szCs w:val="28"/>
          <w:lang w:eastAsia="zh-CN" w:bidi="hi-IN"/>
        </w:rPr>
      </w:pPr>
      <w:r w:rsidRPr="00CC7883">
        <w:rPr>
          <w:rFonts w:ascii="Times New Roman" w:eastAsia="NSimSun" w:hAnsi="Times New Roman" w:cs="Times New Roman"/>
          <w:bCs/>
          <w:color w:val="000000" w:themeColor="text1"/>
          <w:kern w:val="3"/>
          <w:sz w:val="28"/>
          <w:szCs w:val="28"/>
          <w:lang w:eastAsia="zh-CN" w:bidi="hi-IN"/>
        </w:rPr>
        <w:t xml:space="preserve">Рис. 5.5. 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bCs/>
          <w:color w:val="000000" w:themeColor="text1"/>
          <w:kern w:val="3"/>
          <w:sz w:val="28"/>
          <w:szCs w:val="28"/>
          <w:lang w:eastAsia="zh-CN" w:bidi="hi-IN"/>
        </w:rPr>
        <w:t xml:space="preserve"> води у листках і пагонах мікроклонів винограду на різних типах поживних субстратів (середнє за 2019–</w:t>
      </w:r>
      <w:r w:rsidRPr="00CC7883">
        <w:rPr>
          <w:rFonts w:ascii="Times New Roman" w:eastAsia="NSimSun" w:hAnsi="Times New Roman" w:cs="Times New Roman"/>
          <w:color w:val="000000" w:themeColor="text1"/>
          <w:kern w:val="3"/>
          <w:sz w:val="28"/>
          <w:szCs w:val="28"/>
        </w:rPr>
        <w:t>2022</w:t>
      </w:r>
      <w:r w:rsidRPr="00CC7883">
        <w:rPr>
          <w:rFonts w:ascii="Times New Roman" w:eastAsia="NSimSun" w:hAnsi="Times New Roman" w:cs="Times New Roman"/>
          <w:bCs/>
          <w:color w:val="000000" w:themeColor="text1"/>
          <w:kern w:val="3"/>
          <w:sz w:val="28"/>
          <w:szCs w:val="28"/>
          <w:lang w:eastAsia="zh-CN" w:bidi="hi-IN"/>
        </w:rPr>
        <w:t xml:space="preserve"> рр.)</w:t>
      </w:r>
    </w:p>
    <w:p w:rsidR="00C162EE" w:rsidRDefault="00C162EE" w:rsidP="00C162EE">
      <w:pPr>
        <w:pStyle w:val="StandardWW"/>
        <w:suppressAutoHyphens w:val="0"/>
        <w:spacing w:line="360" w:lineRule="auto"/>
        <w:ind w:firstLine="708"/>
        <w:jc w:val="both"/>
        <w:rPr>
          <w:rFonts w:ascii="Times New Roman" w:hAnsi="Times New Roman" w:cs="Times New Roman"/>
          <w:color w:val="000000" w:themeColor="text1"/>
          <w:sz w:val="28"/>
          <w:szCs w:val="28"/>
        </w:rPr>
      </w:pPr>
    </w:p>
    <w:p w:rsidR="00C162EE" w:rsidRPr="00CC7883" w:rsidRDefault="00C162EE" w:rsidP="00C162EE">
      <w:pPr>
        <w:pStyle w:val="StandardWW"/>
        <w:suppressAutoHyphens w:val="0"/>
        <w:spacing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Для технічних сортів показник у контролі становив 41,8–43,6 % і 40,0–42,8 %, що було </w:t>
      </w:r>
      <w:r>
        <w:rPr>
          <w:rFonts w:ascii="Times New Roman" w:hAnsi="Times New Roman" w:cs="Times New Roman"/>
          <w:color w:val="000000" w:themeColor="text1"/>
          <w:sz w:val="28"/>
          <w:szCs w:val="28"/>
        </w:rPr>
        <w:t>більше</w:t>
      </w:r>
      <w:r w:rsidRPr="00CC7883">
        <w:rPr>
          <w:rFonts w:ascii="Times New Roman" w:hAnsi="Times New Roman" w:cs="Times New Roman"/>
          <w:color w:val="000000" w:themeColor="text1"/>
          <w:sz w:val="28"/>
          <w:szCs w:val="28"/>
        </w:rPr>
        <w:t xml:space="preserve"> порівняно зі значеннями показника легко</w:t>
      </w:r>
      <w:r>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трим</w:t>
      </w:r>
      <w:r>
        <w:rPr>
          <w:rFonts w:ascii="Times New Roman" w:hAnsi="Times New Roman" w:cs="Times New Roman"/>
          <w:color w:val="000000" w:themeColor="text1"/>
          <w:sz w:val="28"/>
          <w:szCs w:val="28"/>
        </w:rPr>
        <w:t>уван</w:t>
      </w:r>
      <w:r w:rsidRPr="00CC7883">
        <w:rPr>
          <w:rFonts w:ascii="Times New Roman" w:hAnsi="Times New Roman" w:cs="Times New Roman"/>
          <w:color w:val="000000" w:themeColor="text1"/>
          <w:sz w:val="28"/>
          <w:szCs w:val="28"/>
        </w:rPr>
        <w:t>ої води у рослин, які культивували на агроперліті, відповідно на 2,4–4,7 % і 1,6–2,9 %. У мікроклонів, які культивували на вермикуліті, цей показник дорівнював 33,0–36,1 % (підщепні сорти) і 39,9–41,8 % (технічні сорти), що було менше контрольних значень на 5,7–6,3 % («Добриня») і 6,0–7,2 % («Гарант»), 1,0–1,8 % («</w:t>
      </w:r>
      <w:r w:rsidRPr="00C162EE">
        <w:rPr>
          <w:rFonts w:ascii="Times New Roman" w:hAnsi="Times New Roman" w:cs="Times New Roman"/>
          <w:color w:val="000000" w:themeColor="text1"/>
          <w:sz w:val="28"/>
          <w:szCs w:val="28"/>
        </w:rPr>
        <w:t>Ярило») і 0,1–1,9 % («Загрей»).</w:t>
      </w:r>
      <w:r w:rsidRPr="00CC7883">
        <w:rPr>
          <w:rFonts w:ascii="Times New Roman" w:hAnsi="Times New Roman" w:cs="Times New Roman"/>
          <w:color w:val="000000" w:themeColor="text1"/>
          <w:sz w:val="28"/>
          <w:szCs w:val="28"/>
        </w:rPr>
        <w:t xml:space="preserve"> </w:t>
      </w:r>
    </w:p>
    <w:p w:rsidR="00F66506" w:rsidRPr="00CC7883" w:rsidRDefault="00F66506" w:rsidP="00C162EE">
      <w:pPr>
        <w:widowControl w:val="0"/>
        <w:autoSpaceDN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мікроклонів, які культивували на суміші субстратів агроперліт + вермикуліт (1:1) – цей показник дорівнював відповідно 35,0–32,4 % і 41,0–34,5 %, що було менше контрольних значень на 6,8–7,4 % і 6,6–7,8 % (підщепні сорти), 1,8–2,6 % і 5,5–7,3 % (технічні сорти).</w:t>
      </w:r>
    </w:p>
    <w:p w:rsidR="005A3F7D" w:rsidRDefault="005A3F7D"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u w:val="single"/>
        </w:rPr>
        <w:t>Водо</w:t>
      </w:r>
      <w:r w:rsidR="0044228C">
        <w:rPr>
          <w:rFonts w:ascii="Times New Roman" w:hAnsi="Times New Roman" w:cs="Times New Roman"/>
          <w:i/>
          <w:iCs/>
          <w:color w:val="000000" w:themeColor="text1"/>
          <w:sz w:val="28"/>
          <w:szCs w:val="28"/>
          <w:u w:val="single"/>
        </w:rPr>
        <w:t>у</w:t>
      </w:r>
      <w:r w:rsidRPr="00CC7883">
        <w:rPr>
          <w:rFonts w:ascii="Times New Roman" w:hAnsi="Times New Roman" w:cs="Times New Roman"/>
          <w:i/>
          <w:iCs/>
          <w:color w:val="000000" w:themeColor="text1"/>
          <w:sz w:val="28"/>
          <w:szCs w:val="28"/>
          <w:u w:val="single"/>
        </w:rPr>
        <w:t>триму</w:t>
      </w:r>
      <w:r w:rsidR="0044228C">
        <w:rPr>
          <w:rFonts w:ascii="Times New Roman" w:hAnsi="Times New Roman" w:cs="Times New Roman"/>
          <w:i/>
          <w:iCs/>
          <w:color w:val="000000" w:themeColor="text1"/>
          <w:sz w:val="28"/>
          <w:szCs w:val="28"/>
          <w:u w:val="single"/>
        </w:rPr>
        <w:t>вальн</w:t>
      </w:r>
      <w:r w:rsidRPr="00CC7883">
        <w:rPr>
          <w:rFonts w:ascii="Times New Roman" w:hAnsi="Times New Roman" w:cs="Times New Roman"/>
          <w:i/>
          <w:iCs/>
          <w:color w:val="000000" w:themeColor="text1"/>
          <w:sz w:val="28"/>
          <w:szCs w:val="28"/>
          <w:u w:val="single"/>
        </w:rPr>
        <w:t>а здатність</w:t>
      </w:r>
      <w:r w:rsidRPr="00CC7883">
        <w:rPr>
          <w:rFonts w:ascii="Times New Roman" w:eastAsia="NSimSun" w:hAnsi="Times New Roman" w:cs="Times New Roman"/>
          <w:i/>
          <w:iCs/>
          <w:color w:val="000000" w:themeColor="text1"/>
          <w:kern w:val="3"/>
          <w:sz w:val="28"/>
          <w:szCs w:val="28"/>
        </w:rPr>
        <w:t xml:space="preserve">. </w:t>
      </w:r>
      <w:r w:rsidRPr="00CC7883">
        <w:rPr>
          <w:rFonts w:ascii="Times New Roman" w:hAnsi="Times New Roman" w:cs="Times New Roman"/>
          <w:color w:val="000000" w:themeColor="text1"/>
          <w:sz w:val="28"/>
          <w:szCs w:val="28"/>
        </w:rPr>
        <w:t xml:space="preserve">Після 60 діб культивування мікроклонів винограду на мінеральних субстратах так само визначали показники </w:t>
      </w:r>
      <w:r w:rsidRPr="00CC7883">
        <w:rPr>
          <w:rFonts w:ascii="Times New Roman" w:hAnsi="Times New Roman" w:cs="Times New Roman"/>
          <w:i/>
          <w:color w:val="000000" w:themeColor="text1"/>
          <w:sz w:val="28"/>
          <w:szCs w:val="28"/>
        </w:rPr>
        <w:t>водо</w:t>
      </w:r>
      <w:r w:rsidR="0044228C">
        <w:rPr>
          <w:rFonts w:ascii="Times New Roman" w:hAnsi="Times New Roman" w:cs="Times New Roman"/>
          <w:i/>
          <w:color w:val="000000" w:themeColor="text1"/>
          <w:sz w:val="28"/>
          <w:szCs w:val="28"/>
        </w:rPr>
        <w:t>у</w:t>
      </w:r>
      <w:r w:rsidRPr="00CC7883">
        <w:rPr>
          <w:rFonts w:ascii="Times New Roman" w:hAnsi="Times New Roman" w:cs="Times New Roman"/>
          <w:i/>
          <w:color w:val="000000" w:themeColor="text1"/>
          <w:sz w:val="28"/>
          <w:szCs w:val="28"/>
        </w:rPr>
        <w:t>триму</w:t>
      </w:r>
      <w:r w:rsidR="0044228C">
        <w:rPr>
          <w:rFonts w:ascii="Times New Roman" w:hAnsi="Times New Roman" w:cs="Times New Roman"/>
          <w:i/>
          <w:color w:val="000000" w:themeColor="text1"/>
          <w:sz w:val="28"/>
          <w:szCs w:val="28"/>
        </w:rPr>
        <w:t>вальн</w:t>
      </w:r>
      <w:r w:rsidRPr="00CC7883">
        <w:rPr>
          <w:rFonts w:ascii="Times New Roman" w:hAnsi="Times New Roman" w:cs="Times New Roman"/>
          <w:i/>
          <w:color w:val="000000" w:themeColor="text1"/>
          <w:sz w:val="28"/>
          <w:szCs w:val="28"/>
        </w:rPr>
        <w:t xml:space="preserve">ої здатності </w:t>
      </w:r>
      <w:r w:rsidRPr="00CC7883">
        <w:rPr>
          <w:rFonts w:ascii="Times New Roman" w:hAnsi="Times New Roman" w:cs="Times New Roman"/>
          <w:color w:val="000000" w:themeColor="text1"/>
          <w:sz w:val="28"/>
          <w:szCs w:val="28"/>
        </w:rPr>
        <w:t xml:space="preserve">вегетативної </w:t>
      </w:r>
      <w:r w:rsidR="00DF247A" w:rsidRPr="00CC7883">
        <w:rPr>
          <w:rFonts w:ascii="Times New Roman" w:eastAsia="NSimSun" w:hAnsi="Times New Roman" w:cs="Times New Roman"/>
          <w:color w:val="000000" w:themeColor="text1"/>
          <w:kern w:val="3"/>
          <w:sz w:val="28"/>
          <w:szCs w:val="28"/>
        </w:rPr>
        <w:t>надземної</w:t>
      </w:r>
      <w:r w:rsidR="00AB77B3" w:rsidRPr="00CC7883">
        <w:rPr>
          <w:rFonts w:ascii="Times New Roman" w:eastAsia="NSimSun" w:hAnsi="Times New Roman" w:cs="Times New Roman"/>
          <w:color w:val="000000" w:themeColor="text1"/>
          <w:kern w:val="3"/>
          <w:sz w:val="28"/>
          <w:szCs w:val="28"/>
        </w:rPr>
        <w:t xml:space="preserve"> </w:t>
      </w:r>
      <w:r w:rsidRPr="00CC7883">
        <w:rPr>
          <w:rFonts w:ascii="Times New Roman" w:hAnsi="Times New Roman" w:cs="Times New Roman"/>
          <w:color w:val="000000" w:themeColor="text1"/>
          <w:sz w:val="28"/>
          <w:szCs w:val="28"/>
        </w:rPr>
        <w:t xml:space="preserve">маси. Згідно отриманих результатів встановлено, що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а здатність листків та пагонів мікроклонів винограду на мінеральних субстратах була вищою за контрольні значення і може вказувати на вищий адаптаційний потенціал рослин в умовах </w:t>
      </w:r>
      <w:r w:rsidR="00894C28" w:rsidRPr="00CC7883">
        <w:rPr>
          <w:rFonts w:ascii="Times New Roman" w:eastAsia="NSimSun" w:hAnsi="Times New Roman" w:cs="Times New Roman"/>
          <w:i/>
          <w:iCs/>
          <w:color w:val="000000" w:themeColor="text1"/>
          <w:kern w:val="3"/>
          <w:sz w:val="28"/>
          <w:szCs w:val="28"/>
        </w:rPr>
        <w:t>in vivo</w:t>
      </w:r>
      <w:r w:rsidR="00173614" w:rsidRPr="00CC7883">
        <w:rPr>
          <w:rFonts w:ascii="Times New Roman" w:hAnsi="Times New Roman" w:cs="Times New Roman"/>
          <w:color w:val="000000" w:themeColor="text1"/>
          <w:sz w:val="28"/>
          <w:szCs w:val="28"/>
        </w:rPr>
        <w:t xml:space="preserve">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00173614" w:rsidRPr="00CC7883">
        <w:rPr>
          <w:rFonts w:ascii="Times New Roman" w:hAnsi="Times New Roman" w:cs="Times New Roman"/>
          <w:color w:val="000000" w:themeColor="text1"/>
          <w:sz w:val="28"/>
          <w:szCs w:val="28"/>
        </w:rPr>
        <w:t>5.6).</w:t>
      </w:r>
    </w:p>
    <w:p w:rsidR="00C162EE" w:rsidRPr="00CC7883" w:rsidRDefault="00C162EE" w:rsidP="00C162EE">
      <w:pPr>
        <w:pStyle w:val="StandardWW"/>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Аналіз динаміки втрати води листками та пагонами мікроклонів винограду сорту «Добриня» у контрольних варіантах показав, що кількість випаровуваної води коливалась від 0,008 г через 5 хв до 0,080 г через 60 хв (перший варіант), від 0,006 г через 5 хв до 0,076 г через 60 хв (другий варіант); для сорту «Гарант» відповідно – від 0,008 г через 5 хв до 0,101 г через 60 хв, від 0,008 г через 5 хв до 0,075 г через 60 хв</w:t>
      </w:r>
      <w:r>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У сорту «Ярило» випаровувалось води від 0,007 г через 5 хв до 0,123 г через 60 хв, від 0,005 г через 5 хв до 0,079 г через 60 хв; для сорту «Загрей» втрати води складали від 0,006 г через 5 хв до 0,062 г через 60 хв, від 0,005 г через 5 хв до 0,042 г через 60 хв.</w:t>
      </w:r>
    </w:p>
    <w:p w:rsidR="00C162EE" w:rsidRPr="00CC7883" w:rsidRDefault="00C162EE" w:rsidP="00047411">
      <w:pPr>
        <w:widowControl w:val="0"/>
        <w:spacing w:after="0" w:line="360" w:lineRule="auto"/>
        <w:ind w:firstLine="708"/>
        <w:jc w:val="both"/>
        <w:rPr>
          <w:rFonts w:ascii="Times New Roman" w:eastAsia="NSimSun" w:hAnsi="Times New Roman" w:cs="Times New Roman"/>
          <w:i/>
          <w:iCs/>
          <w:color w:val="000000" w:themeColor="text1"/>
          <w:kern w:val="3"/>
          <w:sz w:val="28"/>
          <w:szCs w:val="28"/>
        </w:rPr>
      </w:pP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noProof/>
          <w:color w:val="000000" w:themeColor="text1"/>
          <w:lang w:val="ru-RU" w:eastAsia="ru-RU" w:bidi="ar-SA"/>
        </w:rPr>
        <w:lastRenderedPageBreak/>
        <w:drawing>
          <wp:inline distT="0" distB="0" distL="0" distR="0">
            <wp:extent cx="5177006" cy="1757548"/>
            <wp:effectExtent l="19050" t="0" r="23644" b="0"/>
            <wp:docPr id="1540113860" name="Диаграмма 1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82A097B7-5116-8842-D96C-8A53A00B703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3"/>
              </a:graphicData>
            </a:graphic>
          </wp:inline>
        </w:drawing>
      </w:r>
    </w:p>
    <w:p w:rsidR="00446760" w:rsidRPr="00CC7883" w:rsidRDefault="005A3F7D" w:rsidP="00047411">
      <w:pPr>
        <w:pStyle w:val="StandardWW"/>
        <w:suppressAutoHyphens w:val="0"/>
        <w:spacing w:line="360" w:lineRule="auto"/>
        <w:jc w:val="center"/>
        <w:rPr>
          <w:rFonts w:ascii="Times New Roman" w:hAnsi="Times New Roman" w:cs="Times New Roman"/>
          <w:color w:val="000000" w:themeColor="text1"/>
          <w:lang w:eastAsia="en-US" w:bidi="ar-SA"/>
        </w:rPr>
      </w:pPr>
      <w:r w:rsidRPr="00CC7883">
        <w:rPr>
          <w:rFonts w:ascii="Times New Roman" w:hAnsi="Times New Roman" w:cs="Times New Roman"/>
          <w:color w:val="000000" w:themeColor="text1"/>
          <w:sz w:val="28"/>
          <w:szCs w:val="28"/>
        </w:rPr>
        <w:t>«Добриня»</w:t>
      </w:r>
    </w:p>
    <w:p w:rsidR="00A6064E" w:rsidRPr="00CC7883" w:rsidRDefault="005A3F7D" w:rsidP="00047411">
      <w:pPr>
        <w:pStyle w:val="StandardWW"/>
        <w:suppressAutoHyphens w:val="0"/>
        <w:spacing w:line="360" w:lineRule="auto"/>
        <w:jc w:val="center"/>
        <w:rPr>
          <w:rFonts w:ascii="Times New Roman" w:hAnsi="Times New Roman" w:cs="Times New Roman"/>
          <w:color w:val="000000" w:themeColor="text1"/>
          <w:lang w:eastAsia="en-US" w:bidi="ar-SA"/>
        </w:rPr>
      </w:pPr>
      <w:r w:rsidRPr="00CC7883">
        <w:rPr>
          <w:rFonts w:ascii="Times New Roman" w:hAnsi="Times New Roman" w:cs="Times New Roman"/>
          <w:noProof/>
          <w:color w:val="000000" w:themeColor="text1"/>
          <w:lang w:val="ru-RU" w:eastAsia="ru-RU" w:bidi="ar-SA"/>
        </w:rPr>
        <w:drawing>
          <wp:inline distT="0" distB="0" distL="0" distR="0">
            <wp:extent cx="5167481" cy="1757548"/>
            <wp:effectExtent l="19050" t="0" r="14119" b="0"/>
            <wp:docPr id="17" name="Диаграмма 1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2C498D5F-C83B-8A7A-A305-27C5C8334D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4"/>
              </a:graphicData>
            </a:graphic>
          </wp:inline>
        </w:drawing>
      </w:r>
    </w:p>
    <w:p w:rsidR="00A6064E" w:rsidRPr="00CC7883" w:rsidRDefault="00A6064E" w:rsidP="00047411">
      <w:pPr>
        <w:pStyle w:val="StandardWW"/>
        <w:suppressAutoHyphens w:val="0"/>
        <w:spacing w:line="360" w:lineRule="auto"/>
        <w:jc w:val="center"/>
        <w:rPr>
          <w:rFonts w:ascii="Times New Roman" w:hAnsi="Times New Roman" w:cs="Times New Roman"/>
          <w:color w:val="000000" w:themeColor="text1"/>
          <w:lang w:eastAsia="en-US" w:bidi="ar-SA"/>
        </w:rPr>
      </w:pPr>
      <w:r w:rsidRPr="00CC7883">
        <w:rPr>
          <w:rFonts w:ascii="Times New Roman" w:hAnsi="Times New Roman" w:cs="Times New Roman"/>
          <w:color w:val="000000" w:themeColor="text1"/>
          <w:sz w:val="28"/>
          <w:szCs w:val="28"/>
        </w:rPr>
        <w:t>«Гарант»</w:t>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noProof/>
          <w:color w:val="000000" w:themeColor="text1"/>
          <w:lang w:val="ru-RU" w:eastAsia="ru-RU" w:bidi="ar-SA"/>
        </w:rPr>
        <w:drawing>
          <wp:inline distT="0" distB="0" distL="0" distR="0">
            <wp:extent cx="5194407" cy="1769423"/>
            <wp:effectExtent l="19050" t="0" r="25293" b="2227"/>
            <wp:docPr id="18" name="Диаграмма 1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E0C95789-8D16-1BE7-3E57-7CAFB84B4BE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5"/>
              </a:graphicData>
            </a:graphic>
          </wp:inline>
        </w:drawing>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«Ярило»</w:t>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noProof/>
          <w:color w:val="000000" w:themeColor="text1"/>
          <w:lang w:val="ru-RU" w:eastAsia="ru-RU" w:bidi="ar-SA"/>
        </w:rPr>
        <w:drawing>
          <wp:inline distT="0" distB="0" distL="0" distR="0">
            <wp:extent cx="5194407" cy="1650670"/>
            <wp:effectExtent l="19050" t="0" r="25293" b="6680"/>
            <wp:docPr id="19" name="Диаграмма 1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8DB079CC-82B7-09DE-B342-B4EB71102AD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6"/>
              </a:graphicData>
            </a:graphic>
          </wp:inline>
        </w:drawing>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«Загрей»</w:t>
      </w:r>
    </w:p>
    <w:p w:rsidR="005A3F7D" w:rsidRPr="00CC7883" w:rsidRDefault="005A3F7D" w:rsidP="00047411">
      <w:pPr>
        <w:widowControl w:val="0"/>
        <w:spacing w:after="0" w:line="360" w:lineRule="auto"/>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Рис. 5.6. Динаміка втрати води мікроклонами винограду на різних типах поживних субстратів (середнє за 2019–</w:t>
      </w:r>
      <w:r w:rsidRPr="00CC7883">
        <w:rPr>
          <w:rFonts w:ascii="Times New Roman" w:eastAsia="NSimSun" w:hAnsi="Times New Roman" w:cs="Times New Roman"/>
          <w:color w:val="000000" w:themeColor="text1"/>
          <w:kern w:val="3"/>
          <w:sz w:val="28"/>
          <w:szCs w:val="28"/>
        </w:rPr>
        <w:t>2022</w:t>
      </w:r>
      <w:r w:rsidRPr="00CC7883">
        <w:rPr>
          <w:rFonts w:ascii="Times New Roman" w:hAnsi="Times New Roman" w:cs="Times New Roman"/>
          <w:bCs/>
          <w:color w:val="000000" w:themeColor="text1"/>
          <w:sz w:val="28"/>
          <w:szCs w:val="28"/>
        </w:rPr>
        <w:t xml:space="preserve"> рр.)</w:t>
      </w:r>
    </w:p>
    <w:p w:rsidR="00173614" w:rsidRPr="00CC7883" w:rsidRDefault="00173614" w:rsidP="00047411">
      <w:pPr>
        <w:pStyle w:val="StandardWW"/>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Мікроклони винограду підщепних сортів, які культивували на поживних субстратах агроперліт, вермикуліт, агроперліт + вермикуліт (третій–п’ятий варіанти), за проміжок часу від 5 до 60 хв підсушування випаровували від 0,007 до 0,055 г (третій варіант), від 0,006 до 0,052 г (четвертий варіант), від 0,007 до 0,038 г (п’ятий варіант).</w:t>
      </w:r>
    </w:p>
    <w:p w:rsidR="00173614" w:rsidRPr="00CC7883" w:rsidRDefault="00173614" w:rsidP="00047411">
      <w:pPr>
        <w:pStyle w:val="StandardWW"/>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Мікроклони винограду технічних сортів через вказані проміжки часу випаровували відповідно 0,005–0,053 г, 0,007–0,049 г, 0,005–0,040 г. Порівняно з контролем в середньому це в 1,1–2,4 раз</w:t>
      </w:r>
      <w:r w:rsidR="000F7714">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(підщепні сорти) та в 1,4–2,2 раз</w:t>
      </w:r>
      <w:r w:rsidR="000F7714">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(технічні сорти) менше.</w:t>
      </w:r>
    </w:p>
    <w:p w:rsidR="005A3F7D" w:rsidRPr="00CC7883" w:rsidRDefault="005A3F7D" w:rsidP="00047411">
      <w:pPr>
        <w:widowControl w:val="0"/>
        <w:spacing w:after="0" w:line="360" w:lineRule="auto"/>
        <w:ind w:firstLine="708"/>
        <w:jc w:val="both"/>
        <w:rPr>
          <w:rFonts w:ascii="Times New Roman" w:hAnsi="Times New Roman" w:cs="Times New Roman"/>
          <w:color w:val="000000" w:themeColor="text1"/>
          <w:sz w:val="28"/>
          <w:szCs w:val="28"/>
        </w:rPr>
      </w:pPr>
      <w:r w:rsidRPr="00CC7883">
        <w:rPr>
          <w:rFonts w:ascii="Times New Roman" w:eastAsia="NSimSun" w:hAnsi="Times New Roman" w:cs="Times New Roman"/>
          <w:i/>
          <w:iCs/>
          <w:color w:val="000000" w:themeColor="text1"/>
          <w:kern w:val="3"/>
          <w:sz w:val="28"/>
          <w:szCs w:val="28"/>
          <w:u w:val="single"/>
        </w:rPr>
        <w:t>Вміст сухих речовин</w:t>
      </w:r>
      <w:r w:rsidRPr="00CC7883">
        <w:rPr>
          <w:rFonts w:ascii="Times New Roman" w:eastAsia="NSimSun" w:hAnsi="Times New Roman" w:cs="Times New Roman"/>
          <w:i/>
          <w:iCs/>
          <w:color w:val="000000" w:themeColor="text1"/>
          <w:kern w:val="3"/>
          <w:sz w:val="28"/>
          <w:szCs w:val="28"/>
        </w:rPr>
        <w:t xml:space="preserve">. </w:t>
      </w:r>
      <w:r w:rsidRPr="00CC7883">
        <w:rPr>
          <w:rFonts w:ascii="Times New Roman" w:hAnsi="Times New Roman" w:cs="Times New Roman"/>
          <w:color w:val="000000" w:themeColor="text1"/>
          <w:sz w:val="28"/>
          <w:szCs w:val="28"/>
        </w:rPr>
        <w:t>У листках і пагонах мікроклонів винограду після культивування на мінеральних субстратах вміст сухих речовин у підщепних і технічних сортів становив: 11,1–13,0 % на агроперліті, 11,5–13,6 % на вермикуліті та 13,6–15,0 % на суміші агроперліт + вермикуліт. Порівняно з контролем ці показники збільшилися відповідно на 3,5–6,4 %, 3,9–6,7 % і 6,1–8,5 %.</w:t>
      </w:r>
    </w:p>
    <w:p w:rsidR="005A3F7D" w:rsidRPr="00CC7883" w:rsidRDefault="005A3F7D" w:rsidP="00047411">
      <w:pPr>
        <w:pStyle w:val="StandardWW"/>
        <w:suppressAutoHyphens w:val="0"/>
        <w:spacing w:line="360" w:lineRule="auto"/>
        <w:ind w:firstLine="709"/>
        <w:jc w:val="both"/>
        <w:rPr>
          <w:rFonts w:ascii="Times New Roman" w:hAnsi="Times New Roman" w:cs="Times New Roman"/>
          <w:color w:val="000000" w:themeColor="text1"/>
          <w:sz w:val="28"/>
          <w:szCs w:val="28"/>
        </w:rPr>
      </w:pPr>
    </w:p>
    <w:p w:rsidR="005A3F7D" w:rsidRPr="00CC7883" w:rsidRDefault="005A3F7D" w:rsidP="00047411">
      <w:pPr>
        <w:widowControl w:val="0"/>
        <w:spacing w:after="0" w:line="360" w:lineRule="auto"/>
        <w:ind w:firstLine="709"/>
        <w:jc w:val="both"/>
        <w:outlineLvl w:val="2"/>
        <w:rPr>
          <w:rFonts w:ascii="Times New Roman" w:hAnsi="Times New Roman" w:cs="Times New Roman"/>
          <w:b/>
          <w:bCs/>
          <w:color w:val="000000" w:themeColor="text1"/>
          <w:sz w:val="28"/>
          <w:szCs w:val="28"/>
        </w:rPr>
      </w:pPr>
      <w:bookmarkStart w:id="76" w:name="_Toc220058945"/>
      <w:r w:rsidRPr="00CC7883">
        <w:rPr>
          <w:rFonts w:ascii="Times New Roman" w:hAnsi="Times New Roman" w:cs="Times New Roman"/>
          <w:b/>
          <w:bCs/>
          <w:color w:val="000000" w:themeColor="text1"/>
          <w:sz w:val="28"/>
          <w:szCs w:val="28"/>
        </w:rPr>
        <w:t>5.1.2. Інтенсивність транспірації</w:t>
      </w:r>
      <w:bookmarkEnd w:id="76"/>
      <w:r w:rsidRPr="00CC7883">
        <w:rPr>
          <w:rFonts w:ascii="Times New Roman" w:hAnsi="Times New Roman" w:cs="Times New Roman"/>
          <w:b/>
          <w:bCs/>
          <w:color w:val="000000" w:themeColor="text1"/>
          <w:sz w:val="28"/>
          <w:szCs w:val="28"/>
        </w:rPr>
        <w:t xml:space="preserve"> </w:t>
      </w:r>
    </w:p>
    <w:p w:rsidR="005A3F7D" w:rsidRPr="00CC7883" w:rsidRDefault="005A3F7D" w:rsidP="00047411">
      <w:pPr>
        <w:widowControl w:val="0"/>
        <w:spacing w:after="0" w:line="360" w:lineRule="auto"/>
        <w:ind w:firstLine="709"/>
        <w:jc w:val="both"/>
        <w:rPr>
          <w:rFonts w:ascii="Times New Roman" w:hAnsi="Times New Roman" w:cs="Times New Roman"/>
          <w:b/>
          <w:bCs/>
          <w:i/>
          <w:iCs/>
          <w:color w:val="000000" w:themeColor="text1"/>
          <w:sz w:val="28"/>
          <w:szCs w:val="28"/>
        </w:rPr>
      </w:pPr>
    </w:p>
    <w:p w:rsidR="005A3F7D" w:rsidRPr="00CC7883" w:rsidRDefault="005A3F7D" w:rsidP="00047411">
      <w:pPr>
        <w:widowControl w:val="0"/>
        <w:spacing w:after="0" w:line="360" w:lineRule="auto"/>
        <w:ind w:firstLine="709"/>
        <w:jc w:val="both"/>
        <w:rPr>
          <w:rFonts w:ascii="Times New Roman" w:hAnsi="Times New Roman" w:cs="Times New Roman"/>
          <w:color w:val="000000" w:themeColor="text1"/>
        </w:rPr>
      </w:pPr>
      <w:r w:rsidRPr="00CC7883">
        <w:rPr>
          <w:rFonts w:ascii="Times New Roman" w:hAnsi="Times New Roman" w:cs="Times New Roman"/>
          <w:i/>
          <w:iCs/>
          <w:color w:val="000000" w:themeColor="text1"/>
          <w:sz w:val="28"/>
          <w:szCs w:val="28"/>
        </w:rPr>
        <w:t xml:space="preserve">Поживні середовища. </w:t>
      </w:r>
      <w:r w:rsidRPr="00CC7883">
        <w:rPr>
          <w:rFonts w:ascii="Times New Roman" w:hAnsi="Times New Roman" w:cs="Times New Roman"/>
          <w:i/>
          <w:iCs/>
          <w:color w:val="000000" w:themeColor="text1"/>
          <w:sz w:val="28"/>
          <w:szCs w:val="28"/>
          <w:u w:val="single"/>
        </w:rPr>
        <w:t>Інтенсивність транспірації вегетативної надземної маси</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iCs/>
          <w:color w:val="000000" w:themeColor="text1"/>
          <w:sz w:val="28"/>
          <w:szCs w:val="28"/>
        </w:rPr>
        <w:t xml:space="preserve">Транспірація – </w:t>
      </w:r>
      <w:r w:rsidRPr="00CC7883">
        <w:rPr>
          <w:rFonts w:ascii="Times New Roman" w:hAnsi="Times New Roman" w:cs="Times New Roman"/>
          <w:color w:val="000000" w:themeColor="text1"/>
          <w:sz w:val="28"/>
          <w:szCs w:val="28"/>
        </w:rPr>
        <w:t>це процес</w:t>
      </w:r>
      <w:r w:rsidR="000D071E"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випаровування води з поверхні рослини, переважно через продихи, а також кутикулу. Інтенсивність транспірації (швидкість випаровування води з площі поверхні листка за одиницю часу) залежить від багатьох факторів, у т.</w:t>
      </w:r>
      <w:r w:rsidR="008467A4">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ч. температури, освітлення, водопостачання тощо. </w:t>
      </w:r>
    </w:p>
    <w:p w:rsidR="00F36B46" w:rsidRPr="00CC7883"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Визначення інтенсивності транспірації вегетативної </w:t>
      </w:r>
      <w:r w:rsidR="00DF247A" w:rsidRPr="00CC7883">
        <w:rPr>
          <w:rFonts w:ascii="Times New Roman" w:hAnsi="Times New Roman" w:cs="Times New Roman"/>
          <w:color w:val="000000" w:themeColor="text1"/>
          <w:sz w:val="28"/>
          <w:szCs w:val="28"/>
        </w:rPr>
        <w:t>надземної</w:t>
      </w:r>
      <w:r w:rsidR="007073CE"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маси показало, що найбільших значень вона набувала у рослин контрольних варіантів (перший, другий варіанти) через 5 і 10 хв – 2,8 і 10,0 </w:t>
      </w:r>
      <w:bookmarkStart w:id="77" w:name="_Hlk213931825"/>
      <w:r w:rsidR="00B65F64">
        <w:rPr>
          <w:rFonts w:ascii="Times New Roman" w:eastAsia="Andale Sans UI" w:hAnsi="Times New Roman" w:cs="Times New Roman"/>
          <w:color w:val="000000" w:themeColor="text1"/>
          <w:sz w:val="28"/>
          <w:szCs w:val="28"/>
        </w:rPr>
        <w:t>г/</w:t>
      </w:r>
      <w:r w:rsidRPr="00CC7883">
        <w:rPr>
          <w:rFonts w:ascii="Times New Roman" w:eastAsia="Andale Sans UI" w:hAnsi="Times New Roman" w:cs="Times New Roman"/>
          <w:color w:val="000000" w:themeColor="text1"/>
          <w:sz w:val="28"/>
          <w:szCs w:val="28"/>
        </w:rPr>
        <w:t>(м</w:t>
      </w:r>
      <w:r w:rsidRPr="00CC7883">
        <w:rPr>
          <w:rFonts w:ascii="Times New Roman" w:eastAsia="Andale Sans UI" w:hAnsi="Times New Roman" w:cs="Times New Roman"/>
          <w:color w:val="000000" w:themeColor="text1"/>
          <w:sz w:val="28"/>
          <w:szCs w:val="28"/>
          <w:vertAlign w:val="superscript"/>
        </w:rPr>
        <w:t>2</w:t>
      </w:r>
      <w:r w:rsidRPr="00CC7883">
        <w:rPr>
          <w:rFonts w:ascii="Times New Roman" w:eastAsia="Andale Sans UI" w:hAnsi="Times New Roman" w:cs="Times New Roman"/>
          <w:color w:val="000000" w:themeColor="text1"/>
          <w:sz w:val="28"/>
          <w:szCs w:val="28"/>
        </w:rPr>
        <w:t>×год)</w:t>
      </w:r>
      <w:bookmarkEnd w:id="77"/>
      <w:r w:rsidRPr="00CC7883">
        <w:rPr>
          <w:rFonts w:ascii="Times New Roman" w:eastAsia="Andale Sans UI" w:hAnsi="Times New Roman" w:cs="Times New Roman"/>
          <w:color w:val="000000" w:themeColor="text1"/>
          <w:sz w:val="28"/>
          <w:szCs w:val="28"/>
        </w:rPr>
        <w:t xml:space="preserve">; 2,2 і 6,4 </w:t>
      </w:r>
      <w:r w:rsidR="00B65F64">
        <w:rPr>
          <w:rFonts w:ascii="Times New Roman" w:eastAsia="Andale Sans UI" w:hAnsi="Times New Roman" w:cs="Times New Roman"/>
          <w:color w:val="000000" w:themeColor="text1"/>
          <w:sz w:val="28"/>
          <w:szCs w:val="28"/>
        </w:rPr>
        <w:t>г/</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Pr="00CC7883">
        <w:rPr>
          <w:rFonts w:ascii="Times New Roman" w:eastAsia="Andale Sans UI"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«Добриня»</w:t>
      </w:r>
      <w:r w:rsidRPr="00CC7883">
        <w:rPr>
          <w:rFonts w:ascii="Times New Roman" w:eastAsia="Andale Sans UI" w:hAnsi="Times New Roman" w:cs="Times New Roman"/>
          <w:color w:val="000000" w:themeColor="text1"/>
          <w:sz w:val="28"/>
          <w:szCs w:val="28"/>
        </w:rPr>
        <w:t xml:space="preserve">), 2,7 і 6,0 </w:t>
      </w:r>
      <w:r w:rsidR="00B65F64">
        <w:rPr>
          <w:rFonts w:ascii="Times New Roman" w:eastAsia="Andale Sans UI" w:hAnsi="Times New Roman" w:cs="Times New Roman"/>
          <w:color w:val="000000" w:themeColor="text1"/>
          <w:sz w:val="28"/>
          <w:szCs w:val="28"/>
        </w:rPr>
        <w:t>г/</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Pr="00CC7883">
        <w:rPr>
          <w:rFonts w:ascii="Times New Roman" w:eastAsia="Andale Sans UI" w:hAnsi="Times New Roman" w:cs="Times New Roman"/>
          <w:color w:val="000000" w:themeColor="text1"/>
          <w:sz w:val="28"/>
          <w:szCs w:val="28"/>
        </w:rPr>
        <w:t xml:space="preserve">; 2,6 і 5,5 </w:t>
      </w:r>
      <w:r w:rsidR="00B65F64">
        <w:rPr>
          <w:rFonts w:ascii="Times New Roman" w:eastAsia="Andale Sans UI" w:hAnsi="Times New Roman" w:cs="Times New Roman"/>
          <w:color w:val="000000" w:themeColor="text1"/>
          <w:sz w:val="28"/>
          <w:szCs w:val="28"/>
        </w:rPr>
        <w:t>г/</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Pr="00CC7883">
        <w:rPr>
          <w:rFonts w:ascii="Times New Roman" w:eastAsia="Andale Sans UI"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«Гарант»</w:t>
      </w:r>
      <w:r w:rsidRPr="00CC7883">
        <w:rPr>
          <w:rFonts w:ascii="Times New Roman" w:eastAsia="Andale Sans UI" w:hAnsi="Times New Roman" w:cs="Times New Roman"/>
          <w:color w:val="000000" w:themeColor="text1"/>
          <w:sz w:val="28"/>
          <w:szCs w:val="28"/>
        </w:rPr>
        <w:t xml:space="preserve">), 2,6 і 6,8 </w:t>
      </w:r>
      <w:r w:rsidR="00B65F64">
        <w:rPr>
          <w:rFonts w:ascii="Times New Roman" w:eastAsia="Andale Sans UI" w:hAnsi="Times New Roman" w:cs="Times New Roman"/>
          <w:color w:val="000000" w:themeColor="text1"/>
          <w:sz w:val="28"/>
          <w:szCs w:val="28"/>
        </w:rPr>
        <w:t>г/</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Pr="00CC7883">
        <w:rPr>
          <w:rFonts w:ascii="Times New Roman" w:eastAsia="Andale Sans UI" w:hAnsi="Times New Roman" w:cs="Times New Roman"/>
          <w:color w:val="000000" w:themeColor="text1"/>
          <w:sz w:val="28"/>
          <w:szCs w:val="28"/>
        </w:rPr>
        <w:t xml:space="preserve">; 1,9 і 5,9 </w:t>
      </w:r>
      <w:r w:rsidR="00B65F64">
        <w:rPr>
          <w:rFonts w:ascii="Times New Roman" w:eastAsia="Andale Sans UI" w:hAnsi="Times New Roman" w:cs="Times New Roman"/>
          <w:color w:val="000000" w:themeColor="text1"/>
          <w:sz w:val="28"/>
          <w:szCs w:val="28"/>
        </w:rPr>
        <w:t>г/</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Pr="00CC7883">
        <w:rPr>
          <w:rFonts w:ascii="Times New Roman" w:eastAsia="Andale Sans UI"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«Ярило»</w:t>
      </w:r>
      <w:r w:rsidRPr="00CC7883">
        <w:rPr>
          <w:rFonts w:ascii="Times New Roman" w:eastAsia="Andale Sans UI" w:hAnsi="Times New Roman" w:cs="Times New Roman"/>
          <w:color w:val="000000" w:themeColor="text1"/>
          <w:sz w:val="28"/>
          <w:szCs w:val="28"/>
        </w:rPr>
        <w:t>), 2,1 і 5,9</w:t>
      </w:r>
      <w:r w:rsidR="00EA4B1F" w:rsidRPr="00CC7883">
        <w:rPr>
          <w:rFonts w:ascii="Times New Roman" w:eastAsia="Andale Sans UI" w:hAnsi="Times New Roman" w:cs="Times New Roman"/>
          <w:color w:val="000000" w:themeColor="text1"/>
          <w:sz w:val="28"/>
          <w:szCs w:val="28"/>
        </w:rPr>
        <w:t> </w:t>
      </w:r>
      <w:r w:rsidR="00B65F64">
        <w:rPr>
          <w:rFonts w:ascii="Times New Roman" w:eastAsia="Andale Sans UI" w:hAnsi="Times New Roman" w:cs="Times New Roman"/>
          <w:color w:val="000000" w:themeColor="text1"/>
          <w:sz w:val="28"/>
          <w:szCs w:val="28"/>
        </w:rPr>
        <w:t>г/</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Pr="00CC7883">
        <w:rPr>
          <w:rFonts w:ascii="Times New Roman" w:eastAsia="Andale Sans UI" w:hAnsi="Times New Roman" w:cs="Times New Roman"/>
          <w:color w:val="000000" w:themeColor="text1"/>
          <w:sz w:val="28"/>
          <w:szCs w:val="28"/>
        </w:rPr>
        <w:t xml:space="preserve">; 1,9 і 5,8 </w:t>
      </w:r>
      <w:r w:rsidR="00E939FC" w:rsidRPr="00CC7883">
        <w:rPr>
          <w:rFonts w:ascii="Times New Roman" w:eastAsia="Andale Sans UI" w:hAnsi="Times New Roman" w:cs="Times New Roman"/>
          <w:color w:val="000000" w:themeColor="text1"/>
          <w:sz w:val="28"/>
          <w:szCs w:val="28"/>
        </w:rPr>
        <w:t>г</w:t>
      </w:r>
      <w:r w:rsidR="00B65F64">
        <w:rPr>
          <w:rFonts w:ascii="Times New Roman" w:eastAsia="Andale Sans UI" w:hAnsi="Times New Roman" w:cs="Times New Roman"/>
          <w:color w:val="000000" w:themeColor="text1"/>
          <w:sz w:val="28"/>
          <w:szCs w:val="28"/>
        </w:rPr>
        <w:t>/</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Pr="00CC7883">
        <w:rPr>
          <w:rFonts w:ascii="Times New Roman" w:eastAsia="Andale Sans UI"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«Загрей»</w:t>
      </w:r>
      <w:r w:rsidRPr="00CC7883">
        <w:rPr>
          <w:rFonts w:ascii="Times New Roman" w:eastAsia="Andale Sans UI" w:hAnsi="Times New Roman" w:cs="Times New Roman"/>
          <w:color w:val="000000" w:themeColor="text1"/>
          <w:sz w:val="28"/>
          <w:szCs w:val="28"/>
        </w:rPr>
        <w:t>)</w:t>
      </w:r>
      <w:r w:rsidRPr="00CC7883">
        <w:rPr>
          <w:rFonts w:ascii="Times New Roman" w:hAnsi="Times New Roman" w:cs="Times New Roman"/>
          <w:color w:val="000000" w:themeColor="text1"/>
          <w:sz w:val="28"/>
          <w:szCs w:val="28"/>
        </w:rPr>
        <w:t>. У мікроклонів винограду сорту «Добриня» третього–</w:t>
      </w:r>
      <w:r w:rsidRPr="00CC7883">
        <w:rPr>
          <w:rFonts w:ascii="Times New Roman" w:hAnsi="Times New Roman" w:cs="Times New Roman"/>
          <w:color w:val="000000" w:themeColor="text1"/>
          <w:sz w:val="28"/>
          <w:szCs w:val="28"/>
        </w:rPr>
        <w:lastRenderedPageBreak/>
        <w:t xml:space="preserve">шостого варіантів (застосування БАП) інтенсивність транспірації досягала через 5 і 10 хв – 1,6 і 8,3 </w:t>
      </w:r>
      <w:r w:rsidR="00B65F64">
        <w:rPr>
          <w:rFonts w:ascii="Times New Roman" w:eastAsia="Andale Sans UI" w:hAnsi="Times New Roman" w:cs="Times New Roman"/>
          <w:color w:val="000000" w:themeColor="text1"/>
          <w:sz w:val="28"/>
          <w:szCs w:val="28"/>
        </w:rPr>
        <w:t>г/</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 xml:space="preserve">, 1,5 і 7,3 </w:t>
      </w:r>
      <w:r w:rsidR="00B65F64">
        <w:rPr>
          <w:rFonts w:ascii="Times New Roman" w:eastAsia="Andale Sans UI" w:hAnsi="Times New Roman" w:cs="Times New Roman"/>
          <w:color w:val="000000" w:themeColor="text1"/>
          <w:sz w:val="28"/>
          <w:szCs w:val="28"/>
        </w:rPr>
        <w:t>г/</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 xml:space="preserve">, 1,3 і 7,7 </w:t>
      </w:r>
      <w:r w:rsidR="00B65F64">
        <w:rPr>
          <w:rFonts w:ascii="Times New Roman" w:eastAsia="Andale Sans UI" w:hAnsi="Times New Roman" w:cs="Times New Roman"/>
          <w:color w:val="000000" w:themeColor="text1"/>
          <w:sz w:val="28"/>
          <w:szCs w:val="28"/>
        </w:rPr>
        <w:t>г/</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 xml:space="preserve">, 1,2 і 4,7 </w:t>
      </w:r>
      <w:r w:rsidR="00B65F64">
        <w:rPr>
          <w:rFonts w:ascii="Times New Roman" w:eastAsia="Andale Sans UI" w:hAnsi="Times New Roman" w:cs="Times New Roman"/>
          <w:color w:val="000000" w:themeColor="text1"/>
          <w:sz w:val="28"/>
          <w:szCs w:val="28"/>
        </w:rPr>
        <w:t>г/</w:t>
      </w:r>
      <w:r w:rsidR="00E939FC" w:rsidRPr="00CC7883">
        <w:rPr>
          <w:rFonts w:ascii="Times New Roman" w:eastAsia="Andale Sans UI" w:hAnsi="Times New Roman" w:cs="Times New Roman"/>
          <w:color w:val="000000" w:themeColor="text1"/>
          <w:sz w:val="28"/>
          <w:szCs w:val="28"/>
        </w:rPr>
        <w:t>(м</w:t>
      </w:r>
      <w:r w:rsidR="00E939FC" w:rsidRPr="00CC7883">
        <w:rPr>
          <w:rFonts w:ascii="Times New Roman" w:eastAsia="Andale Sans UI" w:hAnsi="Times New Roman" w:cs="Times New Roman"/>
          <w:color w:val="000000" w:themeColor="text1"/>
          <w:sz w:val="28"/>
          <w:szCs w:val="28"/>
          <w:vertAlign w:val="superscript"/>
        </w:rPr>
        <w:t>2</w:t>
      </w:r>
      <w:r w:rsidR="00E939FC" w:rsidRPr="00CC7883">
        <w:rPr>
          <w:rFonts w:ascii="Times New Roman" w:eastAsia="Andale Sans UI" w:hAnsi="Times New Roman" w:cs="Times New Roman"/>
          <w:color w:val="000000" w:themeColor="text1"/>
          <w:sz w:val="28"/>
          <w:szCs w:val="28"/>
        </w:rPr>
        <w:t>×год)</w:t>
      </w:r>
      <w:r w:rsidR="00A32DD2" w:rsidRPr="00A32DD2">
        <w:rPr>
          <w:rFonts w:ascii="Times New Roman" w:eastAsia="Andale Sans UI" w:hAnsi="Times New Roman" w:cs="Times New Roman"/>
          <w:color w:val="000000" w:themeColor="text1"/>
          <w:sz w:val="28"/>
          <w:szCs w:val="28"/>
        </w:rPr>
        <w:t xml:space="preserve"> </w:t>
      </w:r>
      <w:r w:rsidR="00A32DD2" w:rsidRPr="00CC7883">
        <w:rPr>
          <w:rFonts w:ascii="Times New Roman" w:eastAsia="Andale Sans UI" w:hAnsi="Times New Roman" w:cs="Times New Roman"/>
          <w:color w:val="000000" w:themeColor="text1"/>
          <w:sz w:val="28"/>
          <w:szCs w:val="28"/>
        </w:rPr>
        <w:t>(</w:t>
      </w:r>
      <w:r w:rsidR="00A32DD2" w:rsidRPr="00CC7883">
        <w:rPr>
          <w:rFonts w:ascii="Times New Roman" w:hAnsi="Times New Roman" w:cs="Times New Roman"/>
          <w:color w:val="000000" w:themeColor="text1"/>
          <w:sz w:val="28"/>
          <w:szCs w:val="28"/>
        </w:rPr>
        <w:t>рис.</w:t>
      </w:r>
      <w:r w:rsidR="00A32DD2" w:rsidRPr="00CC7883">
        <w:rPr>
          <w:rFonts w:ascii="Times New Roman" w:hAnsi="Times New Roman" w:cs="Times New Roman"/>
          <w:bCs/>
          <w:color w:val="000000" w:themeColor="text1"/>
          <w:sz w:val="28"/>
          <w:szCs w:val="28"/>
        </w:rPr>
        <w:t xml:space="preserve"> </w:t>
      </w:r>
      <w:r w:rsidR="00A32DD2" w:rsidRPr="00CC7883">
        <w:rPr>
          <w:rFonts w:ascii="Times New Roman" w:eastAsia="Andale Sans UI" w:hAnsi="Times New Roman" w:cs="Times New Roman"/>
          <w:color w:val="000000" w:themeColor="text1"/>
          <w:sz w:val="28"/>
          <w:szCs w:val="28"/>
        </w:rPr>
        <w:t>5.7)</w:t>
      </w:r>
      <w:r w:rsidR="00F36B46" w:rsidRPr="00CC7883">
        <w:rPr>
          <w:rFonts w:ascii="Times New Roman" w:hAnsi="Times New Roman" w:cs="Times New Roman"/>
          <w:color w:val="000000" w:themeColor="text1"/>
          <w:sz w:val="28"/>
          <w:szCs w:val="28"/>
        </w:rPr>
        <w:t>.</w:t>
      </w:r>
    </w:p>
    <w:p w:rsidR="00D44F55" w:rsidRPr="00CC7883" w:rsidRDefault="00D44F55" w:rsidP="00047411">
      <w:pPr>
        <w:widowControl w:val="0"/>
        <w:spacing w:after="0"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rPr>
        <w:drawing>
          <wp:inline distT="0" distB="0" distL="0" distR="0">
            <wp:extent cx="4722495" cy="1465580"/>
            <wp:effectExtent l="19050" t="0" r="20955" b="1270"/>
            <wp:docPr id="30"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7"/>
              </a:graphicData>
            </a:graphic>
          </wp:inline>
        </w:drawing>
      </w:r>
    </w:p>
    <w:p w:rsidR="00D44F55" w:rsidRPr="00CC7883" w:rsidRDefault="00D44F55"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«Добриня»</w:t>
      </w:r>
    </w:p>
    <w:p w:rsidR="00D44F55" w:rsidRPr="00CC7883" w:rsidRDefault="00D44F55"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4756785" cy="1477010"/>
            <wp:effectExtent l="19050" t="0" r="24765" b="8890"/>
            <wp:docPr id="31"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8"/>
              </a:graphicData>
            </a:graphic>
          </wp:inline>
        </w:drawing>
      </w:r>
    </w:p>
    <w:p w:rsidR="00D44F55" w:rsidRPr="00CC7883" w:rsidRDefault="00D44F55"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«Гарант»</w:t>
      </w:r>
    </w:p>
    <w:p w:rsidR="00D44F55" w:rsidRPr="00CC7883" w:rsidRDefault="00D44F55"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4788535" cy="1570237"/>
            <wp:effectExtent l="19050" t="0" r="12065" b="0"/>
            <wp:docPr id="537076800"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9"/>
              </a:graphicData>
            </a:graphic>
          </wp:inline>
        </w:drawing>
      </w:r>
    </w:p>
    <w:p w:rsidR="00D44F55" w:rsidRPr="00CC7883" w:rsidRDefault="00D44F55"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«Ярило»</w:t>
      </w:r>
    </w:p>
    <w:p w:rsidR="00D44F55" w:rsidRPr="00CC7883" w:rsidRDefault="00D44F55"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4797631" cy="1520041"/>
            <wp:effectExtent l="19050" t="0" r="22019" b="3959"/>
            <wp:docPr id="537076801"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0"/>
              </a:graphicData>
            </a:graphic>
          </wp:inline>
        </w:drawing>
      </w:r>
    </w:p>
    <w:p w:rsidR="00D44F55" w:rsidRPr="00CC7883" w:rsidRDefault="00D44F55"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«Загрей»</w:t>
      </w:r>
    </w:p>
    <w:p w:rsidR="00D44F55" w:rsidRPr="00CC7883" w:rsidRDefault="00D44F55"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5.7. Інтенсивність транспірації мікроклонів винограду на різних типах поживних середовищ (середнє за 2019–2022 рр.)</w:t>
      </w:r>
    </w:p>
    <w:p w:rsidR="00A32DD2" w:rsidRPr="00CC7883" w:rsidRDefault="00A32DD2" w:rsidP="00A32DD2">
      <w:pPr>
        <w:pStyle w:val="Standard"/>
        <w:widowControl w:val="0"/>
        <w:suppressAutoHyphens w:val="0"/>
        <w:spacing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У мікроклонів винограду сорту «Гарант» – відповідно 1,8 і 4,4 </w:t>
      </w:r>
      <w:r w:rsidR="00B65F64">
        <w:rPr>
          <w:rFonts w:ascii="Times New Roman" w:eastAsia="Andale Sans UI" w:hAnsi="Times New Roman" w:cs="Times New Roman"/>
          <w:color w:val="000000" w:themeColor="text1"/>
          <w:sz w:val="28"/>
          <w:szCs w:val="28"/>
        </w:rPr>
        <w:t>г/</w:t>
      </w:r>
      <w:r w:rsidRPr="00CC7883">
        <w:rPr>
          <w:rFonts w:ascii="Times New Roman" w:eastAsia="Andale Sans UI" w:hAnsi="Times New Roman" w:cs="Times New Roman"/>
          <w:color w:val="000000" w:themeColor="text1"/>
          <w:sz w:val="28"/>
          <w:szCs w:val="28"/>
        </w:rPr>
        <w:t>(м</w:t>
      </w:r>
      <w:r w:rsidRPr="00CC7883">
        <w:rPr>
          <w:rFonts w:ascii="Times New Roman" w:eastAsia="Andale Sans UI" w:hAnsi="Times New Roman" w:cs="Times New Roman"/>
          <w:color w:val="000000" w:themeColor="text1"/>
          <w:sz w:val="28"/>
          <w:szCs w:val="28"/>
          <w:vertAlign w:val="superscript"/>
        </w:rPr>
        <w:t>2</w:t>
      </w:r>
      <w:r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 xml:space="preserve">, 1,6 і 3,9 </w:t>
      </w:r>
      <w:r w:rsidR="00B65F64">
        <w:rPr>
          <w:rFonts w:ascii="Times New Roman" w:eastAsia="Andale Sans UI" w:hAnsi="Times New Roman" w:cs="Times New Roman"/>
          <w:color w:val="000000" w:themeColor="text1"/>
          <w:sz w:val="28"/>
          <w:szCs w:val="28"/>
        </w:rPr>
        <w:t>г/</w:t>
      </w:r>
      <w:r w:rsidRPr="00CC7883">
        <w:rPr>
          <w:rFonts w:ascii="Times New Roman" w:eastAsia="Andale Sans UI" w:hAnsi="Times New Roman" w:cs="Times New Roman"/>
          <w:color w:val="000000" w:themeColor="text1"/>
          <w:sz w:val="28"/>
          <w:szCs w:val="28"/>
        </w:rPr>
        <w:t>(м</w:t>
      </w:r>
      <w:r w:rsidRPr="00CC7883">
        <w:rPr>
          <w:rFonts w:ascii="Times New Roman" w:eastAsia="Andale Sans UI" w:hAnsi="Times New Roman" w:cs="Times New Roman"/>
          <w:color w:val="000000" w:themeColor="text1"/>
          <w:sz w:val="28"/>
          <w:szCs w:val="28"/>
          <w:vertAlign w:val="superscript"/>
        </w:rPr>
        <w:t>2</w:t>
      </w:r>
      <w:r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 xml:space="preserve">, 1,8 і 4,1 </w:t>
      </w:r>
      <w:r w:rsidR="00B65F64">
        <w:rPr>
          <w:rFonts w:ascii="Times New Roman" w:eastAsia="Andale Sans UI" w:hAnsi="Times New Roman" w:cs="Times New Roman"/>
          <w:color w:val="000000" w:themeColor="text1"/>
          <w:sz w:val="28"/>
          <w:szCs w:val="28"/>
        </w:rPr>
        <w:t>г/</w:t>
      </w:r>
      <w:r w:rsidRPr="00CC7883">
        <w:rPr>
          <w:rFonts w:ascii="Times New Roman" w:eastAsia="Andale Sans UI" w:hAnsi="Times New Roman" w:cs="Times New Roman"/>
          <w:color w:val="000000" w:themeColor="text1"/>
          <w:sz w:val="28"/>
          <w:szCs w:val="28"/>
        </w:rPr>
        <w:t>(м</w:t>
      </w:r>
      <w:r w:rsidRPr="00CC7883">
        <w:rPr>
          <w:rFonts w:ascii="Times New Roman" w:eastAsia="Andale Sans UI" w:hAnsi="Times New Roman" w:cs="Times New Roman"/>
          <w:color w:val="000000" w:themeColor="text1"/>
          <w:sz w:val="28"/>
          <w:szCs w:val="28"/>
          <w:vertAlign w:val="superscript"/>
        </w:rPr>
        <w:t>2</w:t>
      </w:r>
      <w:r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 1,4 і 3,9</w:t>
      </w:r>
      <w:r>
        <w:rPr>
          <w:rFonts w:ascii="Times New Roman" w:hAnsi="Times New Roman" w:cs="Times New Roman"/>
          <w:color w:val="000000" w:themeColor="text1"/>
          <w:sz w:val="28"/>
          <w:szCs w:val="28"/>
        </w:rPr>
        <w:t> </w:t>
      </w:r>
      <w:r w:rsidR="00B65F64">
        <w:rPr>
          <w:rFonts w:ascii="Times New Roman" w:eastAsia="Andale Sans UI" w:hAnsi="Times New Roman" w:cs="Times New Roman"/>
          <w:color w:val="000000" w:themeColor="text1"/>
          <w:sz w:val="28"/>
          <w:szCs w:val="28"/>
        </w:rPr>
        <w:t>г/</w:t>
      </w:r>
      <w:r w:rsidRPr="00CC7883">
        <w:rPr>
          <w:rFonts w:ascii="Times New Roman" w:eastAsia="Andale Sans UI" w:hAnsi="Times New Roman" w:cs="Times New Roman"/>
          <w:color w:val="000000" w:themeColor="text1"/>
          <w:sz w:val="28"/>
          <w:szCs w:val="28"/>
        </w:rPr>
        <w:t>(м</w:t>
      </w:r>
      <w:r w:rsidRPr="00CC7883">
        <w:rPr>
          <w:rFonts w:ascii="Times New Roman" w:eastAsia="Andale Sans UI" w:hAnsi="Times New Roman" w:cs="Times New Roman"/>
          <w:color w:val="000000" w:themeColor="text1"/>
          <w:sz w:val="28"/>
          <w:szCs w:val="28"/>
          <w:vertAlign w:val="superscript"/>
        </w:rPr>
        <w:t>2</w:t>
      </w:r>
      <w:r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 xml:space="preserve">. </w:t>
      </w:r>
    </w:p>
    <w:p w:rsidR="00A32DD2" w:rsidRPr="00CC7883" w:rsidRDefault="00A32DD2" w:rsidP="00A32DD2">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Для мікроклонів сортів «Ярило» і «Загрей», які культивували на структурованих поживних середовищах, було встановлено зменшення інтенсивності транспірації, як порівняно з контролями, так і порівняно з варіантами, де застосовували БАП.</w:t>
      </w:r>
    </w:p>
    <w:p w:rsidR="00A32DD2" w:rsidRPr="00CC7883" w:rsidRDefault="00A32DD2" w:rsidP="00A32DD2">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Інтенсивність транспірації мікроклонів винограду у варіантах</w:t>
      </w:r>
      <w:r>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де вміст фітогормонів у поживному середовищі MS був меншим </w:t>
      </w:r>
      <w:bookmarkStart w:id="78" w:name="_Hlk213933168"/>
      <w:r w:rsidRPr="00CC7883">
        <w:rPr>
          <w:rFonts w:ascii="Times New Roman" w:hAnsi="Times New Roman" w:cs="Times New Roman"/>
          <w:color w:val="000000" w:themeColor="text1"/>
          <w:sz w:val="28"/>
          <w:szCs w:val="28"/>
        </w:rPr>
        <w:t>(0,2 мг/л 6-БАП, 0,3</w:t>
      </w:r>
      <w:r>
        <w:t> </w:t>
      </w:r>
      <w:r w:rsidRPr="00CC7883">
        <w:rPr>
          <w:rFonts w:ascii="Times New Roman" w:hAnsi="Times New Roman" w:cs="Times New Roman"/>
          <w:color w:val="000000" w:themeColor="text1"/>
          <w:sz w:val="28"/>
          <w:szCs w:val="28"/>
        </w:rPr>
        <w:t>мг/л ІОК)</w:t>
      </w:r>
      <w:bookmarkEnd w:id="78"/>
      <w:r>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загалом збільшувалась (була більшою) у середньому на 7,8–11,1 % (через 5 хв) та на 9,2–29,7 % (через 10 хв) (підщепні сорти), на 7,0–14,1 % і 4,6–4,9 % (через 5 і 10 хв) (технічні сорти) відносно варіантів з більшим вмістом фітогормонів (0,5 мг/л 6-БАП, 0,6 мг/л ІОК).</w:t>
      </w:r>
    </w:p>
    <w:p w:rsidR="00A32DD2" w:rsidRPr="00CC7883" w:rsidRDefault="00A32DD2" w:rsidP="00A32DD2">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Поживні субстрати</w:t>
      </w:r>
      <w:r w:rsidRPr="00CC7883">
        <w:rPr>
          <w:rFonts w:ascii="Times New Roman" w:hAnsi="Times New Roman" w:cs="Times New Roman"/>
          <w:color w:val="000000" w:themeColor="text1"/>
          <w:sz w:val="28"/>
          <w:szCs w:val="28"/>
        </w:rPr>
        <w:t xml:space="preserve">. Встановлено, що після культивування мікроклонів винограду на поживних мінеральних субстратах показник інтенсивності транспірації вегетативної надземної маси був меншим порівняно з контролями. Інтенсивність транспірації мікроклонів контрольних варіантів підщепних сортів через 5 хв дорівнювала 2,2–2,8 </w:t>
      </w:r>
      <w:r w:rsidR="00B65F64">
        <w:rPr>
          <w:rFonts w:ascii="Times New Roman" w:eastAsia="Andale Sans UI" w:hAnsi="Times New Roman" w:cs="Times New Roman"/>
          <w:color w:val="000000" w:themeColor="text1"/>
          <w:sz w:val="28"/>
          <w:szCs w:val="28"/>
        </w:rPr>
        <w:t>г/</w:t>
      </w:r>
      <w:r w:rsidRPr="00CC7883">
        <w:rPr>
          <w:rFonts w:ascii="Times New Roman" w:eastAsia="Andale Sans UI" w:hAnsi="Times New Roman" w:cs="Times New Roman"/>
          <w:color w:val="000000" w:themeColor="text1"/>
          <w:sz w:val="28"/>
          <w:szCs w:val="28"/>
        </w:rPr>
        <w:t>(м</w:t>
      </w:r>
      <w:r w:rsidRPr="00CC7883">
        <w:rPr>
          <w:rFonts w:ascii="Times New Roman" w:eastAsia="Andale Sans UI" w:hAnsi="Times New Roman" w:cs="Times New Roman"/>
          <w:color w:val="000000" w:themeColor="text1"/>
          <w:sz w:val="28"/>
          <w:szCs w:val="28"/>
          <w:vertAlign w:val="superscript"/>
        </w:rPr>
        <w:t>2</w:t>
      </w:r>
      <w:r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 xml:space="preserve">, через 10 хв – 5,5–10,0 </w:t>
      </w:r>
      <w:r w:rsidR="00B65F64">
        <w:rPr>
          <w:rFonts w:ascii="Times New Roman" w:eastAsia="Andale Sans UI" w:hAnsi="Times New Roman" w:cs="Times New Roman"/>
          <w:color w:val="000000" w:themeColor="text1"/>
          <w:sz w:val="28"/>
          <w:szCs w:val="28"/>
        </w:rPr>
        <w:t>г/</w:t>
      </w:r>
      <w:r w:rsidRPr="00CC7883">
        <w:rPr>
          <w:rFonts w:ascii="Times New Roman" w:eastAsia="Andale Sans UI" w:hAnsi="Times New Roman" w:cs="Times New Roman"/>
          <w:color w:val="000000" w:themeColor="text1"/>
          <w:sz w:val="28"/>
          <w:szCs w:val="28"/>
        </w:rPr>
        <w:t>(м</w:t>
      </w:r>
      <w:r w:rsidRPr="00CC7883">
        <w:rPr>
          <w:rFonts w:ascii="Times New Roman" w:eastAsia="Andale Sans UI" w:hAnsi="Times New Roman" w:cs="Times New Roman"/>
          <w:color w:val="000000" w:themeColor="text1"/>
          <w:sz w:val="28"/>
          <w:szCs w:val="28"/>
          <w:vertAlign w:val="superscript"/>
        </w:rPr>
        <w:t>2</w:t>
      </w:r>
      <w:r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 xml:space="preserve">; для технічних сортів – 1,9–2,8 </w:t>
      </w:r>
      <w:r w:rsidR="00B65F64">
        <w:rPr>
          <w:rFonts w:ascii="Times New Roman" w:eastAsia="Andale Sans UI" w:hAnsi="Times New Roman" w:cs="Times New Roman"/>
          <w:color w:val="000000" w:themeColor="text1"/>
          <w:sz w:val="28"/>
          <w:szCs w:val="28"/>
        </w:rPr>
        <w:t>г/</w:t>
      </w:r>
      <w:r w:rsidRPr="00CC7883">
        <w:rPr>
          <w:rFonts w:ascii="Times New Roman" w:eastAsia="Andale Sans UI" w:hAnsi="Times New Roman" w:cs="Times New Roman"/>
          <w:color w:val="000000" w:themeColor="text1"/>
          <w:sz w:val="28"/>
          <w:szCs w:val="28"/>
        </w:rPr>
        <w:t>(м</w:t>
      </w:r>
      <w:r w:rsidRPr="00CC7883">
        <w:rPr>
          <w:rFonts w:ascii="Times New Roman" w:eastAsia="Andale Sans UI" w:hAnsi="Times New Roman" w:cs="Times New Roman"/>
          <w:color w:val="000000" w:themeColor="text1"/>
          <w:sz w:val="28"/>
          <w:szCs w:val="28"/>
          <w:vertAlign w:val="superscript"/>
        </w:rPr>
        <w:t>2</w:t>
      </w:r>
      <w:r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 5,8–6,8</w:t>
      </w:r>
      <w:r>
        <w:rPr>
          <w:rFonts w:ascii="Times New Roman" w:hAnsi="Times New Roman" w:cs="Times New Roman"/>
          <w:color w:val="000000" w:themeColor="text1"/>
          <w:sz w:val="28"/>
          <w:szCs w:val="28"/>
        </w:rPr>
        <w:t> </w:t>
      </w:r>
      <w:r w:rsidR="00B65F64">
        <w:rPr>
          <w:rFonts w:ascii="Times New Roman" w:eastAsia="Andale Sans UI" w:hAnsi="Times New Roman" w:cs="Times New Roman"/>
          <w:color w:val="000000" w:themeColor="text1"/>
          <w:sz w:val="28"/>
          <w:szCs w:val="28"/>
        </w:rPr>
        <w:t>г/</w:t>
      </w:r>
      <w:r w:rsidRPr="00CC7883">
        <w:rPr>
          <w:rFonts w:ascii="Times New Roman" w:eastAsia="Andale Sans UI" w:hAnsi="Times New Roman" w:cs="Times New Roman"/>
          <w:color w:val="000000" w:themeColor="text1"/>
          <w:sz w:val="28"/>
          <w:szCs w:val="28"/>
        </w:rPr>
        <w:t>(м</w:t>
      </w:r>
      <w:r w:rsidRPr="00CC7883">
        <w:rPr>
          <w:rFonts w:ascii="Times New Roman" w:eastAsia="Andale Sans UI" w:hAnsi="Times New Roman" w:cs="Times New Roman"/>
          <w:color w:val="000000" w:themeColor="text1"/>
          <w:sz w:val="28"/>
          <w:szCs w:val="28"/>
          <w:vertAlign w:val="superscript"/>
        </w:rPr>
        <w:t>2</w:t>
      </w:r>
      <w:r w:rsidRPr="00CC7883">
        <w:rPr>
          <w:rFonts w:ascii="Times New Roman" w:eastAsia="Andale Sans UI" w:hAnsi="Times New Roman" w:cs="Times New Roman"/>
          <w:color w:val="000000" w:themeColor="text1"/>
          <w:sz w:val="28"/>
          <w:szCs w:val="28"/>
        </w:rPr>
        <w:t>×год)</w:t>
      </w:r>
      <w:r w:rsidRPr="00CC7883">
        <w:rPr>
          <w:rFonts w:ascii="Times New Roman" w:hAnsi="Times New Roman" w:cs="Times New Roman"/>
          <w:color w:val="000000" w:themeColor="text1"/>
          <w:sz w:val="28"/>
          <w:szCs w:val="28"/>
        </w:rPr>
        <w:t>.</w:t>
      </w:r>
    </w:p>
    <w:p w:rsidR="00A728AD" w:rsidRDefault="00A728AD" w:rsidP="00047411">
      <w:pPr>
        <w:pStyle w:val="StandardWW"/>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Інтенсивність транспірації вегетативної надземної маси у мікроклонів винограду на мінеральних субстратах зменшувалась на 42,5 % («Добриня»), 43,1 % («Гарант») через 5 хв; 38,5 %, 13,5 % через 10 хв (агроперліт); на 36,3</w:t>
      </w:r>
      <w:r w:rsidR="00EA4B1F"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42,9 % через 5 хв; на 45,1 %, 22,4 % через 10 хв (вермикуліт); на 26,4</w:t>
      </w:r>
      <w:r w:rsidR="00EA4B1F"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42,0 % через 5 хв; на 36,0 %, 7,5 % через 10 хв (</w:t>
      </w:r>
      <w:r w:rsidR="00356530" w:rsidRPr="00CC7883">
        <w:rPr>
          <w:rFonts w:ascii="Times New Roman" w:hAnsi="Times New Roman" w:cs="Times New Roman"/>
          <w:color w:val="000000" w:themeColor="text1"/>
          <w:sz w:val="28"/>
          <w:szCs w:val="28"/>
        </w:rPr>
        <w:t>рис.</w:t>
      </w:r>
      <w:r w:rsidR="00356530"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 xml:space="preserve">5.8). </w:t>
      </w:r>
    </w:p>
    <w:p w:rsidR="00A32DD2" w:rsidRPr="00CC7883" w:rsidRDefault="00A32DD2" w:rsidP="00A32DD2">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Для рослин винограду технічних сортів, культивованих на поживних мінеральних субстратах</w:t>
      </w:r>
      <w:r>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інтенсивність транспірації зменшувалась відповідно на 47,1 %, 11,9 % (5 хв); на 13,2 %, 20,9 % (10 хв) (агроперліт); на 44,9 %, 10,3 %; на 13,7 %, 13,8 % (вермикуліт); на 44,4 %, 9,4 %; на 9,3 %, 4,5 % (агроперліт + вермикуліт) відносно контролю.</w:t>
      </w:r>
    </w:p>
    <w:p w:rsidR="00A32DD2" w:rsidRPr="00CC7883" w:rsidRDefault="00A32DD2" w:rsidP="00047411">
      <w:pPr>
        <w:pStyle w:val="StandardWW"/>
        <w:suppressAutoHyphens w:val="0"/>
        <w:spacing w:line="360" w:lineRule="auto"/>
        <w:ind w:firstLine="709"/>
        <w:jc w:val="both"/>
        <w:rPr>
          <w:rFonts w:ascii="Times New Roman" w:hAnsi="Times New Roman" w:cs="Times New Roman"/>
          <w:color w:val="000000" w:themeColor="text1"/>
          <w:sz w:val="28"/>
          <w:szCs w:val="28"/>
        </w:rPr>
      </w:pP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noProof/>
          <w:color w:val="000000" w:themeColor="text1"/>
          <w:lang w:val="ru-RU" w:eastAsia="ru-RU" w:bidi="ar-SA"/>
        </w:rPr>
        <w:lastRenderedPageBreak/>
        <w:drawing>
          <wp:inline distT="0" distB="0" distL="0" distR="0">
            <wp:extent cx="4380156" cy="1662546"/>
            <wp:effectExtent l="19050" t="0" r="20394" b="0"/>
            <wp:docPr id="20" name="Диаграмма 20">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D1CCEFFC-C1AE-1332-95CA-557978AB4DB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1"/>
              </a:graphicData>
            </a:graphic>
          </wp:inline>
        </w:drawing>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«Добриня»</w:t>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noProof/>
          <w:color w:val="000000" w:themeColor="text1"/>
          <w:lang w:val="ru-RU" w:eastAsia="ru-RU" w:bidi="ar-SA"/>
        </w:rPr>
        <w:drawing>
          <wp:inline distT="0" distB="0" distL="0" distR="0">
            <wp:extent cx="4380156" cy="1721922"/>
            <wp:effectExtent l="19050" t="0" r="20394" b="0"/>
            <wp:docPr id="21" name="Диаграмма 2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79410A3A-BE21-A025-7878-A3BB5D28DFE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2"/>
              </a:graphicData>
            </a:graphic>
          </wp:inline>
        </w:drawing>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«Гарант»</w:t>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noProof/>
          <w:color w:val="000000" w:themeColor="text1"/>
          <w:lang w:val="ru-RU" w:eastAsia="ru-RU" w:bidi="ar-SA"/>
        </w:rPr>
        <w:drawing>
          <wp:inline distT="0" distB="0" distL="0" distR="0">
            <wp:extent cx="4363835" cy="1721922"/>
            <wp:effectExtent l="19050" t="0" r="17665" b="0"/>
            <wp:docPr id="22" name="Диаграмма 2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D465A96-887B-AEC8-A4FD-DC5AB4DCB7B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3"/>
              </a:graphicData>
            </a:graphic>
          </wp:inline>
        </w:drawing>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«Ярило»</w:t>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noProof/>
          <w:color w:val="000000" w:themeColor="text1"/>
          <w:lang w:val="ru-RU" w:eastAsia="ru-RU" w:bidi="ar-SA"/>
        </w:rPr>
        <w:drawing>
          <wp:inline distT="0" distB="0" distL="0" distR="0">
            <wp:extent cx="4347070" cy="1733797"/>
            <wp:effectExtent l="19050" t="0" r="15380" b="0"/>
            <wp:docPr id="23" name="Диаграмма 2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5C92F212-3F4E-7C4F-5D1F-C4A1A2AA280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4"/>
              </a:graphicData>
            </a:graphic>
          </wp:inline>
        </w:drawing>
      </w:r>
    </w:p>
    <w:p w:rsidR="005A3F7D" w:rsidRPr="00CC7883" w:rsidRDefault="005A3F7D" w:rsidP="00047411">
      <w:pPr>
        <w:pStyle w:val="StandardWW"/>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«Загрей»</w:t>
      </w:r>
    </w:p>
    <w:p w:rsidR="005A3F7D" w:rsidRPr="00CC7883" w:rsidRDefault="005A3F7D"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5.8. Інтенсивність транспірації мікроклонів винограду на різних типах поживних субстратів (середнє за 2019–2022 рр.)</w:t>
      </w:r>
    </w:p>
    <w:p w:rsidR="005A3F7D" w:rsidRPr="00CC7883" w:rsidRDefault="005A3F7D" w:rsidP="00047411">
      <w:pPr>
        <w:widowControl w:val="0"/>
        <w:spacing w:after="0" w:line="360" w:lineRule="auto"/>
        <w:ind w:firstLine="709"/>
        <w:jc w:val="both"/>
        <w:outlineLvl w:val="2"/>
        <w:rPr>
          <w:rFonts w:ascii="Times New Roman" w:hAnsi="Times New Roman" w:cs="Times New Roman"/>
          <w:b/>
          <w:bCs/>
          <w:color w:val="000000" w:themeColor="text1"/>
          <w:sz w:val="28"/>
          <w:szCs w:val="28"/>
        </w:rPr>
      </w:pPr>
      <w:bookmarkStart w:id="79" w:name="_Toc220058946"/>
      <w:r w:rsidRPr="00CC7883">
        <w:rPr>
          <w:rFonts w:ascii="Times New Roman" w:hAnsi="Times New Roman" w:cs="Times New Roman"/>
          <w:b/>
          <w:bCs/>
          <w:color w:val="000000" w:themeColor="text1"/>
          <w:sz w:val="28"/>
          <w:szCs w:val="28"/>
        </w:rPr>
        <w:lastRenderedPageBreak/>
        <w:t>5.1.3. Пігментний комплекс листків та пагонів</w:t>
      </w:r>
      <w:bookmarkEnd w:id="79"/>
    </w:p>
    <w:p w:rsidR="005A3F7D" w:rsidRPr="00CC7883" w:rsidRDefault="005A3F7D" w:rsidP="00047411">
      <w:pPr>
        <w:widowControl w:val="0"/>
        <w:spacing w:after="0" w:line="360" w:lineRule="auto"/>
        <w:jc w:val="both"/>
        <w:rPr>
          <w:rFonts w:ascii="Times New Roman" w:hAnsi="Times New Roman" w:cs="Times New Roman"/>
          <w:b/>
          <w:bCs/>
          <w:color w:val="000000" w:themeColor="text1"/>
          <w:sz w:val="28"/>
          <w:szCs w:val="28"/>
        </w:rPr>
      </w:pPr>
    </w:p>
    <w:p w:rsidR="005A3F7D" w:rsidRPr="00CC7883"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Поживні середовища</w:t>
      </w:r>
      <w:r w:rsidRPr="00CC7883">
        <w:rPr>
          <w:rFonts w:ascii="Times New Roman" w:hAnsi="Times New Roman" w:cs="Times New Roman"/>
          <w:color w:val="000000" w:themeColor="text1"/>
          <w:sz w:val="28"/>
          <w:szCs w:val="28"/>
        </w:rPr>
        <w:t>. У рослин пігменти виконують важливі функції, зокрема, абсорбують світлову енергію для фотосинтезу, забезпечують специфічні спектральні характеристики, що дозволяють визначити їх за допомогою аналізу спектрів поглинання і флуоресценції. Вони локалізовані в тилакоїдах хлоропластів, де взаємодіють із мембранними білками і ліпідами, що є ключовим для ефективного функціонування фо</w:t>
      </w:r>
      <w:r w:rsidR="00B9668A" w:rsidRPr="00CC7883">
        <w:rPr>
          <w:rFonts w:ascii="Times New Roman" w:hAnsi="Times New Roman" w:cs="Times New Roman"/>
          <w:color w:val="000000" w:themeColor="text1"/>
          <w:sz w:val="28"/>
          <w:szCs w:val="28"/>
        </w:rPr>
        <w:t>тосинтетичного апарату рослин [40</w:t>
      </w:r>
      <w:r w:rsidRPr="00CC7883">
        <w:rPr>
          <w:rFonts w:ascii="Times New Roman" w:hAnsi="Times New Roman" w:cs="Times New Roman"/>
          <w:color w:val="000000" w:themeColor="text1"/>
          <w:sz w:val="28"/>
          <w:szCs w:val="28"/>
        </w:rPr>
        <w:t>].</w:t>
      </w:r>
    </w:p>
    <w:p w:rsidR="005A3F7D" w:rsidRPr="00CC7883"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Пігменти мають важливе значення для адаптації рослин </w:t>
      </w:r>
      <w:r w:rsidR="001221F9"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до умов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забезпечуючи оптимальне функціонування фотосинтетичного апарату та захист від стресів під час переходу в умови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Вони сприяють ефективній адаптації рослин, змінюючи вміст і співвідношення хлорофілів та каротиноїдів відповідно до світлових умов, що є критичним для успішного росту ро</w:t>
      </w:r>
      <w:r w:rsidR="00B9668A" w:rsidRPr="00CC7883">
        <w:rPr>
          <w:rFonts w:ascii="Times New Roman" w:hAnsi="Times New Roman" w:cs="Times New Roman"/>
          <w:color w:val="000000" w:themeColor="text1"/>
          <w:sz w:val="28"/>
          <w:szCs w:val="28"/>
        </w:rPr>
        <w:t>слин у природному середовищі [36</w:t>
      </w:r>
      <w:r w:rsidRPr="00CC7883">
        <w:rPr>
          <w:rFonts w:ascii="Times New Roman" w:hAnsi="Times New Roman" w:cs="Times New Roman"/>
          <w:color w:val="000000" w:themeColor="text1"/>
          <w:sz w:val="28"/>
          <w:szCs w:val="28"/>
        </w:rPr>
        <w:t>].</w:t>
      </w:r>
    </w:p>
    <w:p w:rsidR="005A3F7D" w:rsidRPr="00CC7883"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Хлорофіли (</w:t>
      </w:r>
      <w:r w:rsidRPr="00CC7883">
        <w:rPr>
          <w:rFonts w:ascii="Times New Roman" w:hAnsi="Times New Roman" w:cs="Times New Roman"/>
          <w:i/>
          <w:color w:val="000000" w:themeColor="text1"/>
          <w:sz w:val="28"/>
          <w:szCs w:val="28"/>
        </w:rPr>
        <w:t>а</w:t>
      </w:r>
      <w:r w:rsidRPr="00CC7883">
        <w:rPr>
          <w:rFonts w:ascii="Times New Roman" w:hAnsi="Times New Roman" w:cs="Times New Roman"/>
          <w:color w:val="000000" w:themeColor="text1"/>
          <w:sz w:val="28"/>
          <w:szCs w:val="28"/>
        </w:rPr>
        <w:t xml:space="preserve"> і </w:t>
      </w:r>
      <w:r w:rsidRPr="00CC7883">
        <w:rPr>
          <w:rFonts w:ascii="Times New Roman" w:hAnsi="Times New Roman" w:cs="Times New Roman"/>
          <w:i/>
          <w:color w:val="000000" w:themeColor="text1"/>
          <w:sz w:val="28"/>
          <w:szCs w:val="28"/>
        </w:rPr>
        <w:t>b</w:t>
      </w:r>
      <w:r w:rsidRPr="00CC7883">
        <w:rPr>
          <w:rFonts w:ascii="Times New Roman" w:hAnsi="Times New Roman" w:cs="Times New Roman"/>
          <w:color w:val="000000" w:themeColor="text1"/>
          <w:sz w:val="28"/>
          <w:szCs w:val="28"/>
        </w:rPr>
        <w:t>) є основними фотосинтетичними пігментами, що відповідають за поглинання світла та перетворення його в хімічну енергію під час фотосинтезу. Вони забезпечують рослинам винограду енергію, необхідну для росту і розвитку, особливо в умовах обмеженого доступу до ресурсів або інших стресових факторів [</w:t>
      </w:r>
      <w:r w:rsidR="00B9668A" w:rsidRPr="00CC7883">
        <w:rPr>
          <w:rFonts w:ascii="Times New Roman" w:hAnsi="Times New Roman" w:cs="Times New Roman"/>
          <w:bCs/>
          <w:color w:val="000000" w:themeColor="text1"/>
          <w:sz w:val="28"/>
          <w:szCs w:val="28"/>
        </w:rPr>
        <w:t>40</w:t>
      </w:r>
      <w:r w:rsidRPr="00CC7883">
        <w:rPr>
          <w:rFonts w:ascii="Times New Roman" w:hAnsi="Times New Roman" w:cs="Times New Roman"/>
          <w:color w:val="000000" w:themeColor="text1"/>
          <w:sz w:val="28"/>
          <w:szCs w:val="28"/>
        </w:rPr>
        <w:t>]. Каротиноїди виконують різноманітні функції, включаючи захист від шкідливого впливу світла і підтримку стр</w:t>
      </w:r>
      <w:r w:rsidR="00B9668A" w:rsidRPr="00CC7883">
        <w:rPr>
          <w:rFonts w:ascii="Times New Roman" w:hAnsi="Times New Roman" w:cs="Times New Roman"/>
          <w:color w:val="000000" w:themeColor="text1"/>
          <w:sz w:val="28"/>
          <w:szCs w:val="28"/>
        </w:rPr>
        <w:t>уктури фотосинтетичних систем [40</w:t>
      </w:r>
      <w:r w:rsidRPr="00CC7883">
        <w:rPr>
          <w:rFonts w:ascii="Times New Roman" w:hAnsi="Times New Roman" w:cs="Times New Roman"/>
          <w:color w:val="000000" w:themeColor="text1"/>
          <w:sz w:val="28"/>
          <w:szCs w:val="28"/>
        </w:rPr>
        <w:t>].</w:t>
      </w:r>
    </w:p>
    <w:p w:rsidR="003537E4" w:rsidRPr="00CC7883" w:rsidRDefault="005A3F7D" w:rsidP="003537E4">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Листки</w:t>
      </w:r>
      <w:r w:rsidRPr="00CC7883">
        <w:rPr>
          <w:rFonts w:ascii="Times New Roman" w:hAnsi="Times New Roman" w:cs="Times New Roman"/>
          <w:color w:val="000000" w:themeColor="text1"/>
          <w:sz w:val="28"/>
          <w:szCs w:val="28"/>
        </w:rPr>
        <w:t>. У процесі роботи в тканинах листків і пагонів мікроклонів винограду сортів «Добриня», «Гарант», «Ярило», «Загрей» ми визначали вміст хлорофілів та каротиноїдів</w:t>
      </w:r>
      <w:r w:rsidR="00D34FA9" w:rsidRPr="00CC7883">
        <w:rPr>
          <w:rFonts w:ascii="Times New Roman" w:hAnsi="Times New Roman" w:cs="Times New Roman"/>
          <w:color w:val="000000" w:themeColor="text1"/>
          <w:sz w:val="28"/>
          <w:szCs w:val="28"/>
        </w:rPr>
        <w:t xml:space="preserve"> (</w:t>
      </w:r>
      <w:r w:rsidR="00DC4415" w:rsidRPr="00CC7883">
        <w:rPr>
          <w:rFonts w:ascii="Times New Roman" w:hAnsi="Times New Roman" w:cs="Times New Roman"/>
          <w:color w:val="000000" w:themeColor="text1"/>
          <w:sz w:val="28"/>
          <w:szCs w:val="28"/>
        </w:rPr>
        <w:t xml:space="preserve">табл. </w:t>
      </w:r>
      <w:r w:rsidR="00D34FA9" w:rsidRPr="00CC7883">
        <w:rPr>
          <w:rFonts w:ascii="Times New Roman" w:hAnsi="Times New Roman" w:cs="Times New Roman"/>
          <w:color w:val="000000" w:themeColor="text1"/>
          <w:sz w:val="28"/>
          <w:szCs w:val="28"/>
        </w:rPr>
        <w:t>5.1</w:t>
      </w:r>
      <w:r w:rsidRPr="00CC7883">
        <w:rPr>
          <w:rFonts w:ascii="Times New Roman" w:hAnsi="Times New Roman" w:cs="Times New Roman"/>
          <w:color w:val="000000" w:themeColor="text1"/>
          <w:sz w:val="28"/>
          <w:szCs w:val="28"/>
        </w:rPr>
        <w:t>).</w:t>
      </w:r>
      <w:r w:rsidR="003537E4">
        <w:rPr>
          <w:rFonts w:ascii="Times New Roman" w:hAnsi="Times New Roman" w:cs="Times New Roman"/>
          <w:color w:val="000000" w:themeColor="text1"/>
          <w:sz w:val="28"/>
          <w:szCs w:val="28"/>
        </w:rPr>
        <w:t xml:space="preserve"> </w:t>
      </w:r>
      <w:r w:rsidR="003537E4" w:rsidRPr="00CC7883">
        <w:rPr>
          <w:rFonts w:ascii="Times New Roman" w:hAnsi="Times New Roman" w:cs="Times New Roman"/>
          <w:color w:val="000000" w:themeColor="text1"/>
          <w:sz w:val="28"/>
          <w:szCs w:val="28"/>
        </w:rPr>
        <w:t xml:space="preserve">Було встановлено, що у листках мікроклонів контрольних варіантів синтезувалося у середньому 0,91–1,44 мг/г вологої маси хлорофілу </w:t>
      </w:r>
      <w:r w:rsidR="003537E4" w:rsidRPr="00CC7883">
        <w:rPr>
          <w:rFonts w:ascii="Times New Roman" w:hAnsi="Times New Roman" w:cs="Times New Roman"/>
          <w:i/>
          <w:color w:val="000000" w:themeColor="text1"/>
          <w:sz w:val="28"/>
          <w:szCs w:val="28"/>
        </w:rPr>
        <w:t>а</w:t>
      </w:r>
      <w:r w:rsidR="003537E4" w:rsidRPr="00CC7883">
        <w:rPr>
          <w:rFonts w:ascii="Times New Roman" w:hAnsi="Times New Roman" w:cs="Times New Roman"/>
          <w:color w:val="000000" w:themeColor="text1"/>
          <w:sz w:val="28"/>
          <w:szCs w:val="28"/>
        </w:rPr>
        <w:t xml:space="preserve"> у підщепних сортів та 1,12–1,41 мг/г вологої маси – у технічних сортів.</w:t>
      </w:r>
      <w:r w:rsidR="003537E4">
        <w:rPr>
          <w:rFonts w:ascii="Times New Roman" w:hAnsi="Times New Roman" w:cs="Times New Roman"/>
          <w:color w:val="000000" w:themeColor="text1"/>
          <w:sz w:val="28"/>
          <w:szCs w:val="28"/>
        </w:rPr>
        <w:t xml:space="preserve"> </w:t>
      </w:r>
      <w:r w:rsidR="003537E4" w:rsidRPr="00CC7883">
        <w:rPr>
          <w:rFonts w:ascii="Times New Roman" w:hAnsi="Times New Roman" w:cs="Times New Roman"/>
          <w:color w:val="000000" w:themeColor="text1"/>
          <w:sz w:val="28"/>
          <w:szCs w:val="28"/>
        </w:rPr>
        <w:t xml:space="preserve">Найбільше хлорофілу </w:t>
      </w:r>
      <w:r w:rsidR="003537E4" w:rsidRPr="00CC7883">
        <w:rPr>
          <w:rFonts w:ascii="Times New Roman" w:eastAsia="Calibri" w:hAnsi="Times New Roman" w:cs="Times New Roman"/>
          <w:bCs/>
          <w:i/>
          <w:color w:val="000000" w:themeColor="text1"/>
          <w:sz w:val="28"/>
          <w:szCs w:val="28"/>
        </w:rPr>
        <w:t>а</w:t>
      </w:r>
      <w:r w:rsidR="003537E4" w:rsidRPr="00CC7883">
        <w:rPr>
          <w:rFonts w:ascii="Times New Roman" w:hAnsi="Times New Roman" w:cs="Times New Roman"/>
          <w:color w:val="000000" w:themeColor="text1"/>
          <w:sz w:val="28"/>
          <w:szCs w:val="28"/>
        </w:rPr>
        <w:t xml:space="preserve"> синтезувалос</w:t>
      </w:r>
      <w:r w:rsidR="003537E4">
        <w:rPr>
          <w:rFonts w:ascii="Times New Roman" w:hAnsi="Times New Roman" w:cs="Times New Roman"/>
          <w:color w:val="000000" w:themeColor="text1"/>
          <w:sz w:val="28"/>
          <w:szCs w:val="28"/>
        </w:rPr>
        <w:t>я</w:t>
      </w:r>
      <w:r w:rsidR="003537E4" w:rsidRPr="00CC7883">
        <w:rPr>
          <w:rFonts w:ascii="Times New Roman" w:hAnsi="Times New Roman" w:cs="Times New Roman"/>
          <w:color w:val="000000" w:themeColor="text1"/>
          <w:sz w:val="28"/>
          <w:szCs w:val="28"/>
        </w:rPr>
        <w:t xml:space="preserve"> в середньому у листках мікроклонів у сьомому, восьмому, дев’ятому та одинадцятому варіантах у підщепних і технічних сортів.</w:t>
      </w:r>
    </w:p>
    <w:p w:rsidR="005A3F7D" w:rsidRPr="00CC7883" w:rsidRDefault="005A3F7D" w:rsidP="00047411">
      <w:pPr>
        <w:widowControl w:val="0"/>
        <w:autoSpaceDN w:val="0"/>
        <w:spacing w:after="0" w:line="360" w:lineRule="auto"/>
        <w:ind w:firstLine="708"/>
        <w:jc w:val="right"/>
        <w:textAlignment w:val="baseline"/>
        <w:rPr>
          <w:rFonts w:ascii="Times New Roman" w:hAnsi="Times New Roman" w:cs="Times New Roman"/>
          <w:i/>
          <w:iCs/>
          <w:color w:val="000000" w:themeColor="text1"/>
          <w:sz w:val="28"/>
          <w:szCs w:val="28"/>
        </w:rPr>
      </w:pPr>
      <w:r w:rsidRPr="00CC7883">
        <w:rPr>
          <w:rFonts w:ascii="Times New Roman" w:hAnsi="Times New Roman" w:cs="Times New Roman"/>
          <w:i/>
          <w:iCs/>
          <w:color w:val="000000" w:themeColor="text1"/>
          <w:sz w:val="28"/>
          <w:szCs w:val="28"/>
        </w:rPr>
        <w:lastRenderedPageBreak/>
        <w:t>Таблиця 5.</w:t>
      </w:r>
      <w:r w:rsidR="00D34FA9" w:rsidRPr="00CC7883">
        <w:rPr>
          <w:rFonts w:ascii="Times New Roman" w:hAnsi="Times New Roman" w:cs="Times New Roman"/>
          <w:i/>
          <w:iCs/>
          <w:color w:val="000000" w:themeColor="text1"/>
          <w:sz w:val="28"/>
          <w:szCs w:val="28"/>
        </w:rPr>
        <w:t>1</w:t>
      </w:r>
    </w:p>
    <w:p w:rsidR="005A3F7D" w:rsidRPr="00CC7883" w:rsidRDefault="005A3F7D"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sz w:val="28"/>
          <w:szCs w:val="28"/>
        </w:rPr>
      </w:pPr>
      <w:r w:rsidRPr="00CC7883">
        <w:rPr>
          <w:rFonts w:ascii="Times New Roman" w:eastAsia="NSimSun" w:hAnsi="Times New Roman" w:cs="Times New Roman"/>
          <w:b/>
          <w:bCs/>
          <w:color w:val="000000" w:themeColor="text1"/>
          <w:kern w:val="3"/>
          <w:sz w:val="28"/>
          <w:szCs w:val="28"/>
        </w:rPr>
        <w:t>Вміст пігментів у тканинах листків мікроклонів винограду</w:t>
      </w:r>
      <w:r w:rsidR="006D3C79" w:rsidRPr="00CC7883">
        <w:rPr>
          <w:rFonts w:ascii="Times New Roman" w:eastAsia="NSimSun" w:hAnsi="Times New Roman" w:cs="Times New Roman"/>
          <w:b/>
          <w:bCs/>
          <w:color w:val="000000" w:themeColor="text1"/>
          <w:kern w:val="3"/>
          <w:sz w:val="28"/>
          <w:szCs w:val="28"/>
        </w:rPr>
        <w:t xml:space="preserve"> </w:t>
      </w:r>
      <w:r w:rsidRPr="00CC7883">
        <w:rPr>
          <w:rFonts w:ascii="Times New Roman" w:eastAsia="NSimSun" w:hAnsi="Times New Roman" w:cs="Times New Roman"/>
          <w:b/>
          <w:bCs/>
          <w:color w:val="000000" w:themeColor="text1"/>
          <w:kern w:val="3"/>
          <w:sz w:val="28"/>
          <w:szCs w:val="28"/>
        </w:rPr>
        <w:t>на різних типах поживних середовищ</w:t>
      </w:r>
      <w:r w:rsidR="00500107" w:rsidRPr="00CC7883">
        <w:rPr>
          <w:rFonts w:ascii="Times New Roman" w:eastAsia="NSimSun" w:hAnsi="Times New Roman" w:cs="Times New Roman"/>
          <w:b/>
          <w:bCs/>
          <w:color w:val="000000" w:themeColor="text1"/>
          <w:kern w:val="3"/>
          <w:sz w:val="28"/>
          <w:szCs w:val="28"/>
        </w:rPr>
        <w:t xml:space="preserve"> </w:t>
      </w:r>
      <w:r w:rsidRPr="00CC7883">
        <w:rPr>
          <w:rFonts w:ascii="Times New Roman" w:eastAsia="NSimSun" w:hAnsi="Times New Roman" w:cs="Times New Roman"/>
          <w:b/>
          <w:bCs/>
          <w:color w:val="000000" w:themeColor="text1"/>
          <w:kern w:val="3"/>
          <w:sz w:val="28"/>
          <w:szCs w:val="28"/>
        </w:rPr>
        <w:t>(середнє за 2019–2022 рр.)</w:t>
      </w:r>
    </w:p>
    <w:tbl>
      <w:tblPr>
        <w:tblW w:w="9287" w:type="dxa"/>
        <w:jc w:val="center"/>
        <w:tblCellMar>
          <w:left w:w="10" w:type="dxa"/>
          <w:right w:w="10" w:type="dxa"/>
        </w:tblCellMar>
        <w:tblLook w:val="0000"/>
      </w:tblPr>
      <w:tblGrid>
        <w:gridCol w:w="1563"/>
        <w:gridCol w:w="1693"/>
        <w:gridCol w:w="1701"/>
        <w:gridCol w:w="2268"/>
        <w:gridCol w:w="2062"/>
      </w:tblGrid>
      <w:tr w:rsidR="003537E4" w:rsidRPr="00CC7883" w:rsidTr="00695ABA">
        <w:trPr>
          <w:trHeight w:val="375"/>
          <w:jc w:val="center"/>
        </w:trPr>
        <w:tc>
          <w:tcPr>
            <w:tcW w:w="1563" w:type="dxa"/>
            <w:vMerge w:val="restart"/>
            <w:tcBorders>
              <w:top w:val="single" w:sz="4" w:space="0" w:color="000000"/>
              <w:left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Варіанти досліду</w:t>
            </w:r>
          </w:p>
        </w:tc>
        <w:tc>
          <w:tcPr>
            <w:tcW w:w="1693"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а</w:t>
            </w:r>
          </w:p>
        </w:tc>
        <w:tc>
          <w:tcPr>
            <w:tcW w:w="1701"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b</w:t>
            </w:r>
          </w:p>
        </w:tc>
        <w:tc>
          <w:tcPr>
            <w:tcW w:w="2268"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a</w:t>
            </w:r>
            <w:r w:rsidRPr="00CC7883">
              <w:rPr>
                <w:rFonts w:ascii="Times New Roman" w:eastAsia="Calibri" w:hAnsi="Times New Roman" w:cs="Times New Roman"/>
                <w:bCs/>
                <w:color w:val="000000" w:themeColor="text1"/>
                <w:sz w:val="28"/>
                <w:szCs w:val="28"/>
              </w:rPr>
              <w:t xml:space="preserve"> + chl </w:t>
            </w:r>
            <w:r w:rsidRPr="00CC7883">
              <w:rPr>
                <w:rFonts w:ascii="Times New Roman" w:eastAsia="Calibri" w:hAnsi="Times New Roman" w:cs="Times New Roman"/>
                <w:bCs/>
                <w:i/>
                <w:color w:val="000000" w:themeColor="text1"/>
                <w:sz w:val="28"/>
                <w:szCs w:val="28"/>
              </w:rPr>
              <w:t>b</w:t>
            </w:r>
          </w:p>
        </w:tc>
        <w:tc>
          <w:tcPr>
            <w:tcW w:w="2062"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bCs/>
                <w:color w:val="000000" w:themeColor="text1"/>
                <w:sz w:val="28"/>
                <w:szCs w:val="28"/>
              </w:rPr>
              <w:t>Каротиноїди</w:t>
            </w:r>
          </w:p>
        </w:tc>
      </w:tr>
      <w:tr w:rsidR="003537E4" w:rsidRPr="00CC7883" w:rsidTr="00695ABA">
        <w:trPr>
          <w:trHeight w:val="375"/>
          <w:jc w:val="center"/>
        </w:trPr>
        <w:tc>
          <w:tcPr>
            <w:tcW w:w="1563" w:type="dxa"/>
            <w:vMerge/>
            <w:tcBorders>
              <w:left w:val="single" w:sz="4" w:space="0" w:color="000000"/>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p>
        </w:tc>
        <w:tc>
          <w:tcPr>
            <w:tcW w:w="7724" w:type="dxa"/>
            <w:gridSpan w:val="4"/>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мг/г вологої маси</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w:t>
            </w:r>
          </w:p>
        </w:tc>
        <w:tc>
          <w:tcPr>
            <w:tcW w:w="1693"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w:t>
            </w:r>
          </w:p>
        </w:tc>
        <w:tc>
          <w:tcPr>
            <w:tcW w:w="1701"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w:t>
            </w:r>
          </w:p>
        </w:tc>
        <w:tc>
          <w:tcPr>
            <w:tcW w:w="2268"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w:t>
            </w:r>
          </w:p>
        </w:tc>
        <w:tc>
          <w:tcPr>
            <w:tcW w:w="2062"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w:t>
            </w:r>
          </w:p>
        </w:tc>
      </w:tr>
      <w:tr w:rsidR="005A3F7D" w:rsidRPr="00CC7883" w:rsidTr="00695ABA">
        <w:trPr>
          <w:trHeight w:val="375"/>
          <w:jc w:val="center"/>
        </w:trPr>
        <w:tc>
          <w:tcPr>
            <w:tcW w:w="9287" w:type="dxa"/>
            <w:gridSpan w:val="5"/>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NSimSun" w:hAnsi="Times New Roman" w:cs="Times New Roman"/>
                <w:color w:val="000000" w:themeColor="text1"/>
                <w:kern w:val="3"/>
                <w:sz w:val="28"/>
                <w:szCs w:val="28"/>
              </w:rPr>
              <w:t>«Добриня»</w:t>
            </w:r>
          </w:p>
        </w:tc>
      </w:tr>
      <w:tr w:rsidR="005A3F7D" w:rsidRPr="00CC7883" w:rsidTr="00695ABA">
        <w:trPr>
          <w:trHeight w:val="375"/>
          <w:jc w:val="center"/>
        </w:trPr>
        <w:tc>
          <w:tcPr>
            <w:tcW w:w="1563"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693" w:type="dxa"/>
            <w:tcBorders>
              <w:top w:val="single" w:sz="4" w:space="0" w:color="auto"/>
              <w:left w:val="single" w:sz="4" w:space="0" w:color="auto"/>
              <w:bottom w:val="single" w:sz="4" w:space="0" w:color="auto"/>
              <w:right w:val="single" w:sz="4" w:space="0" w:color="auto"/>
            </w:tcBorders>
            <w:shd w:val="clear" w:color="000000" w:fill="FFFFFF"/>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1,44±0,07</w:t>
            </w:r>
          </w:p>
        </w:tc>
        <w:tc>
          <w:tcPr>
            <w:tcW w:w="1701" w:type="dxa"/>
            <w:tcBorders>
              <w:top w:val="single" w:sz="4" w:space="0" w:color="auto"/>
              <w:left w:val="nil"/>
              <w:bottom w:val="single" w:sz="4" w:space="0" w:color="auto"/>
              <w:right w:val="nil"/>
            </w:tcBorders>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0,37±0,02</w:t>
            </w:r>
          </w:p>
        </w:tc>
        <w:tc>
          <w:tcPr>
            <w:tcW w:w="2268" w:type="dxa"/>
            <w:tcBorders>
              <w:top w:val="single" w:sz="4" w:space="0" w:color="auto"/>
              <w:left w:val="single" w:sz="4" w:space="0" w:color="auto"/>
              <w:bottom w:val="single" w:sz="4" w:space="0" w:color="auto"/>
              <w:right w:val="single" w:sz="4" w:space="0" w:color="auto"/>
            </w:tcBorders>
            <w:shd w:val="clear" w:color="000000" w:fill="FFFFFF"/>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hAnsi="Times New Roman" w:cs="Times New Roman"/>
                <w:color w:val="000000" w:themeColor="text1"/>
                <w:sz w:val="28"/>
                <w:szCs w:val="28"/>
              </w:rPr>
              <w:t>1,81±0,06</w:t>
            </w:r>
          </w:p>
        </w:tc>
        <w:tc>
          <w:tcPr>
            <w:tcW w:w="2062" w:type="dxa"/>
            <w:tcBorders>
              <w:top w:val="single" w:sz="4" w:space="0" w:color="auto"/>
              <w:left w:val="single" w:sz="4" w:space="0" w:color="auto"/>
              <w:bottom w:val="single" w:sz="4" w:space="0" w:color="auto"/>
              <w:right w:val="single" w:sz="4" w:space="0" w:color="auto"/>
            </w:tcBorders>
            <w:shd w:val="clear" w:color="000000" w:fill="FFFFFF"/>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hAnsi="Times New Roman" w:cs="Times New Roman"/>
                <w:color w:val="000000" w:themeColor="text1"/>
                <w:sz w:val="28"/>
                <w:szCs w:val="28"/>
              </w:rPr>
              <w:t>0,37±0,01</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1,39±0,08</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0,29±0,01</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1,68±0,08</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0,32±0,01</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1,55±0,05</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0,43±0,04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1,98±0,09</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0,43±0,03</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1,41±0,07</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0,33±0,05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1,75±0,09</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0,37±0,02</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1,44±0,07</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0,53±0,06</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1,97±0,08</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0,39±0,03</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1,39±0,04</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0,51±0,07</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1,89±0,07</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0,45±0,03</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2,43±0,03</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0,83±0,07</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3,26±0,09</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0,48±0,02</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2,40±0,04</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0,73±0,06</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3,13±0,09</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0,43±0,02</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2,13±0,05</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0,67±0,05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2,80±0,07</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0,56±0,03</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1,90±0,03</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0,62±0,05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2,52±0,06</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0,52±0,03</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1,71±0,09</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0,59±0,06</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2,30±0,06</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0,61±0,04</w:t>
            </w:r>
          </w:p>
        </w:tc>
      </w:tr>
      <w:tr w:rsidR="005A3F7D" w:rsidRPr="00CC7883" w:rsidTr="00695ABA">
        <w:trPr>
          <w:trHeight w:val="375"/>
          <w:jc w:val="center"/>
        </w:trPr>
        <w:tc>
          <w:tcPr>
            <w:tcW w:w="1563"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1,64±0,08</w:t>
            </w:r>
          </w:p>
        </w:tc>
        <w:tc>
          <w:tcPr>
            <w:tcW w:w="1701" w:type="dxa"/>
            <w:tcBorders>
              <w:top w:val="single" w:sz="4" w:space="0" w:color="auto"/>
              <w:left w:val="nil"/>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0,53±0,04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2,17±0,05</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0,54±0,03</w:t>
            </w:r>
          </w:p>
        </w:tc>
      </w:tr>
      <w:tr w:rsidR="005A3F7D" w:rsidRPr="00CC7883" w:rsidTr="00695ABA">
        <w:trPr>
          <w:trHeight w:val="375"/>
          <w:jc w:val="center"/>
        </w:trPr>
        <w:tc>
          <w:tcPr>
            <w:tcW w:w="9287"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eastAsia="NSimSun" w:hAnsi="Times New Roman" w:cs="Times New Roman"/>
                <w:color w:val="000000" w:themeColor="text1"/>
                <w:kern w:val="3"/>
                <w:sz w:val="28"/>
                <w:szCs w:val="28"/>
              </w:rPr>
              <w:t>«Гарант»</w:t>
            </w:r>
          </w:p>
        </w:tc>
      </w:tr>
      <w:tr w:rsidR="005A3F7D" w:rsidRPr="00CC7883" w:rsidTr="00695ABA">
        <w:trPr>
          <w:trHeight w:val="375"/>
          <w:jc w:val="center"/>
        </w:trPr>
        <w:tc>
          <w:tcPr>
            <w:tcW w:w="1563"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1,00±0,04</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0,28±0,01</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1,28±0,07</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0,25±0,01</w:t>
            </w:r>
          </w:p>
        </w:tc>
      </w:tr>
      <w:tr w:rsidR="005A3F7D" w:rsidRPr="00CC7883" w:rsidTr="00695ABA">
        <w:trPr>
          <w:trHeight w:val="375"/>
          <w:jc w:val="center"/>
        </w:trPr>
        <w:tc>
          <w:tcPr>
            <w:tcW w:w="1563" w:type="dxa"/>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0,91±0,02</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0,25±0,01</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1,16±0,06</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0,23±0,02</w:t>
            </w:r>
          </w:p>
        </w:tc>
      </w:tr>
      <w:tr w:rsidR="005A3F7D" w:rsidRPr="00CC7883" w:rsidTr="00695ABA">
        <w:trPr>
          <w:trHeight w:val="375"/>
          <w:jc w:val="center"/>
        </w:trPr>
        <w:tc>
          <w:tcPr>
            <w:tcW w:w="1563"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1,15±0,01</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0,31±0,02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1,46±0,08</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0,37±0,02</w:t>
            </w:r>
          </w:p>
        </w:tc>
      </w:tr>
      <w:tr w:rsidR="005A3F7D" w:rsidRPr="00CC7883" w:rsidTr="00695ABA">
        <w:trPr>
          <w:trHeight w:val="375"/>
          <w:jc w:val="center"/>
        </w:trPr>
        <w:tc>
          <w:tcPr>
            <w:tcW w:w="1563"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1,12±0,02</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0,33±0,02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w:t>
            </w:r>
            <w:r w:rsidR="00DD1897">
              <w:rPr>
                <w:rFonts w:ascii="Times New Roman" w:hAnsi="Times New Roman" w:cs="Times New Roman"/>
                <w:color w:val="000000" w:themeColor="text1"/>
                <w:sz w:val="28"/>
                <w:szCs w:val="28"/>
                <w:lang w:val="ru-RU"/>
              </w:rPr>
              <w:t>4</w:t>
            </w:r>
            <w:r w:rsidRPr="00CC7883">
              <w:rPr>
                <w:rFonts w:ascii="Times New Roman" w:hAnsi="Times New Roman" w:cs="Times New Roman"/>
                <w:color w:val="000000" w:themeColor="text1"/>
                <w:sz w:val="28"/>
                <w:szCs w:val="28"/>
              </w:rPr>
              <w:t>5±0,08</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0,31±0,01</w:t>
            </w:r>
          </w:p>
        </w:tc>
      </w:tr>
      <w:tr w:rsidR="005A3F7D" w:rsidRPr="00CC7883" w:rsidTr="00695ABA">
        <w:trPr>
          <w:trHeight w:val="375"/>
          <w:jc w:val="center"/>
        </w:trPr>
        <w:tc>
          <w:tcPr>
            <w:tcW w:w="1563"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1,08±0,03</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0,38±0,01</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w:t>
            </w:r>
            <w:r w:rsidR="00DD1897">
              <w:rPr>
                <w:rFonts w:ascii="Times New Roman" w:hAnsi="Times New Roman" w:cs="Times New Roman"/>
                <w:color w:val="000000" w:themeColor="text1"/>
                <w:sz w:val="28"/>
                <w:szCs w:val="28"/>
                <w:lang w:val="ru-RU"/>
              </w:rPr>
              <w:t>46</w:t>
            </w:r>
            <w:r w:rsidRPr="00CC7883">
              <w:rPr>
                <w:rFonts w:ascii="Times New Roman" w:hAnsi="Times New Roman" w:cs="Times New Roman"/>
                <w:color w:val="000000" w:themeColor="text1"/>
                <w:sz w:val="28"/>
                <w:szCs w:val="28"/>
              </w:rPr>
              <w:t>±0,05</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0,33±0,02</w:t>
            </w:r>
          </w:p>
        </w:tc>
      </w:tr>
      <w:tr w:rsidR="005A3F7D" w:rsidRPr="00CC7883" w:rsidTr="00695ABA">
        <w:trPr>
          <w:trHeight w:val="375"/>
          <w:jc w:val="center"/>
        </w:trPr>
        <w:tc>
          <w:tcPr>
            <w:tcW w:w="1563"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1,07±0,03</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0,34±0,03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w:t>
            </w:r>
            <w:r w:rsidR="00DD1897">
              <w:rPr>
                <w:rFonts w:ascii="Times New Roman" w:hAnsi="Times New Roman" w:cs="Times New Roman"/>
                <w:color w:val="000000" w:themeColor="text1"/>
                <w:sz w:val="28"/>
                <w:szCs w:val="28"/>
                <w:lang w:val="ru-RU"/>
              </w:rPr>
              <w:t>41</w:t>
            </w:r>
            <w:r w:rsidRPr="00CC7883">
              <w:rPr>
                <w:rFonts w:ascii="Times New Roman" w:hAnsi="Times New Roman" w:cs="Times New Roman"/>
                <w:color w:val="000000" w:themeColor="text1"/>
                <w:sz w:val="28"/>
                <w:szCs w:val="28"/>
              </w:rPr>
              <w:t>±0,06</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0,28±0,02</w:t>
            </w:r>
          </w:p>
        </w:tc>
      </w:tr>
      <w:tr w:rsidR="005A3F7D" w:rsidRPr="00CC7883" w:rsidTr="00695ABA">
        <w:trPr>
          <w:trHeight w:val="375"/>
          <w:jc w:val="center"/>
        </w:trPr>
        <w:tc>
          <w:tcPr>
            <w:tcW w:w="1563"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1,69±0,04</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0,66±0,05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w:t>
            </w:r>
            <w:r w:rsidR="00DD1897">
              <w:rPr>
                <w:rFonts w:ascii="Times New Roman" w:hAnsi="Times New Roman" w:cs="Times New Roman"/>
                <w:color w:val="000000" w:themeColor="text1"/>
                <w:sz w:val="28"/>
                <w:szCs w:val="28"/>
                <w:lang w:val="ru-RU"/>
              </w:rPr>
              <w:t>35</w:t>
            </w:r>
            <w:r w:rsidRPr="00CC7883">
              <w:rPr>
                <w:rFonts w:ascii="Times New Roman" w:hAnsi="Times New Roman" w:cs="Times New Roman"/>
                <w:color w:val="000000" w:themeColor="text1"/>
                <w:sz w:val="28"/>
                <w:szCs w:val="28"/>
              </w:rPr>
              <w:t>±0,09</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0,47±0,03</w:t>
            </w:r>
          </w:p>
        </w:tc>
      </w:tr>
      <w:tr w:rsidR="005A3F7D" w:rsidRPr="00CC7883" w:rsidTr="00695ABA">
        <w:trPr>
          <w:trHeight w:val="375"/>
          <w:jc w:val="center"/>
        </w:trPr>
        <w:tc>
          <w:tcPr>
            <w:tcW w:w="1563"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1,65±0,05</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0,63±0,06</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2,2</w:t>
            </w:r>
            <w:r w:rsidR="00DD1897">
              <w:rPr>
                <w:rFonts w:ascii="Times New Roman" w:hAnsi="Times New Roman" w:cs="Times New Roman"/>
                <w:color w:val="000000" w:themeColor="text1"/>
                <w:sz w:val="28"/>
                <w:szCs w:val="28"/>
                <w:lang w:val="ru-RU"/>
              </w:rPr>
              <w:t>8</w:t>
            </w:r>
            <w:r w:rsidRPr="00CC7883">
              <w:rPr>
                <w:rFonts w:ascii="Times New Roman" w:hAnsi="Times New Roman" w:cs="Times New Roman"/>
                <w:color w:val="000000" w:themeColor="text1"/>
                <w:sz w:val="28"/>
                <w:szCs w:val="28"/>
              </w:rPr>
              <w:t>±0,09</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0,42±0,02</w:t>
            </w:r>
          </w:p>
        </w:tc>
      </w:tr>
      <w:tr w:rsidR="005A3F7D" w:rsidRPr="00CC7883" w:rsidTr="00695ABA">
        <w:trPr>
          <w:trHeight w:val="375"/>
          <w:jc w:val="center"/>
        </w:trPr>
        <w:tc>
          <w:tcPr>
            <w:tcW w:w="1563"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1,62±0,04</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0,61±0,05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2,2</w:t>
            </w:r>
            <w:r w:rsidR="00DD1897">
              <w:rPr>
                <w:rFonts w:ascii="Times New Roman" w:hAnsi="Times New Roman" w:cs="Times New Roman"/>
                <w:color w:val="000000" w:themeColor="text1"/>
                <w:sz w:val="28"/>
                <w:szCs w:val="28"/>
                <w:lang w:val="ru-RU"/>
              </w:rPr>
              <w:t>3</w:t>
            </w:r>
            <w:r w:rsidRPr="00CC7883">
              <w:rPr>
                <w:rFonts w:ascii="Times New Roman" w:hAnsi="Times New Roman" w:cs="Times New Roman"/>
                <w:color w:val="000000" w:themeColor="text1"/>
                <w:sz w:val="28"/>
                <w:szCs w:val="28"/>
              </w:rPr>
              <w:t>±0,09</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0,50±0,03</w:t>
            </w:r>
          </w:p>
        </w:tc>
      </w:tr>
      <w:tr w:rsidR="005A3F7D" w:rsidRPr="00CC7883" w:rsidTr="00695ABA">
        <w:trPr>
          <w:trHeight w:val="375"/>
          <w:jc w:val="center"/>
        </w:trPr>
        <w:tc>
          <w:tcPr>
            <w:tcW w:w="1563"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1,43±0,06</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0,60±0,06</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2,0</w:t>
            </w:r>
            <w:r w:rsidR="00DD1897">
              <w:rPr>
                <w:rFonts w:ascii="Times New Roman" w:hAnsi="Times New Roman" w:cs="Times New Roman"/>
                <w:color w:val="000000" w:themeColor="text1"/>
                <w:sz w:val="28"/>
                <w:szCs w:val="28"/>
                <w:lang w:val="ru-RU"/>
              </w:rPr>
              <w:t>3</w:t>
            </w:r>
            <w:r w:rsidRPr="00CC7883">
              <w:rPr>
                <w:rFonts w:ascii="Times New Roman" w:hAnsi="Times New Roman" w:cs="Times New Roman"/>
                <w:color w:val="000000" w:themeColor="text1"/>
                <w:sz w:val="28"/>
                <w:szCs w:val="28"/>
              </w:rPr>
              <w:t>±0,08</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0,48±0,01</w:t>
            </w:r>
          </w:p>
        </w:tc>
      </w:tr>
      <w:tr w:rsidR="005A3F7D" w:rsidRPr="00CC7883" w:rsidTr="00695ABA">
        <w:trPr>
          <w:trHeight w:val="375"/>
          <w:jc w:val="center"/>
        </w:trPr>
        <w:tc>
          <w:tcPr>
            <w:tcW w:w="1563"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1,60±0,04</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0,61±0,04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w:t>
            </w:r>
            <w:r w:rsidR="00DD1897">
              <w:rPr>
                <w:rFonts w:ascii="Times New Roman" w:hAnsi="Times New Roman" w:cs="Times New Roman"/>
                <w:color w:val="000000" w:themeColor="text1"/>
                <w:sz w:val="28"/>
                <w:szCs w:val="28"/>
                <w:lang w:val="ru-RU"/>
              </w:rPr>
              <w:t>21</w:t>
            </w:r>
            <w:r w:rsidRPr="00CC7883">
              <w:rPr>
                <w:rFonts w:ascii="Times New Roman" w:hAnsi="Times New Roman" w:cs="Times New Roman"/>
                <w:color w:val="000000" w:themeColor="text1"/>
                <w:sz w:val="28"/>
                <w:szCs w:val="28"/>
              </w:rPr>
              <w:t>±0,09</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0,44±0,01</w:t>
            </w:r>
          </w:p>
        </w:tc>
      </w:tr>
      <w:tr w:rsidR="00FF2033"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FF2033" w:rsidRPr="00CC7883" w:rsidRDefault="00FF2033" w:rsidP="00FF2033">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F2033" w:rsidRPr="00CC7883" w:rsidRDefault="00FF2033" w:rsidP="00FF2033">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1,56±0,04</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FF2033" w:rsidRPr="00CC7883" w:rsidRDefault="00FF2033" w:rsidP="00FF2033">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F2033" w:rsidRPr="00CC7883" w:rsidRDefault="00FF2033" w:rsidP="00FF2033">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2,1</w:t>
            </w:r>
            <w:r w:rsidR="00DD1897">
              <w:rPr>
                <w:rFonts w:ascii="Times New Roman" w:hAnsi="Times New Roman" w:cs="Times New Roman"/>
                <w:color w:val="000000" w:themeColor="text1"/>
                <w:sz w:val="28"/>
                <w:szCs w:val="28"/>
                <w:lang w:val="ru-RU"/>
              </w:rPr>
              <w:t>6</w:t>
            </w:r>
            <w:r w:rsidRPr="00CC7883">
              <w:rPr>
                <w:rFonts w:ascii="Times New Roman" w:hAnsi="Times New Roman" w:cs="Times New Roman"/>
                <w:color w:val="000000" w:themeColor="text1"/>
                <w:sz w:val="28"/>
                <w:szCs w:val="28"/>
              </w:rPr>
              <w:t>±0,07</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FF2033" w:rsidRPr="00CC7883" w:rsidRDefault="00FF2033" w:rsidP="00FF2033">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0,36±0,01</w:t>
            </w:r>
          </w:p>
        </w:tc>
      </w:tr>
      <w:tr w:rsidR="00A6064E" w:rsidRPr="00CC7883" w:rsidTr="00695ABA">
        <w:trPr>
          <w:trHeight w:val="375"/>
          <w:jc w:val="center"/>
        </w:trPr>
        <w:tc>
          <w:tcPr>
            <w:tcW w:w="9287" w:type="dxa"/>
            <w:gridSpan w:val="5"/>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NSimSun" w:hAnsi="Times New Roman" w:cs="Times New Roman"/>
                <w:color w:val="000000" w:themeColor="text1"/>
                <w:kern w:val="3"/>
                <w:sz w:val="28"/>
                <w:szCs w:val="28"/>
              </w:rPr>
              <w:t>«Ярило»</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1,41±0,06</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0,41±0,03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1,82±0,06</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0,33±0,02</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1,29±0,08</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0,38±0,02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1,67±0,07</w:t>
            </w:r>
          </w:p>
        </w:tc>
        <w:tc>
          <w:tcPr>
            <w:tcW w:w="206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0,30±0,01</w:t>
            </w:r>
          </w:p>
        </w:tc>
      </w:tr>
    </w:tbl>
    <w:p w:rsidR="003537E4" w:rsidRDefault="003537E4" w:rsidP="00695ABA">
      <w:pPr>
        <w:ind w:right="-2"/>
        <w:jc w:val="right"/>
      </w:pPr>
      <w:r>
        <w:br w:type="page"/>
      </w:r>
      <w:r w:rsidRPr="00CC7883">
        <w:rPr>
          <w:rFonts w:ascii="Times New Roman" w:hAnsi="Times New Roman" w:cs="Times New Roman"/>
          <w:color w:val="000000" w:themeColor="text1"/>
        </w:rPr>
        <w:lastRenderedPageBreak/>
        <w:t>Продовження табл. 5.1</w:t>
      </w:r>
    </w:p>
    <w:tbl>
      <w:tblPr>
        <w:tblW w:w="9285" w:type="dxa"/>
        <w:jc w:val="center"/>
        <w:tblCellMar>
          <w:left w:w="10" w:type="dxa"/>
          <w:right w:w="10" w:type="dxa"/>
        </w:tblCellMar>
        <w:tblLook w:val="0000"/>
      </w:tblPr>
      <w:tblGrid>
        <w:gridCol w:w="1563"/>
        <w:gridCol w:w="1693"/>
        <w:gridCol w:w="1701"/>
        <w:gridCol w:w="2268"/>
        <w:gridCol w:w="2060"/>
      </w:tblGrid>
      <w:tr w:rsidR="003537E4"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537E4" w:rsidRPr="00CC7883" w:rsidRDefault="003537E4" w:rsidP="0011122D">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537E4" w:rsidRPr="00CC7883" w:rsidRDefault="003537E4" w:rsidP="0011122D">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701"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3537E4" w:rsidRPr="00CC7883" w:rsidRDefault="003537E4" w:rsidP="0011122D">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537E4" w:rsidRPr="00CC7883" w:rsidRDefault="003537E4" w:rsidP="0011122D">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3537E4" w:rsidRPr="00CC7883" w:rsidRDefault="003537E4" w:rsidP="0011122D">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1,71±0,09</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0,46±0,03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2,17±0,08</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0,40±0,03</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1,63±0,05</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0,44±0,04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2,0</w:t>
            </w:r>
            <w:r w:rsidR="00DD1897">
              <w:rPr>
                <w:rFonts w:ascii="Times New Roman" w:hAnsi="Times New Roman" w:cs="Times New Roman"/>
                <w:color w:val="000000" w:themeColor="text1"/>
                <w:sz w:val="28"/>
                <w:szCs w:val="28"/>
                <w:lang w:val="ru-RU"/>
              </w:rPr>
              <w:t>7</w:t>
            </w:r>
            <w:r w:rsidRPr="00CC7883">
              <w:rPr>
                <w:rFonts w:ascii="Times New Roman" w:hAnsi="Times New Roman" w:cs="Times New Roman"/>
                <w:color w:val="000000" w:themeColor="text1"/>
                <w:sz w:val="28"/>
                <w:szCs w:val="28"/>
              </w:rPr>
              <w:t>±0,08</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0,34±0,02</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1,78±0,06</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0,53±0,04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2,3</w:t>
            </w:r>
            <w:r w:rsidR="00DD1897">
              <w:rPr>
                <w:rFonts w:ascii="Times New Roman" w:hAnsi="Times New Roman" w:cs="Times New Roman"/>
                <w:color w:val="000000" w:themeColor="text1"/>
                <w:sz w:val="28"/>
                <w:szCs w:val="28"/>
                <w:lang w:val="ru-RU"/>
              </w:rPr>
              <w:t>1</w:t>
            </w:r>
            <w:r w:rsidRPr="00CC7883">
              <w:rPr>
                <w:rFonts w:ascii="Times New Roman" w:hAnsi="Times New Roman" w:cs="Times New Roman"/>
                <w:color w:val="000000" w:themeColor="text1"/>
                <w:sz w:val="28"/>
                <w:szCs w:val="28"/>
              </w:rPr>
              <w:t>±0,09</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0,46±0,03</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1,65±0,07</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0,47±0,05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2,12±0,06</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0,43±0,02</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2,07±0,09</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0,66±0,05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2,73±0,07</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0,53±0,03</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1,84±0,07</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0,65±0,06</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2,4</w:t>
            </w:r>
            <w:r w:rsidR="00DD1897">
              <w:rPr>
                <w:rFonts w:ascii="Times New Roman" w:hAnsi="Times New Roman" w:cs="Times New Roman"/>
                <w:color w:val="000000" w:themeColor="text1"/>
                <w:sz w:val="28"/>
                <w:szCs w:val="28"/>
                <w:lang w:val="ru-RU"/>
              </w:rPr>
              <w:t>9</w:t>
            </w:r>
            <w:r w:rsidRPr="00CC7883">
              <w:rPr>
                <w:rFonts w:ascii="Times New Roman" w:hAnsi="Times New Roman" w:cs="Times New Roman"/>
                <w:color w:val="000000" w:themeColor="text1"/>
                <w:sz w:val="28"/>
                <w:szCs w:val="28"/>
              </w:rPr>
              <w:t>±0,05</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0,53±0,03</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1,96±0,08</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0,59±0,05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2,5</w:t>
            </w:r>
            <w:r w:rsidR="00DD1897">
              <w:rPr>
                <w:rFonts w:ascii="Times New Roman" w:hAnsi="Times New Roman" w:cs="Times New Roman"/>
                <w:color w:val="000000" w:themeColor="text1"/>
                <w:sz w:val="28"/>
                <w:szCs w:val="28"/>
                <w:lang w:val="ru-RU"/>
              </w:rPr>
              <w:t>5</w:t>
            </w:r>
            <w:r w:rsidRPr="00CC7883">
              <w:rPr>
                <w:rFonts w:ascii="Times New Roman" w:hAnsi="Times New Roman" w:cs="Times New Roman"/>
                <w:color w:val="000000" w:themeColor="text1"/>
                <w:sz w:val="28"/>
                <w:szCs w:val="28"/>
              </w:rPr>
              <w:t>±0,06</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0,50±0,01</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1,83±0,08</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0,55±0,04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2,38±0,04</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0,54±0,03</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2,33±0,09</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0,67±0,05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3,00±0,09</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0,66±0,04</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c>
          <w:tcPr>
            <w:tcW w:w="169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1,91±0,05</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0,61±0,04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2,52±0,06</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0,58±0,02</w:t>
            </w:r>
          </w:p>
        </w:tc>
      </w:tr>
      <w:tr w:rsidR="00A6064E" w:rsidRPr="00CC7883" w:rsidTr="00695ABA">
        <w:trPr>
          <w:trHeight w:val="375"/>
          <w:jc w:val="center"/>
        </w:trPr>
        <w:tc>
          <w:tcPr>
            <w:tcW w:w="9285"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«Загрей»</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1,24±0,06</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0,41±0,03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1,65±0,06</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0,24±0,01</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1,12±0,06</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0,37±0,02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1,49±0,05</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0,24±0,01</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1,27±0,05</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0,44±0,04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1,7</w:t>
            </w:r>
            <w:r w:rsidR="00DD1897">
              <w:rPr>
                <w:rFonts w:ascii="Times New Roman" w:hAnsi="Times New Roman" w:cs="Times New Roman"/>
                <w:color w:val="000000" w:themeColor="text1"/>
                <w:sz w:val="28"/>
                <w:szCs w:val="28"/>
                <w:lang w:val="ru-RU"/>
              </w:rPr>
              <w:t>1</w:t>
            </w:r>
            <w:r w:rsidRPr="00CC7883">
              <w:rPr>
                <w:rFonts w:ascii="Times New Roman" w:hAnsi="Times New Roman" w:cs="Times New Roman"/>
                <w:color w:val="000000" w:themeColor="text1"/>
                <w:sz w:val="28"/>
                <w:szCs w:val="28"/>
              </w:rPr>
              <w:t>±0,06</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0,42±0,02</w:t>
            </w:r>
          </w:p>
        </w:tc>
      </w:tr>
      <w:tr w:rsidR="00A6064E" w:rsidRPr="00CC7883" w:rsidTr="00695ABA">
        <w:trPr>
          <w:trHeight w:val="434"/>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1,22±0,04</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0,43±0,02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1,65±0,04</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0,39±0,02</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1,25±0,03</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0,43±0,02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1,68±0,04</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0,40±0,03</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1,19±0,04</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0,42±0,03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1,61±0,03</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0,34±0,02</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1,43±0,05</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0,60±0,04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2,03±0,06</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0,51±0,03</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1,35±0,06</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0,57±0,04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1,92±0,05</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0,49±0,02</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1,50±0,05</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0,57±0,03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2,07±0,07</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0,46±0,02</w:t>
            </w:r>
          </w:p>
        </w:tc>
      </w:tr>
      <w:tr w:rsidR="00A6064E"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1,36±0,03</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0,55±0,02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1,91±0,06</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A6064E" w:rsidRPr="00CC7883" w:rsidRDefault="00A6064E"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0,43±0,01</w:t>
            </w:r>
          </w:p>
        </w:tc>
      </w:tr>
      <w:tr w:rsidR="005A3F7D" w:rsidRPr="00CC7883" w:rsidTr="00695ABA">
        <w:trPr>
          <w:trHeight w:val="375"/>
          <w:jc w:val="center"/>
        </w:trPr>
        <w:tc>
          <w:tcPr>
            <w:tcW w:w="15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1,40±0,07</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0,77±0,05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2,17±0,05</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0,55±0,03</w:t>
            </w:r>
          </w:p>
        </w:tc>
      </w:tr>
      <w:tr w:rsidR="005A3F7D" w:rsidRPr="00CC7883" w:rsidTr="00695ABA">
        <w:trPr>
          <w:trHeight w:val="375"/>
          <w:jc w:val="center"/>
        </w:trPr>
        <w:tc>
          <w:tcPr>
            <w:tcW w:w="1563"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c>
          <w:tcPr>
            <w:tcW w:w="169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1,33±0,05</w:t>
            </w:r>
          </w:p>
        </w:tc>
        <w:tc>
          <w:tcPr>
            <w:tcW w:w="170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0,70±0,04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2,03±0,05</w:t>
            </w:r>
          </w:p>
        </w:tc>
        <w:tc>
          <w:tcPr>
            <w:tcW w:w="206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0,53±0,03</w:t>
            </w:r>
          </w:p>
        </w:tc>
      </w:tr>
    </w:tbl>
    <w:p w:rsidR="005A3F7D" w:rsidRPr="00CC7883" w:rsidRDefault="005A3F7D"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p>
    <w:p w:rsidR="000B30EF" w:rsidRPr="00CC7883" w:rsidRDefault="000B30EF"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тканинах листків мікроклонів винограду сьомого варіанту вміст хлорофілу </w:t>
      </w:r>
      <w:r w:rsidRPr="00CC7883">
        <w:rPr>
          <w:rFonts w:ascii="Times New Roman" w:eastAsia="NSimSun" w:hAnsi="Times New Roman" w:cs="Times New Roman"/>
          <w:i/>
          <w:color w:val="000000" w:themeColor="text1"/>
          <w:kern w:val="3"/>
          <w:sz w:val="28"/>
          <w:szCs w:val="28"/>
        </w:rPr>
        <w:t>а</w:t>
      </w:r>
      <w:r w:rsidRPr="00CC7883">
        <w:rPr>
          <w:rFonts w:ascii="Times New Roman" w:eastAsia="NSimSun" w:hAnsi="Times New Roman" w:cs="Times New Roman"/>
          <w:color w:val="000000" w:themeColor="text1"/>
          <w:kern w:val="3"/>
          <w:sz w:val="28"/>
          <w:szCs w:val="28"/>
        </w:rPr>
        <w:t xml:space="preserve"> перевищував контрольні значення на 40,7</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(«Добриня»), на 40,8 % («Гарант»), на 31,9 % («Ярило»), на 13,3 % («Загрей»). Для восьмого варіанту цей показник збільшувався на 42,1 %, 44,8</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 29,9 %, 17,0 %, для дев’ятого – 32,4 %, 38,3 %, 28,1 %, 17,3 %, для одинадцятого – 15,8 %, 37,5 %, 39,5 %, 11,4 %. У середньому в тканинах листків мікроклонів винограду синтезувалося хлорофілу </w:t>
      </w:r>
      <w:r w:rsidRPr="00CC7883">
        <w:rPr>
          <w:rFonts w:ascii="Times New Roman" w:eastAsia="NSimSun" w:hAnsi="Times New Roman" w:cs="Times New Roman"/>
          <w:i/>
          <w:color w:val="000000" w:themeColor="text1"/>
          <w:kern w:val="3"/>
          <w:sz w:val="28"/>
          <w:szCs w:val="28"/>
        </w:rPr>
        <w:t>а</w:t>
      </w:r>
      <w:r w:rsidRPr="00CC7883">
        <w:rPr>
          <w:rFonts w:ascii="Times New Roman" w:eastAsia="NSimSun" w:hAnsi="Times New Roman" w:cs="Times New Roman"/>
          <w:color w:val="000000" w:themeColor="text1"/>
          <w:kern w:val="3"/>
          <w:sz w:val="28"/>
          <w:szCs w:val="28"/>
        </w:rPr>
        <w:t xml:space="preserve"> – 1,43–2,43 мг/г вологої маси (сьомий варіант), 1,35–2,40 мг/г вологої маси (восьмий варіант), 1,50–2,13 мг/г вологої маси </w:t>
      </w:r>
      <w:r w:rsidRPr="00CC7883">
        <w:rPr>
          <w:rFonts w:ascii="Times New Roman" w:eastAsia="NSimSun" w:hAnsi="Times New Roman" w:cs="Times New Roman"/>
          <w:color w:val="000000" w:themeColor="text1"/>
          <w:kern w:val="3"/>
          <w:sz w:val="28"/>
          <w:szCs w:val="28"/>
        </w:rPr>
        <w:lastRenderedPageBreak/>
        <w:t xml:space="preserve">(дев’ятий варіант), 1,40–2,33 мг/г вологої маси (одинадцятий варіант). </w:t>
      </w:r>
    </w:p>
    <w:p w:rsidR="000B30EF" w:rsidRPr="00CC7883" w:rsidRDefault="000B30EF"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тканинах листків мікроклонів винограду підщепних сортів, які культивували на поживних середовищах MS + БАП (Радіфарм, Clonex gel), вміст хлорофілу </w:t>
      </w:r>
      <w:r w:rsidRPr="00CC7883">
        <w:rPr>
          <w:rFonts w:ascii="Times New Roman" w:eastAsia="Calibri" w:hAnsi="Times New Roman" w:cs="Times New Roman"/>
          <w:bCs/>
          <w:i/>
          <w:color w:val="000000" w:themeColor="text1"/>
          <w:sz w:val="28"/>
          <w:szCs w:val="28"/>
        </w:rPr>
        <w:t xml:space="preserve">а </w:t>
      </w:r>
      <w:r w:rsidRPr="00CC7883">
        <w:rPr>
          <w:rFonts w:ascii="Times New Roman" w:eastAsia="NSimSun" w:hAnsi="Times New Roman" w:cs="Times New Roman"/>
          <w:color w:val="000000" w:themeColor="text1"/>
          <w:kern w:val="3"/>
          <w:sz w:val="28"/>
          <w:szCs w:val="28"/>
        </w:rPr>
        <w:t>збільшувався порівняно з контролем у середньому на 1,4–23,1 % та становив 1,39–1,55 мг/г вологої маси і 1,07–1,15 мг/г вологої маси. Для технічних сортів цей показник дорівнював 1,63–1,78 мг/г вологої маси і 1,19–1,27 мг/г вологої маси та збільшувався відносно контролю на 1,4–20,9 % і 0,8–21,8 %.</w:t>
      </w:r>
    </w:p>
    <w:p w:rsidR="000B30EF" w:rsidRPr="00CC7883" w:rsidRDefault="000B30EF"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рослин винограду підщепних і технічних сортів десятого, дванадцятого варіантів вміст хлорофілу </w:t>
      </w:r>
      <w:r w:rsidRPr="00CC7883">
        <w:rPr>
          <w:rFonts w:ascii="Times New Roman" w:eastAsia="Calibri" w:hAnsi="Times New Roman" w:cs="Times New Roman"/>
          <w:bCs/>
          <w:i/>
          <w:color w:val="000000" w:themeColor="text1"/>
          <w:sz w:val="28"/>
          <w:szCs w:val="28"/>
        </w:rPr>
        <w:t>а</w:t>
      </w:r>
      <w:r w:rsidRPr="00CC7883">
        <w:rPr>
          <w:rFonts w:ascii="Times New Roman" w:eastAsia="NSimSun" w:hAnsi="Times New Roman" w:cs="Times New Roman"/>
          <w:color w:val="000000" w:themeColor="text1"/>
          <w:kern w:val="3"/>
          <w:sz w:val="28"/>
          <w:szCs w:val="28"/>
        </w:rPr>
        <w:t xml:space="preserve"> у тканинах листків збільшувався порівняно з контролями на 15,2–26,8 % і 36,4–41,7 %, 29,5–32,5 % і 15,8–17,6</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 Його вміст дорівнював у середньому 1,43–1,90 та 1,33–1,91 мг/г вологої маси. </w:t>
      </w:r>
    </w:p>
    <w:p w:rsidR="000B30EF" w:rsidRPr="00CC7883" w:rsidRDefault="000B30EF"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Порівнюючи вміст хлорофілу </w:t>
      </w:r>
      <w:r w:rsidRPr="00CC7883">
        <w:rPr>
          <w:rFonts w:ascii="Times New Roman" w:eastAsia="NSimSun" w:hAnsi="Times New Roman" w:cs="Times New Roman"/>
          <w:i/>
          <w:color w:val="000000" w:themeColor="text1"/>
          <w:kern w:val="3"/>
          <w:sz w:val="28"/>
          <w:szCs w:val="28"/>
        </w:rPr>
        <w:t>а</w:t>
      </w:r>
      <w:r w:rsidRPr="00CC7883">
        <w:rPr>
          <w:rFonts w:ascii="Times New Roman" w:eastAsia="NSimSun" w:hAnsi="Times New Roman" w:cs="Times New Roman"/>
          <w:color w:val="000000" w:themeColor="text1"/>
          <w:kern w:val="3"/>
          <w:sz w:val="28"/>
          <w:szCs w:val="28"/>
        </w:rPr>
        <w:t xml:space="preserve"> у тканинах листків і пагонів мікроклонів винограду залежно від фітогормонального складу середовища, встановлено, що у варіантах із меншим вмістом фітогормонів (0,2 мг/л 6-БАП та 0,3 мг/л ІОК) його кількість зростала порівняно з варіантами, де концентрація фітогормонів була вищою (0,5 мг/л 6-БАП, 0,6 мг/л ІОК), на 5,6</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у сорту «Добриня», 5,2 % – «Гарант», 10,9 % – «Ярило» та 6,9 % – «Загрей».</w:t>
      </w:r>
    </w:p>
    <w:p w:rsidR="005A3F7D" w:rsidRPr="00CC7883" w:rsidRDefault="005A3F7D"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Визначення вмісту хлорофілу </w:t>
      </w:r>
      <w:r w:rsidRPr="00CC7883">
        <w:rPr>
          <w:rFonts w:ascii="Times New Roman" w:eastAsia="Calibri" w:hAnsi="Times New Roman" w:cs="Times New Roman"/>
          <w:bCs/>
          <w:i/>
          <w:color w:val="000000" w:themeColor="text1"/>
          <w:sz w:val="28"/>
          <w:szCs w:val="28"/>
        </w:rPr>
        <w:t>b</w:t>
      </w:r>
      <w:r w:rsidRPr="00CC7883">
        <w:rPr>
          <w:rFonts w:ascii="Times New Roman" w:eastAsia="NSimSun" w:hAnsi="Times New Roman" w:cs="Times New Roman"/>
          <w:color w:val="000000" w:themeColor="text1"/>
          <w:kern w:val="3"/>
          <w:sz w:val="28"/>
          <w:szCs w:val="28"/>
        </w:rPr>
        <w:t xml:space="preserve"> у листках мікроклонів винограду контрольних варіантів показало у середньому 0,25–0,37 мг/г вологої маси (підщепні сорти), 0,37–0,41 мг/г вологої маси (технічні сорти).</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Найбільше хлорофілу </w:t>
      </w:r>
      <w:r w:rsidRPr="00CC7883">
        <w:rPr>
          <w:rFonts w:ascii="Times New Roman" w:eastAsia="Calibri" w:hAnsi="Times New Roman" w:cs="Times New Roman"/>
          <w:bCs/>
          <w:i/>
          <w:color w:val="000000" w:themeColor="text1"/>
          <w:sz w:val="28"/>
          <w:szCs w:val="28"/>
        </w:rPr>
        <w:t>b</w:t>
      </w:r>
      <w:r w:rsidRPr="00CC7883">
        <w:rPr>
          <w:rFonts w:ascii="Times New Roman" w:eastAsia="NSimSun" w:hAnsi="Times New Roman" w:cs="Times New Roman"/>
          <w:color w:val="000000" w:themeColor="text1"/>
          <w:kern w:val="3"/>
          <w:sz w:val="28"/>
          <w:szCs w:val="28"/>
        </w:rPr>
        <w:t xml:space="preserve"> синтезувалось у листках мікроклонів, що культивували на поживних середовищах у сьомому, восьмому та одинадцятому варіантах. Вміст цих пігментів дорівнював для підщепних сортів – 0,59–0,83</w:t>
      </w:r>
      <w:r w:rsidR="00A40C86"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мг/г вологої маси, для технічних сортів – 0,57–0,77 мг/г вологої маси, що було більшим за контрольні значення в середньому на 31,7–60,3 %. </w:t>
      </w:r>
    </w:p>
    <w:p w:rsidR="005A3F7D" w:rsidRPr="00CC7883" w:rsidRDefault="005A3F7D"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тканинах листків мікроклонів винограду, які культивували на </w:t>
      </w:r>
      <w:r w:rsidRPr="00CC7883">
        <w:rPr>
          <w:rFonts w:ascii="Times New Roman" w:eastAsia="NSimSun" w:hAnsi="Times New Roman" w:cs="Times New Roman"/>
          <w:color w:val="000000" w:themeColor="text1"/>
          <w:kern w:val="3"/>
          <w:sz w:val="28"/>
          <w:szCs w:val="28"/>
        </w:rPr>
        <w:lastRenderedPageBreak/>
        <w:t xml:space="preserve">поживних середовищах у третьому–шостому варіантах, вміст хлорофілу </w:t>
      </w:r>
      <w:r w:rsidRPr="00CC7883">
        <w:rPr>
          <w:rFonts w:ascii="Times New Roman" w:eastAsia="Calibri" w:hAnsi="Times New Roman" w:cs="Times New Roman"/>
          <w:bCs/>
          <w:i/>
          <w:color w:val="000000" w:themeColor="text1"/>
          <w:sz w:val="28"/>
          <w:szCs w:val="28"/>
        </w:rPr>
        <w:t>b</w:t>
      </w:r>
      <w:r w:rsidRPr="00CC7883">
        <w:rPr>
          <w:rFonts w:ascii="Times New Roman" w:eastAsia="NSimSun" w:hAnsi="Times New Roman" w:cs="Times New Roman"/>
          <w:color w:val="000000" w:themeColor="text1"/>
          <w:kern w:val="3"/>
          <w:sz w:val="28"/>
          <w:szCs w:val="28"/>
        </w:rPr>
        <w:t xml:space="preserve"> збільшувався, порівняно з контролем, на 12,1–43,1 % («Добриня»), на 9,7–26,5 % («Гарант»), на 10,9–22,6 % («Ярило»), на 4,7–14,0 % («Загрей») і дорівнював 0,31–0,53 мг/г вологої маси для підщепних сортів та 0,42–0,53</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мг/г вологої маси для технічних сортів.</w:t>
      </w:r>
    </w:p>
    <w:p w:rsidR="005A3F7D" w:rsidRPr="00CC7883" w:rsidRDefault="005A3F7D"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Вміст хлорофілу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у тканинах листків мікроклонів дев’ятого, десятого і дванадцятого варіантів збільшувався відносно контролю на 44,8–53,2 % («Добриня»), 54,1–58,3 % («Гарант»), 30,5–37,7 % («Ярило»), 28,1–47,1 % («Загрей»), і дорівнював 0,61–0,67 і 0,57–0,59 мг/г вологої маси (дев’ятий варіант), 0,60–0,62 і 0,55 мг/г вологої маси (десятий варіант), 0,53–0,60 і 0,61–0,70 мг/г вологої маси (дванадцятий варіант).</w:t>
      </w:r>
    </w:p>
    <w:p w:rsidR="005A3F7D" w:rsidRPr="00CC7883" w:rsidRDefault="005A3F7D"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Порівняння вмісту хлорофілу </w:t>
      </w:r>
      <w:r w:rsidRPr="00CC7883">
        <w:rPr>
          <w:rFonts w:ascii="Times New Roman" w:eastAsia="Calibri" w:hAnsi="Times New Roman" w:cs="Times New Roman"/>
          <w:bCs/>
          <w:i/>
          <w:color w:val="000000" w:themeColor="text1"/>
          <w:sz w:val="28"/>
          <w:szCs w:val="28"/>
        </w:rPr>
        <w:t>b</w:t>
      </w:r>
      <w:r w:rsidRPr="00CC7883">
        <w:rPr>
          <w:rFonts w:ascii="Times New Roman" w:eastAsia="NSimSun" w:hAnsi="Times New Roman" w:cs="Times New Roman"/>
          <w:color w:val="000000" w:themeColor="text1"/>
          <w:kern w:val="3"/>
          <w:sz w:val="28"/>
          <w:szCs w:val="28"/>
        </w:rPr>
        <w:t xml:space="preserve"> за варіантами, що відрізнялися різним вмістом фітогормонів</w:t>
      </w:r>
      <w:r w:rsidR="002A02FA">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показало, що в тих варіантах, де у поживному середовищі було менше фітогормонів</w:t>
      </w:r>
      <w:r w:rsidR="008D2EE0">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вміст хлорофілу </w:t>
      </w:r>
      <w:r w:rsidRPr="00CC7883">
        <w:rPr>
          <w:rFonts w:ascii="Times New Roman" w:eastAsia="Calibri" w:hAnsi="Times New Roman" w:cs="Times New Roman"/>
          <w:bCs/>
          <w:i/>
          <w:color w:val="000000" w:themeColor="text1"/>
          <w:sz w:val="28"/>
          <w:szCs w:val="28"/>
        </w:rPr>
        <w:t>b</w:t>
      </w:r>
      <w:r w:rsidRPr="00CC7883">
        <w:rPr>
          <w:rFonts w:ascii="Times New Roman" w:eastAsia="NSimSun" w:hAnsi="Times New Roman" w:cs="Times New Roman"/>
          <w:color w:val="000000" w:themeColor="text1"/>
          <w:kern w:val="3"/>
          <w:sz w:val="28"/>
          <w:szCs w:val="28"/>
        </w:rPr>
        <w:t xml:space="preserve"> збільшувався на 13,6</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(«Добриня»), 3,6 % («Гарант»), 7,1 % («Ярило»), 5,9 % («Загрей»).</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Проведений аналіз показав, що сума хлорофілів </w:t>
      </w:r>
      <w:r w:rsidRPr="00CC7883">
        <w:rPr>
          <w:rFonts w:ascii="Times New Roman" w:eastAsia="NSimSun" w:hAnsi="Times New Roman" w:cs="Times New Roman"/>
          <w:i/>
          <w:color w:val="000000" w:themeColor="text1"/>
          <w:kern w:val="3"/>
          <w:sz w:val="28"/>
          <w:szCs w:val="28"/>
        </w:rPr>
        <w:t>a</w:t>
      </w:r>
      <w:r w:rsidRPr="00CC7883">
        <w:rPr>
          <w:rFonts w:ascii="Times New Roman" w:eastAsia="NSimSun" w:hAnsi="Times New Roman" w:cs="Times New Roman"/>
          <w:color w:val="000000" w:themeColor="text1"/>
          <w:kern w:val="3"/>
          <w:sz w:val="28"/>
          <w:szCs w:val="28"/>
        </w:rPr>
        <w:t xml:space="preserve"> і </w:t>
      </w:r>
      <w:r w:rsidRPr="00CC7883">
        <w:rPr>
          <w:rFonts w:ascii="Times New Roman" w:eastAsia="Calibri" w:hAnsi="Times New Roman" w:cs="Times New Roman"/>
          <w:bCs/>
          <w:i/>
          <w:color w:val="000000" w:themeColor="text1"/>
          <w:sz w:val="28"/>
          <w:szCs w:val="28"/>
        </w:rPr>
        <w:t>b</w:t>
      </w:r>
      <w:r w:rsidRPr="00CC7883">
        <w:rPr>
          <w:rFonts w:ascii="Times New Roman" w:eastAsia="NSimSun" w:hAnsi="Times New Roman" w:cs="Times New Roman"/>
          <w:color w:val="000000" w:themeColor="text1"/>
          <w:kern w:val="3"/>
          <w:sz w:val="28"/>
          <w:szCs w:val="28"/>
        </w:rPr>
        <w:t xml:space="preserve"> у тканинах листків мікроклонів винограду підщепних і технічних сортів контрольних варіантів дорівнювала 1,16–1,81 мг/г вологої маси (підщепні сорти) та 1,49–1,82 мг/г вологої маси (технічні сорти).</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Найбільше хлорофілів синтезувалось у листках мікроклонів сьомого, восьмого, дев’ятого і </w:t>
      </w:r>
      <w:r w:rsidR="00496CAB">
        <w:rPr>
          <w:rFonts w:ascii="Times New Roman" w:eastAsia="NSimSun" w:hAnsi="Times New Roman" w:cs="Times New Roman"/>
          <w:color w:val="000000" w:themeColor="text1"/>
          <w:kern w:val="3"/>
          <w:sz w:val="28"/>
          <w:szCs w:val="28"/>
        </w:rPr>
        <w:t>дванадцятого</w:t>
      </w:r>
      <w:r w:rsidRPr="00CC7883">
        <w:rPr>
          <w:rFonts w:ascii="Times New Roman" w:eastAsia="NSimSun" w:hAnsi="Times New Roman" w:cs="Times New Roman"/>
          <w:color w:val="000000" w:themeColor="text1"/>
          <w:kern w:val="3"/>
          <w:sz w:val="28"/>
          <w:szCs w:val="28"/>
        </w:rPr>
        <w:t xml:space="preserve"> варіантів. У підщепних сортів цих варіантів сума хлорофілів перевищувала контрольні значення на </w:t>
      </w:r>
      <w:r w:rsidR="00496CAB">
        <w:rPr>
          <w:rFonts w:ascii="Times New Roman" w:eastAsia="NSimSun" w:hAnsi="Times New Roman" w:cs="Times New Roman"/>
          <w:color w:val="000000" w:themeColor="text1"/>
          <w:kern w:val="3"/>
          <w:sz w:val="28"/>
          <w:szCs w:val="28"/>
        </w:rPr>
        <w:t>22,6</w:t>
      </w:r>
      <w:r w:rsidRPr="00CC7883">
        <w:rPr>
          <w:rFonts w:ascii="Times New Roman" w:eastAsia="NSimSun" w:hAnsi="Times New Roman" w:cs="Times New Roman"/>
          <w:color w:val="000000" w:themeColor="text1"/>
          <w:kern w:val="3"/>
          <w:sz w:val="28"/>
          <w:szCs w:val="28"/>
        </w:rPr>
        <w:t xml:space="preserve">–46,3 % («Добриня») і </w:t>
      </w:r>
      <w:r w:rsidR="00496CAB">
        <w:rPr>
          <w:rFonts w:ascii="Times New Roman" w:eastAsia="NSimSun" w:hAnsi="Times New Roman" w:cs="Times New Roman"/>
          <w:color w:val="000000" w:themeColor="text1"/>
          <w:kern w:val="3"/>
          <w:sz w:val="28"/>
          <w:szCs w:val="28"/>
        </w:rPr>
        <w:t>42,6</w:t>
      </w:r>
      <w:r w:rsidRPr="00CC7883">
        <w:rPr>
          <w:rFonts w:ascii="Times New Roman" w:eastAsia="NSimSun" w:hAnsi="Times New Roman" w:cs="Times New Roman"/>
          <w:color w:val="000000" w:themeColor="text1"/>
          <w:kern w:val="3"/>
          <w:sz w:val="28"/>
          <w:szCs w:val="28"/>
        </w:rPr>
        <w:t>–4</w:t>
      </w:r>
      <w:r w:rsidR="00496CAB">
        <w:rPr>
          <w:rFonts w:ascii="Times New Roman" w:eastAsia="NSimSun" w:hAnsi="Times New Roman" w:cs="Times New Roman"/>
          <w:color w:val="000000" w:themeColor="text1"/>
          <w:kern w:val="3"/>
          <w:sz w:val="28"/>
          <w:szCs w:val="28"/>
        </w:rPr>
        <w:t>9,1</w:t>
      </w:r>
      <w:r w:rsidRPr="00CC7883">
        <w:rPr>
          <w:rFonts w:ascii="Times New Roman" w:eastAsia="NSimSun" w:hAnsi="Times New Roman" w:cs="Times New Roman"/>
          <w:color w:val="000000" w:themeColor="text1"/>
          <w:kern w:val="3"/>
          <w:sz w:val="28"/>
          <w:szCs w:val="28"/>
        </w:rPr>
        <w:t xml:space="preserve"> % («Гарант»), у технічних сортів – на 28,</w:t>
      </w:r>
      <w:r w:rsidR="00496CAB">
        <w:rPr>
          <w:rFonts w:ascii="Times New Roman" w:eastAsia="NSimSun" w:hAnsi="Times New Roman" w:cs="Times New Roman"/>
          <w:color w:val="000000" w:themeColor="text1"/>
          <w:kern w:val="3"/>
          <w:sz w:val="28"/>
          <w:szCs w:val="28"/>
        </w:rPr>
        <w:t>6</w:t>
      </w:r>
      <w:r w:rsidRPr="00CC7883">
        <w:rPr>
          <w:rFonts w:ascii="Times New Roman" w:eastAsia="NSimSun" w:hAnsi="Times New Roman" w:cs="Times New Roman"/>
          <w:color w:val="000000" w:themeColor="text1"/>
          <w:kern w:val="3"/>
          <w:sz w:val="28"/>
          <w:szCs w:val="28"/>
        </w:rPr>
        <w:t>–</w:t>
      </w:r>
      <w:r w:rsidR="00496CAB">
        <w:rPr>
          <w:rFonts w:ascii="Times New Roman" w:eastAsia="NSimSun" w:hAnsi="Times New Roman" w:cs="Times New Roman"/>
          <w:color w:val="000000" w:themeColor="text1"/>
          <w:kern w:val="3"/>
          <w:sz w:val="28"/>
          <w:szCs w:val="28"/>
        </w:rPr>
        <w:t>33,7</w:t>
      </w:r>
      <w:r w:rsidRPr="00CC7883">
        <w:rPr>
          <w:rFonts w:ascii="Times New Roman" w:eastAsia="NSimSun" w:hAnsi="Times New Roman" w:cs="Times New Roman"/>
          <w:color w:val="000000" w:themeColor="text1"/>
          <w:kern w:val="3"/>
          <w:sz w:val="28"/>
          <w:szCs w:val="28"/>
        </w:rPr>
        <w:t xml:space="preserve"> % («Ярило») і 18,7–</w:t>
      </w:r>
      <w:r w:rsidR="00496CAB">
        <w:rPr>
          <w:rFonts w:ascii="Times New Roman" w:eastAsia="NSimSun" w:hAnsi="Times New Roman" w:cs="Times New Roman"/>
          <w:color w:val="000000" w:themeColor="text1"/>
          <w:kern w:val="3"/>
          <w:sz w:val="28"/>
          <w:szCs w:val="28"/>
        </w:rPr>
        <w:t>26,6</w:t>
      </w:r>
      <w:r w:rsidRPr="00CC7883">
        <w:rPr>
          <w:rFonts w:ascii="Times New Roman" w:eastAsia="NSimSun" w:hAnsi="Times New Roman" w:cs="Times New Roman"/>
          <w:color w:val="000000" w:themeColor="text1"/>
          <w:kern w:val="3"/>
          <w:sz w:val="28"/>
          <w:szCs w:val="28"/>
        </w:rPr>
        <w:t xml:space="preserve"> % («Загрей»). </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У тканинах листків мікроклонів винограду підщепних сортів, які культивували на поживних середовищах з БАП (третій–шостий варіанти), сума хлорофілів</w:t>
      </w:r>
      <w:r w:rsidR="006D3C79"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color w:val="000000" w:themeColor="text1"/>
          <w:kern w:val="3"/>
          <w:sz w:val="28"/>
          <w:szCs w:val="28"/>
        </w:rPr>
        <w:t>a</w:t>
      </w:r>
      <w:r w:rsidRPr="00CC7883">
        <w:rPr>
          <w:rFonts w:ascii="Times New Roman" w:eastAsia="NSimSun" w:hAnsi="Times New Roman" w:cs="Times New Roman"/>
          <w:color w:val="000000" w:themeColor="text1"/>
          <w:kern w:val="3"/>
          <w:sz w:val="28"/>
          <w:szCs w:val="28"/>
        </w:rPr>
        <w:t xml:space="preserve"> і </w:t>
      </w:r>
      <w:r w:rsidRPr="00CC7883">
        <w:rPr>
          <w:rFonts w:ascii="Times New Roman" w:eastAsia="Calibri" w:hAnsi="Times New Roman" w:cs="Times New Roman"/>
          <w:bCs/>
          <w:i/>
          <w:color w:val="000000" w:themeColor="text1"/>
          <w:sz w:val="28"/>
          <w:szCs w:val="28"/>
        </w:rPr>
        <w:t>b</w:t>
      </w:r>
      <w:r w:rsidR="000B434A">
        <w:rPr>
          <w:rFonts w:ascii="Times New Roman" w:eastAsia="Calibri" w:hAnsi="Times New Roman" w:cs="Times New Roman"/>
          <w:bCs/>
          <w:i/>
          <w:color w:val="000000" w:themeColor="text1"/>
          <w:sz w:val="28"/>
          <w:szCs w:val="28"/>
        </w:rPr>
        <w:t xml:space="preserve"> </w:t>
      </w:r>
      <w:r w:rsidRPr="00CC7883">
        <w:rPr>
          <w:rFonts w:ascii="Times New Roman" w:eastAsia="NSimSun" w:hAnsi="Times New Roman" w:cs="Times New Roman"/>
          <w:color w:val="000000" w:themeColor="text1"/>
          <w:kern w:val="3"/>
          <w:sz w:val="28"/>
          <w:szCs w:val="28"/>
        </w:rPr>
        <w:t>дорівнювала 1,</w:t>
      </w:r>
      <w:r w:rsidR="00707CE9" w:rsidRPr="00F62136">
        <w:rPr>
          <w:rFonts w:ascii="Times New Roman" w:eastAsia="NSimSun" w:hAnsi="Times New Roman" w:cs="Times New Roman"/>
          <w:color w:val="000000" w:themeColor="text1"/>
          <w:kern w:val="3"/>
          <w:sz w:val="28"/>
          <w:szCs w:val="28"/>
        </w:rPr>
        <w:t>41</w:t>
      </w:r>
      <w:r w:rsidRPr="00CC7883">
        <w:rPr>
          <w:rFonts w:ascii="Times New Roman" w:eastAsia="NSimSun" w:hAnsi="Times New Roman" w:cs="Times New Roman"/>
          <w:color w:val="000000" w:themeColor="text1"/>
          <w:kern w:val="3"/>
          <w:sz w:val="28"/>
          <w:szCs w:val="28"/>
        </w:rPr>
        <w:t>–1,98 мг/г вологої маси для сортів «Добриня» і «Гарант», що перевищувало контрольні значення на 8,1–11,</w:t>
      </w:r>
      <w:r w:rsidR="00707CE9" w:rsidRPr="00F62136">
        <w:rPr>
          <w:rFonts w:ascii="Times New Roman" w:eastAsia="NSimSun" w:hAnsi="Times New Roman" w:cs="Times New Roman"/>
          <w:color w:val="000000" w:themeColor="text1"/>
          <w:kern w:val="3"/>
          <w:sz w:val="28"/>
          <w:szCs w:val="28"/>
        </w:rPr>
        <w:t>6</w:t>
      </w:r>
      <w:r w:rsidRPr="00CC7883">
        <w:rPr>
          <w:rFonts w:ascii="Times New Roman" w:eastAsia="NSimSun" w:hAnsi="Times New Roman" w:cs="Times New Roman"/>
          <w:color w:val="000000" w:themeColor="text1"/>
          <w:kern w:val="3"/>
          <w:sz w:val="28"/>
          <w:szCs w:val="28"/>
        </w:rPr>
        <w:t xml:space="preserve"> % («Добриня»), на </w:t>
      </w:r>
      <w:r w:rsidR="00707CE9" w:rsidRPr="00F62136">
        <w:rPr>
          <w:rFonts w:ascii="Times New Roman" w:eastAsia="NSimSun" w:hAnsi="Times New Roman" w:cs="Times New Roman"/>
          <w:color w:val="000000" w:themeColor="text1"/>
          <w:kern w:val="3"/>
          <w:sz w:val="28"/>
          <w:szCs w:val="28"/>
        </w:rPr>
        <w:t>12,3</w:t>
      </w:r>
      <w:r w:rsidRPr="00CC7883">
        <w:rPr>
          <w:rFonts w:ascii="Times New Roman" w:eastAsia="NSimSun" w:hAnsi="Times New Roman" w:cs="Times New Roman"/>
          <w:color w:val="000000" w:themeColor="text1"/>
          <w:kern w:val="3"/>
          <w:sz w:val="28"/>
          <w:szCs w:val="28"/>
        </w:rPr>
        <w:t>–</w:t>
      </w:r>
      <w:r w:rsidR="00707CE9" w:rsidRPr="00F62136">
        <w:rPr>
          <w:rFonts w:ascii="Times New Roman" w:eastAsia="NSimSun" w:hAnsi="Times New Roman" w:cs="Times New Roman"/>
          <w:color w:val="000000" w:themeColor="text1"/>
          <w:kern w:val="3"/>
          <w:sz w:val="28"/>
          <w:szCs w:val="28"/>
        </w:rPr>
        <w:t>20,0</w:t>
      </w:r>
      <w:r w:rsidRPr="00CC7883">
        <w:rPr>
          <w:rFonts w:ascii="Times New Roman" w:eastAsia="NSimSun" w:hAnsi="Times New Roman" w:cs="Times New Roman"/>
          <w:color w:val="000000" w:themeColor="text1"/>
          <w:kern w:val="3"/>
          <w:sz w:val="28"/>
          <w:szCs w:val="28"/>
        </w:rPr>
        <w:t xml:space="preserve"> % («Гарант»). Для сортів «Ярило» і «Загрей» сума хлорофілів </w:t>
      </w:r>
      <w:r w:rsidRPr="00CC7883">
        <w:rPr>
          <w:rFonts w:ascii="Times New Roman" w:eastAsia="NSimSun" w:hAnsi="Times New Roman" w:cs="Times New Roman"/>
          <w:i/>
          <w:color w:val="000000" w:themeColor="text1"/>
          <w:kern w:val="3"/>
          <w:sz w:val="28"/>
          <w:szCs w:val="28"/>
        </w:rPr>
        <w:t>a</w:t>
      </w:r>
      <w:r w:rsidRPr="00CC7883">
        <w:rPr>
          <w:rFonts w:ascii="Times New Roman" w:eastAsia="NSimSun" w:hAnsi="Times New Roman" w:cs="Times New Roman"/>
          <w:color w:val="000000" w:themeColor="text1"/>
          <w:kern w:val="3"/>
          <w:sz w:val="28"/>
          <w:szCs w:val="28"/>
        </w:rPr>
        <w:t xml:space="preserve"> і </w:t>
      </w:r>
      <w:r w:rsidRPr="00CC7883">
        <w:rPr>
          <w:rFonts w:ascii="Times New Roman" w:eastAsia="NSimSun" w:hAnsi="Times New Roman" w:cs="Times New Roman"/>
          <w:i/>
          <w:color w:val="000000" w:themeColor="text1"/>
          <w:kern w:val="3"/>
          <w:sz w:val="28"/>
          <w:szCs w:val="28"/>
        </w:rPr>
        <w:t>b</w:t>
      </w:r>
      <w:r w:rsidR="00E921EA" w:rsidRPr="00CC7883">
        <w:rPr>
          <w:rFonts w:ascii="Times New Roman" w:eastAsia="NSimSun" w:hAnsi="Times New Roman" w:cs="Times New Roman"/>
          <w:i/>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дорівнювала 1,61–2,3</w:t>
      </w:r>
      <w:r w:rsidR="00707CE9" w:rsidRPr="00F62136">
        <w:rPr>
          <w:rFonts w:ascii="Times New Roman" w:eastAsia="NSimSun" w:hAnsi="Times New Roman" w:cs="Times New Roman"/>
          <w:color w:val="000000" w:themeColor="text1"/>
          <w:kern w:val="3"/>
          <w:sz w:val="28"/>
          <w:szCs w:val="28"/>
        </w:rPr>
        <w:t>1</w:t>
      </w:r>
      <w:r w:rsidRPr="00CC7883">
        <w:rPr>
          <w:rFonts w:ascii="Times New Roman" w:eastAsia="NSimSun" w:hAnsi="Times New Roman" w:cs="Times New Roman"/>
          <w:color w:val="000000" w:themeColor="text1"/>
          <w:kern w:val="3"/>
          <w:sz w:val="28"/>
          <w:szCs w:val="28"/>
        </w:rPr>
        <w:t xml:space="preserve"> мг/г вологої маси та збільшувалась на </w:t>
      </w:r>
      <w:r w:rsidRPr="00CC7883">
        <w:rPr>
          <w:rFonts w:ascii="Times New Roman" w:eastAsia="NSimSun" w:hAnsi="Times New Roman" w:cs="Times New Roman"/>
          <w:color w:val="000000" w:themeColor="text1"/>
          <w:kern w:val="3"/>
          <w:sz w:val="28"/>
          <w:szCs w:val="28"/>
        </w:rPr>
        <w:lastRenderedPageBreak/>
        <w:t>16,1–21,2 % і 1,8–9,7 % порівняно з контролем.</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 xml:space="preserve">Показник суми хлорофілів </w:t>
      </w:r>
      <w:r w:rsidRPr="00CC7883">
        <w:rPr>
          <w:rFonts w:ascii="Times New Roman" w:eastAsia="NSimSun" w:hAnsi="Times New Roman" w:cs="Times New Roman"/>
          <w:i/>
          <w:color w:val="000000" w:themeColor="text1"/>
          <w:kern w:val="3"/>
          <w:sz w:val="28"/>
          <w:szCs w:val="28"/>
        </w:rPr>
        <w:t>a</w:t>
      </w:r>
      <w:r w:rsidRPr="00CC7883">
        <w:rPr>
          <w:rFonts w:ascii="Times New Roman" w:eastAsia="NSimSun" w:hAnsi="Times New Roman" w:cs="Times New Roman"/>
          <w:color w:val="000000" w:themeColor="text1"/>
          <w:kern w:val="3"/>
          <w:sz w:val="28"/>
          <w:szCs w:val="28"/>
        </w:rPr>
        <w:t xml:space="preserve"> і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у тканинах листків мікроклонів винограду підщепних і технічних сортів, які культивували на структурованих поживних середовищах, де вміст фітогормонів був більшим (десятий, дванадцятий варіанти)</w:t>
      </w:r>
      <w:r w:rsidR="00676CB5">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переважав контролі на 22,6–46,</w:t>
      </w:r>
      <w:r w:rsidR="00EE6165">
        <w:rPr>
          <w:rFonts w:ascii="Times New Roman" w:eastAsia="NSimSun" w:hAnsi="Times New Roman" w:cs="Times New Roman"/>
          <w:color w:val="000000" w:themeColor="text1"/>
          <w:kern w:val="3"/>
          <w:sz w:val="28"/>
          <w:szCs w:val="28"/>
          <w:lang w:val="ru-RU"/>
        </w:rPr>
        <w:t>3</w:t>
      </w:r>
      <w:r w:rsidRPr="00CC7883">
        <w:rPr>
          <w:rFonts w:ascii="Times New Roman" w:eastAsia="NSimSun" w:hAnsi="Times New Roman" w:cs="Times New Roman"/>
          <w:color w:val="000000" w:themeColor="text1"/>
          <w:kern w:val="3"/>
          <w:sz w:val="28"/>
          <w:szCs w:val="28"/>
        </w:rPr>
        <w:t xml:space="preserve"> % і 22,0–33,7 % та дорівнював 2,17–2,52 мг/г вологої маси для сорту «Добриня», 2,0</w:t>
      </w:r>
      <w:r w:rsidR="00EE6165">
        <w:rPr>
          <w:rFonts w:ascii="Times New Roman" w:eastAsia="NSimSun" w:hAnsi="Times New Roman" w:cs="Times New Roman"/>
          <w:color w:val="000000" w:themeColor="text1"/>
          <w:kern w:val="3"/>
          <w:sz w:val="28"/>
          <w:szCs w:val="28"/>
          <w:lang w:val="ru-RU"/>
        </w:rPr>
        <w:t>3</w:t>
      </w:r>
      <w:r w:rsidRPr="00CC7883">
        <w:rPr>
          <w:rFonts w:ascii="Times New Roman" w:eastAsia="NSimSun" w:hAnsi="Times New Roman" w:cs="Times New Roman"/>
          <w:color w:val="000000" w:themeColor="text1"/>
          <w:kern w:val="3"/>
          <w:sz w:val="28"/>
          <w:szCs w:val="28"/>
        </w:rPr>
        <w:t>–2,1</w:t>
      </w:r>
      <w:r w:rsidR="00EE6165">
        <w:rPr>
          <w:rFonts w:ascii="Times New Roman" w:eastAsia="NSimSun" w:hAnsi="Times New Roman" w:cs="Times New Roman"/>
          <w:color w:val="000000" w:themeColor="text1"/>
          <w:kern w:val="3"/>
          <w:sz w:val="28"/>
          <w:szCs w:val="28"/>
          <w:lang w:val="ru-RU"/>
        </w:rPr>
        <w:t>6</w:t>
      </w:r>
      <w:r w:rsidRPr="00CC7883">
        <w:rPr>
          <w:rFonts w:ascii="Times New Roman" w:eastAsia="NSimSun" w:hAnsi="Times New Roman" w:cs="Times New Roman"/>
          <w:color w:val="000000" w:themeColor="text1"/>
          <w:kern w:val="3"/>
          <w:sz w:val="28"/>
          <w:szCs w:val="28"/>
        </w:rPr>
        <w:t xml:space="preserve"> мг/г вологої маси для сорту «Гарант», 2,38–2,52 мг/г вологої маси для сорту «Ярило», 1,91–2,03 мг/г вологої маси для сорту «Загрей».</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У контрольних варіантах вміст каротиноїдів у листках мікроклонів винограду залишався на відносно низькому рівні й становив у середньому 0,23–0,37 мг/г вологої маси для підщепних сортів та 0,24–0,33 мг/г вологої маси для технічних сортів.</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Найбільшу кількість каротиноїдів накопичували мікроклони, вирощені на структурованих поживних середовищах із меншим вмістом фітогормонів (сьомий, восьмий, дев’ятий, одинадцятий варіанти). У цих умовах вміст пігментів зростав порівняно з контролем на 22,9–39,3 % у сорту «Добриня» та на 43,2–50,0 % у сорту «Гарант». Для технічних сортів цей показник збільшувався на 34,0–50,0 % у сорту «Ярило» та на 47,8–56,4 % у сорту «Загрей». У кількісному вираженні вміст каротиноїдів становив відповідно 0,43–0,61 мг/г вологої маси у сорту «Добриня», 0,42–0,50 мг/г вологої маси у сорту «Гарант», 0,50–0,66 мг/г вологої маси у сорту «Ярило» та 0,46–0,55 мг/г вологої маси у сорту «Загрей».</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На поживних середовищах з БАП, порівняно з контролями, спостерігалося збільшення вмісту каротиноїдів у тканинах листків мікроклонів. Зокрема, у підщепних сортів воно було у межах 5,1–32,4</w:t>
      </w:r>
      <w:r w:rsidR="002F2723"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у технічних – 11,8–42,9 %. Абсолютні значення коливалися в межах 0,28–0,45</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мг/г у підщепних сортів та 0,34–0,46 мг/г вологої маси у технічних.</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В інших варіантах із використанням структурованих поживних середовищ (десятий, дванадцятий) у мікроклонів сортів «Добриня» та «Гарант» вміст каротиноїдів перевищував контроль на 38,5–40,7 % і 36,1–</w:t>
      </w:r>
      <w:r w:rsidRPr="00CC7883">
        <w:rPr>
          <w:rFonts w:ascii="Times New Roman" w:eastAsia="NSimSun" w:hAnsi="Times New Roman" w:cs="Times New Roman"/>
          <w:color w:val="000000" w:themeColor="text1"/>
          <w:kern w:val="3"/>
          <w:sz w:val="28"/>
          <w:szCs w:val="28"/>
        </w:rPr>
        <w:lastRenderedPageBreak/>
        <w:t>52,1</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у мікроклонів технічних сортів винограду – на 44,4–48,3 % («Ярило») і 44,2–54,7 % («Загрей») відповідно.</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Порівняння варіантів із різним вмістом фітогормонів показало, що у поживних середовищах із нижчою їх концентрацією вміст каротиноїдів у тканинах листків мікроклонів був вищим на 8,0 % у сорту «Добриня», 13,5 % – у сорту «Гарант», 5,9 % – у сорту «Ярило», 6,6 % – у сорту «Загрей». Це свідчить про більш сприятливий вплив зниженої гормональної концентрації на пігментний обмін мікроклонів винограду.</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i/>
          <w:iCs/>
          <w:color w:val="000000" w:themeColor="text1"/>
          <w:kern w:val="3"/>
          <w:sz w:val="28"/>
          <w:szCs w:val="28"/>
        </w:rPr>
        <w:t>Пагони</w:t>
      </w:r>
      <w:r w:rsidRPr="00CC7883">
        <w:rPr>
          <w:rFonts w:ascii="Times New Roman" w:eastAsia="NSimSun" w:hAnsi="Times New Roman" w:cs="Times New Roman"/>
          <w:color w:val="000000" w:themeColor="text1"/>
          <w:kern w:val="3"/>
          <w:sz w:val="28"/>
          <w:szCs w:val="28"/>
        </w:rPr>
        <w:t xml:space="preserve">. У пагонах мікроклонів винограду контрольних варіантів вміст хлорофілу </w:t>
      </w:r>
      <w:r w:rsidRPr="00CC7883">
        <w:rPr>
          <w:rFonts w:ascii="Times New Roman" w:eastAsia="NSimSun" w:hAnsi="Times New Roman" w:cs="Times New Roman"/>
          <w:i/>
          <w:color w:val="000000" w:themeColor="text1"/>
          <w:kern w:val="3"/>
          <w:sz w:val="28"/>
          <w:szCs w:val="28"/>
        </w:rPr>
        <w:t>a</w:t>
      </w:r>
      <w:r w:rsidRPr="00CC7883">
        <w:rPr>
          <w:rFonts w:ascii="Times New Roman" w:eastAsia="NSimSun" w:hAnsi="Times New Roman" w:cs="Times New Roman"/>
          <w:color w:val="000000" w:themeColor="text1"/>
          <w:kern w:val="3"/>
          <w:sz w:val="28"/>
          <w:szCs w:val="28"/>
        </w:rPr>
        <w:t xml:space="preserve"> у середньому становив 0,09–0,14 мг/г вологої маси у підщепних сортів та 0,11–0,15 мг/г вологої маси у технічних сорт</w:t>
      </w:r>
      <w:r w:rsidR="00D34FA9" w:rsidRPr="00CC7883">
        <w:rPr>
          <w:rFonts w:ascii="Times New Roman" w:eastAsia="NSimSun" w:hAnsi="Times New Roman" w:cs="Times New Roman"/>
          <w:color w:val="000000" w:themeColor="text1"/>
          <w:kern w:val="3"/>
          <w:sz w:val="28"/>
          <w:szCs w:val="28"/>
        </w:rPr>
        <w:t>ів (</w:t>
      </w:r>
      <w:r w:rsidR="00DC4415" w:rsidRPr="00CC7883">
        <w:rPr>
          <w:rFonts w:ascii="Times New Roman" w:hAnsi="Times New Roman" w:cs="Times New Roman"/>
          <w:color w:val="000000" w:themeColor="text1"/>
          <w:sz w:val="28"/>
          <w:szCs w:val="28"/>
        </w:rPr>
        <w:t xml:space="preserve">табл. </w:t>
      </w:r>
      <w:r w:rsidR="00D34FA9" w:rsidRPr="00CC7883">
        <w:rPr>
          <w:rFonts w:ascii="Times New Roman" w:eastAsia="NSimSun" w:hAnsi="Times New Roman" w:cs="Times New Roman"/>
          <w:color w:val="000000" w:themeColor="text1"/>
          <w:kern w:val="3"/>
          <w:sz w:val="28"/>
          <w:szCs w:val="28"/>
        </w:rPr>
        <w:t>5.2</w:t>
      </w:r>
      <w:r w:rsidRPr="00CC7883">
        <w:rPr>
          <w:rFonts w:ascii="Times New Roman" w:eastAsia="NSimSun" w:hAnsi="Times New Roman" w:cs="Times New Roman"/>
          <w:color w:val="000000" w:themeColor="text1"/>
          <w:kern w:val="3"/>
          <w:sz w:val="28"/>
          <w:szCs w:val="28"/>
        </w:rPr>
        <w:t>).</w:t>
      </w:r>
    </w:p>
    <w:p w:rsidR="003537E4" w:rsidRPr="00CC7883" w:rsidRDefault="00BE3ED5" w:rsidP="003537E4">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Вміст хлорофілу </w:t>
      </w:r>
      <w:r w:rsidRPr="00CC7883">
        <w:rPr>
          <w:rFonts w:ascii="Times New Roman" w:eastAsia="NSimSun" w:hAnsi="Times New Roman" w:cs="Times New Roman"/>
          <w:i/>
          <w:color w:val="000000" w:themeColor="text1"/>
          <w:kern w:val="3"/>
          <w:sz w:val="28"/>
          <w:szCs w:val="28"/>
        </w:rPr>
        <w:t>a</w:t>
      </w:r>
      <w:r w:rsidRPr="00CC7883">
        <w:rPr>
          <w:rFonts w:ascii="Times New Roman" w:eastAsia="NSimSun" w:hAnsi="Times New Roman" w:cs="Times New Roman"/>
          <w:color w:val="000000" w:themeColor="text1"/>
          <w:kern w:val="3"/>
          <w:sz w:val="28"/>
          <w:szCs w:val="28"/>
        </w:rPr>
        <w:t xml:space="preserve"> у тканинах пагонів мікроклонів винограду був найвищим за умови культивування на структурованих поживних середовищах із використанням агроперліту та вермикуліту з нижчим вмістом фітогормонів (сьомий, дев’ятий, одинадцятий варіанти).</w:t>
      </w:r>
      <w:r w:rsidR="0016268A" w:rsidRPr="00CC7883">
        <w:rPr>
          <w:rFonts w:ascii="Times New Roman" w:eastAsia="NSimSun" w:hAnsi="Times New Roman" w:cs="Times New Roman"/>
          <w:color w:val="000000" w:themeColor="text1"/>
          <w:kern w:val="3"/>
          <w:sz w:val="28"/>
          <w:szCs w:val="28"/>
        </w:rPr>
        <w:t xml:space="preserve"> </w:t>
      </w:r>
      <w:r w:rsidR="00A12878" w:rsidRPr="00CC7883">
        <w:rPr>
          <w:rFonts w:ascii="Times New Roman" w:eastAsia="NSimSun" w:hAnsi="Times New Roman" w:cs="Times New Roman"/>
          <w:color w:val="000000" w:themeColor="text1"/>
          <w:kern w:val="3"/>
          <w:sz w:val="28"/>
          <w:szCs w:val="28"/>
        </w:rPr>
        <w:t>У цих варіантах цей показник перевищував контрольні значення на 6,7–22,2 % («Добриня»), на 28,6–41,2 % («Гарант»), на 21,1–31,8 % («Ярило»), на 36,8–47,8 % («Загрей») та дорівнював 0,15–0,18 мг/г і 0,14–0,17 мг/г вологої маси, 0,19–0,22 мг/г і 0,19–0,23 мг/г вологої маси.</w:t>
      </w:r>
      <w:r w:rsidR="003537E4">
        <w:rPr>
          <w:rFonts w:ascii="Times New Roman" w:eastAsia="NSimSun" w:hAnsi="Times New Roman" w:cs="Times New Roman"/>
          <w:color w:val="000000" w:themeColor="text1"/>
          <w:kern w:val="3"/>
          <w:sz w:val="28"/>
          <w:szCs w:val="28"/>
        </w:rPr>
        <w:t xml:space="preserve"> </w:t>
      </w:r>
      <w:r w:rsidR="000B30EF" w:rsidRPr="00CC7883">
        <w:rPr>
          <w:rFonts w:ascii="Times New Roman" w:eastAsia="NSimSun" w:hAnsi="Times New Roman" w:cs="Times New Roman"/>
          <w:color w:val="000000" w:themeColor="text1"/>
          <w:kern w:val="3"/>
          <w:sz w:val="28"/>
          <w:szCs w:val="28"/>
        </w:rPr>
        <w:t xml:space="preserve">Культивування мікроклонів винограду на поживних середовищах MS + БАП (Радіфарм, Clonex gel) сприяло підвищенню вмісту хлорофілу </w:t>
      </w:r>
      <w:r w:rsidR="000B30EF" w:rsidRPr="00CC7883">
        <w:rPr>
          <w:rFonts w:ascii="Times New Roman" w:eastAsia="NSimSun" w:hAnsi="Times New Roman" w:cs="Times New Roman"/>
          <w:i/>
          <w:color w:val="000000" w:themeColor="text1"/>
          <w:kern w:val="3"/>
          <w:sz w:val="28"/>
          <w:szCs w:val="28"/>
        </w:rPr>
        <w:t>а</w:t>
      </w:r>
      <w:r w:rsidR="000B30EF" w:rsidRPr="00CC7883">
        <w:rPr>
          <w:rFonts w:ascii="Times New Roman" w:eastAsia="NSimSun" w:hAnsi="Times New Roman" w:cs="Times New Roman"/>
          <w:color w:val="000000" w:themeColor="text1"/>
          <w:kern w:val="3"/>
          <w:sz w:val="28"/>
          <w:szCs w:val="28"/>
        </w:rPr>
        <w:t xml:space="preserve"> у тканинах пагонів.</w:t>
      </w:r>
      <w:r w:rsidR="003537E4" w:rsidRPr="003537E4">
        <w:rPr>
          <w:rFonts w:ascii="Times New Roman" w:eastAsia="NSimSun" w:hAnsi="Times New Roman" w:cs="Times New Roman"/>
          <w:color w:val="000000" w:themeColor="text1"/>
          <w:kern w:val="3"/>
          <w:sz w:val="28"/>
          <w:szCs w:val="28"/>
        </w:rPr>
        <w:t xml:space="preserve"> </w:t>
      </w:r>
      <w:r w:rsidR="003537E4" w:rsidRPr="00CC7883">
        <w:rPr>
          <w:rFonts w:ascii="Times New Roman" w:eastAsia="NSimSun" w:hAnsi="Times New Roman" w:cs="Times New Roman"/>
          <w:color w:val="000000" w:themeColor="text1"/>
          <w:kern w:val="3"/>
          <w:sz w:val="28"/>
          <w:szCs w:val="28"/>
        </w:rPr>
        <w:t>Встановлено, що цей показник перевищував контрольні варіанти на 6,7–14,3 % («Добриня»), на 7,2–16,7 % («Гарант»), на 6,3–8,3 % («Ярило»), на 8,3–29,4 % («Загрей»), де накопичувалось до 0,13–0,16 мг/г і 0,10–0,12 мг/г вологої маси, 0,12–0,16 мг/г і 0,12–0,17 мг/г вологої маси.</w:t>
      </w:r>
    </w:p>
    <w:p w:rsidR="003537E4" w:rsidRPr="00CC7883" w:rsidRDefault="003537E4" w:rsidP="003537E4">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Після культивування на інших структурованих поживних середовищах (восьмий, десятий, дванадцятий варіанти) вміст хлорофілу </w:t>
      </w:r>
      <w:r w:rsidRPr="00CC7883">
        <w:rPr>
          <w:rFonts w:ascii="Times New Roman" w:eastAsia="NSimSun" w:hAnsi="Times New Roman" w:cs="Times New Roman"/>
          <w:i/>
          <w:color w:val="000000" w:themeColor="text1"/>
          <w:kern w:val="3"/>
          <w:sz w:val="28"/>
          <w:szCs w:val="28"/>
        </w:rPr>
        <w:t>a</w:t>
      </w:r>
      <w:r w:rsidRPr="00CC7883">
        <w:rPr>
          <w:rFonts w:ascii="Times New Roman" w:eastAsia="NSimSun" w:hAnsi="Times New Roman" w:cs="Times New Roman"/>
          <w:color w:val="000000" w:themeColor="text1"/>
          <w:kern w:val="3"/>
          <w:sz w:val="28"/>
          <w:szCs w:val="28"/>
        </w:rPr>
        <w:t xml:space="preserve"> у тканинах пагонів мікроклонів збільшувався, </w:t>
      </w:r>
      <w:r>
        <w:rPr>
          <w:rFonts w:ascii="Times New Roman" w:eastAsia="NSimSun" w:hAnsi="Times New Roman" w:cs="Times New Roman"/>
          <w:color w:val="000000" w:themeColor="text1"/>
          <w:kern w:val="3"/>
          <w:sz w:val="28"/>
          <w:szCs w:val="28"/>
        </w:rPr>
        <w:t>порівняно</w:t>
      </w:r>
      <w:r w:rsidRPr="00CC7883">
        <w:rPr>
          <w:rFonts w:ascii="Times New Roman" w:eastAsia="NSimSun" w:hAnsi="Times New Roman" w:cs="Times New Roman"/>
          <w:color w:val="000000" w:themeColor="text1"/>
          <w:kern w:val="3"/>
          <w:sz w:val="28"/>
          <w:szCs w:val="28"/>
        </w:rPr>
        <w:t xml:space="preserve"> з контролями, на 7,7 % («Добриня»), 18,2–30,8 % («Гарант»), 8,3–38,9 % («Ярило»), 31,3–35,3 % («Загрей»).</w:t>
      </w:r>
    </w:p>
    <w:p w:rsidR="005A3F7D" w:rsidRPr="00CC7883" w:rsidRDefault="00D34FA9" w:rsidP="00047411">
      <w:pPr>
        <w:widowControl w:val="0"/>
        <w:autoSpaceDN w:val="0"/>
        <w:spacing w:after="0" w:line="360" w:lineRule="auto"/>
        <w:ind w:firstLine="709"/>
        <w:jc w:val="right"/>
        <w:textAlignment w:val="baseline"/>
        <w:rPr>
          <w:rFonts w:ascii="Times New Roman" w:eastAsia="NSimSun" w:hAnsi="Times New Roman" w:cs="Times New Roman"/>
          <w:i/>
          <w:iCs/>
          <w:color w:val="000000" w:themeColor="text1"/>
          <w:kern w:val="3"/>
          <w:sz w:val="28"/>
          <w:szCs w:val="28"/>
        </w:rPr>
      </w:pPr>
      <w:r w:rsidRPr="00CC7883">
        <w:rPr>
          <w:rFonts w:ascii="Times New Roman" w:eastAsia="NSimSun" w:hAnsi="Times New Roman" w:cs="Times New Roman"/>
          <w:i/>
          <w:iCs/>
          <w:color w:val="000000" w:themeColor="text1"/>
          <w:kern w:val="3"/>
          <w:sz w:val="28"/>
          <w:szCs w:val="28"/>
        </w:rPr>
        <w:lastRenderedPageBreak/>
        <w:t>Таблиця 5.2</w:t>
      </w:r>
    </w:p>
    <w:p w:rsidR="005A3F7D" w:rsidRPr="00CC7883" w:rsidRDefault="005A3F7D"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sz w:val="28"/>
          <w:szCs w:val="28"/>
        </w:rPr>
      </w:pPr>
      <w:r w:rsidRPr="00CC7883">
        <w:rPr>
          <w:rFonts w:ascii="Times New Roman" w:eastAsia="NSimSun" w:hAnsi="Times New Roman" w:cs="Times New Roman"/>
          <w:b/>
          <w:bCs/>
          <w:color w:val="000000" w:themeColor="text1"/>
          <w:kern w:val="3"/>
          <w:sz w:val="28"/>
          <w:szCs w:val="28"/>
        </w:rPr>
        <w:t>Вміст пігментів у тканинах пагонів мікроклонів винограду на різних типах поживних середовищ (середнє за 2019–</w:t>
      </w:r>
      <w:r w:rsidRPr="00CC7883">
        <w:rPr>
          <w:rFonts w:ascii="Times New Roman" w:eastAsia="NSimSun" w:hAnsi="Times New Roman" w:cs="Times New Roman"/>
          <w:b/>
          <w:color w:val="000000" w:themeColor="text1"/>
          <w:kern w:val="3"/>
          <w:sz w:val="28"/>
          <w:szCs w:val="28"/>
        </w:rPr>
        <w:t>2022</w:t>
      </w:r>
      <w:r w:rsidRPr="00CC7883">
        <w:rPr>
          <w:rFonts w:ascii="Times New Roman" w:eastAsia="NSimSun" w:hAnsi="Times New Roman" w:cs="Times New Roman"/>
          <w:b/>
          <w:bCs/>
          <w:color w:val="000000" w:themeColor="text1"/>
          <w:kern w:val="3"/>
          <w:sz w:val="28"/>
          <w:szCs w:val="28"/>
        </w:rPr>
        <w:t xml:space="preserve"> рр.)</w:t>
      </w:r>
    </w:p>
    <w:tbl>
      <w:tblPr>
        <w:tblW w:w="9392" w:type="dxa"/>
        <w:jc w:val="center"/>
        <w:tblLayout w:type="fixed"/>
        <w:tblCellMar>
          <w:left w:w="10" w:type="dxa"/>
          <w:right w:w="10" w:type="dxa"/>
        </w:tblCellMar>
        <w:tblLook w:val="0000"/>
      </w:tblPr>
      <w:tblGrid>
        <w:gridCol w:w="1412"/>
        <w:gridCol w:w="1560"/>
        <w:gridCol w:w="1701"/>
        <w:gridCol w:w="2268"/>
        <w:gridCol w:w="2451"/>
      </w:tblGrid>
      <w:tr w:rsidR="003537E4" w:rsidRPr="00CC7883" w:rsidTr="0024767B">
        <w:trPr>
          <w:trHeight w:val="300"/>
          <w:jc w:val="center"/>
        </w:trPr>
        <w:tc>
          <w:tcPr>
            <w:tcW w:w="1412" w:type="dxa"/>
            <w:vMerge w:val="restart"/>
            <w:tcBorders>
              <w:top w:val="single" w:sz="4" w:space="0" w:color="000000"/>
              <w:left w:val="single" w:sz="4" w:space="0" w:color="000000"/>
              <w:right w:val="single" w:sz="4" w:space="0" w:color="000000"/>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Варіанти досліду</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a</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b</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a</w:t>
            </w:r>
            <w:r w:rsidRPr="00CC7883">
              <w:rPr>
                <w:rFonts w:ascii="Times New Roman" w:eastAsia="Calibri" w:hAnsi="Times New Roman" w:cs="Times New Roman"/>
                <w:bCs/>
                <w:color w:val="000000" w:themeColor="text1"/>
                <w:sz w:val="28"/>
                <w:szCs w:val="28"/>
              </w:rPr>
              <w:t xml:space="preserve"> + chl </w:t>
            </w:r>
            <w:r w:rsidRPr="00CC7883">
              <w:rPr>
                <w:rFonts w:ascii="Times New Roman" w:eastAsia="Calibri" w:hAnsi="Times New Roman" w:cs="Times New Roman"/>
                <w:bCs/>
                <w:i/>
                <w:color w:val="000000" w:themeColor="text1"/>
                <w:sz w:val="28"/>
                <w:szCs w:val="28"/>
              </w:rPr>
              <w:t>b</w:t>
            </w:r>
          </w:p>
        </w:tc>
        <w:tc>
          <w:tcPr>
            <w:tcW w:w="2451"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rPr>
            </w:pPr>
            <w:r w:rsidRPr="00CC7883">
              <w:rPr>
                <w:rFonts w:ascii="Times New Roman" w:eastAsia="Calibri" w:hAnsi="Times New Roman" w:cs="Times New Roman"/>
                <w:bCs/>
                <w:color w:val="000000" w:themeColor="text1"/>
                <w:sz w:val="28"/>
                <w:szCs w:val="28"/>
              </w:rPr>
              <w:t>Каротиноїди</w:t>
            </w:r>
          </w:p>
        </w:tc>
      </w:tr>
      <w:tr w:rsidR="003537E4" w:rsidRPr="00CC7883" w:rsidTr="0024767B">
        <w:trPr>
          <w:trHeight w:val="300"/>
          <w:jc w:val="center"/>
        </w:trPr>
        <w:tc>
          <w:tcPr>
            <w:tcW w:w="1412" w:type="dxa"/>
            <w:vMerge/>
            <w:tcBorders>
              <w:left w:val="single" w:sz="4" w:space="0" w:color="000000"/>
              <w:bottom w:val="single" w:sz="4" w:space="0" w:color="000000"/>
              <w:right w:val="single" w:sz="4" w:space="0" w:color="000000"/>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p>
        </w:tc>
        <w:tc>
          <w:tcPr>
            <w:tcW w:w="7980" w:type="dxa"/>
            <w:gridSpan w:val="4"/>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мг/г вологої маси</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5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w:t>
            </w:r>
          </w:p>
        </w:tc>
        <w:tc>
          <w:tcPr>
            <w:tcW w:w="2451"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w:t>
            </w:r>
          </w:p>
        </w:tc>
      </w:tr>
      <w:tr w:rsidR="005A3F7D" w:rsidRPr="00CC7883" w:rsidTr="0024767B">
        <w:trPr>
          <w:trHeight w:val="300"/>
          <w:jc w:val="center"/>
        </w:trPr>
        <w:tc>
          <w:tcPr>
            <w:tcW w:w="9392" w:type="dxa"/>
            <w:gridSpan w:val="5"/>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NSimSun" w:hAnsi="Times New Roman" w:cs="Times New Roman"/>
                <w:color w:val="000000" w:themeColor="text1"/>
                <w:kern w:val="3"/>
                <w:sz w:val="28"/>
                <w:szCs w:val="28"/>
              </w:rPr>
              <w:t>«Добриня»</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0,14±0,008</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0,18±0,011</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0,04±0,002</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0,12±0,007</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0,03±0,001</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0,15±0,009</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0,03±0,001</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0,15±0,009</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w:t>
            </w:r>
            <w:r w:rsidR="008E557B">
              <w:rPr>
                <w:rFonts w:ascii="Times New Roman" w:hAnsi="Times New Roman" w:cs="Times New Roman"/>
                <w:color w:val="000000" w:themeColor="text1"/>
                <w:sz w:val="28"/>
                <w:szCs w:val="28"/>
                <w:lang w:val="ru-RU"/>
              </w:rPr>
              <w:t>0</w:t>
            </w:r>
            <w:r w:rsidRPr="00CC7883">
              <w:rPr>
                <w:rFonts w:ascii="Times New Roman" w:hAnsi="Times New Roman" w:cs="Times New Roman"/>
                <w:color w:val="000000" w:themeColor="text1"/>
                <w:sz w:val="28"/>
                <w:szCs w:val="28"/>
              </w:rPr>
              <w:t>±0,013</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r>
      <w:tr w:rsidR="005A3F7D" w:rsidRPr="00CC7883" w:rsidTr="0024767B">
        <w:trPr>
          <w:trHeight w:val="300"/>
          <w:jc w:val="center"/>
        </w:trPr>
        <w:tc>
          <w:tcPr>
            <w:tcW w:w="1412" w:type="dxa"/>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0,13±0,006</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w:t>
            </w:r>
            <w:r w:rsidR="008E557B">
              <w:rPr>
                <w:rFonts w:ascii="Times New Roman" w:hAnsi="Times New Roman" w:cs="Times New Roman"/>
                <w:color w:val="000000" w:themeColor="text1"/>
                <w:sz w:val="28"/>
                <w:szCs w:val="28"/>
                <w:lang w:val="ru-RU"/>
              </w:rPr>
              <w:t>7</w:t>
            </w:r>
            <w:r w:rsidRPr="00CC7883">
              <w:rPr>
                <w:rFonts w:ascii="Times New Roman" w:hAnsi="Times New Roman" w:cs="Times New Roman"/>
                <w:color w:val="000000" w:themeColor="text1"/>
                <w:sz w:val="28"/>
                <w:szCs w:val="28"/>
              </w:rPr>
              <w:t>±0,010</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r>
      <w:tr w:rsidR="005A3F7D" w:rsidRPr="00CC7883" w:rsidTr="0024767B">
        <w:trPr>
          <w:trHeight w:val="300"/>
          <w:jc w:val="center"/>
        </w:trPr>
        <w:tc>
          <w:tcPr>
            <w:tcW w:w="1412"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0,16±0,010</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0,21±0,014</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0,14±0,007</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0,04±0,001</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w:t>
            </w:r>
            <w:r w:rsidR="008E557B">
              <w:rPr>
                <w:rFonts w:ascii="Times New Roman" w:hAnsi="Times New Roman" w:cs="Times New Roman"/>
                <w:color w:val="000000" w:themeColor="text1"/>
                <w:sz w:val="28"/>
                <w:szCs w:val="28"/>
                <w:lang w:val="ru-RU"/>
              </w:rPr>
              <w:t>8</w:t>
            </w:r>
            <w:r w:rsidRPr="00CC7883">
              <w:rPr>
                <w:rFonts w:ascii="Times New Roman" w:hAnsi="Times New Roman" w:cs="Times New Roman"/>
                <w:color w:val="000000" w:themeColor="text1"/>
                <w:sz w:val="28"/>
                <w:szCs w:val="28"/>
              </w:rPr>
              <w:t>±0,008</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0,05±0,001</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0,15±0,008</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0,09±0,005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0,24±0,014</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0,08±0,006</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0,13±0,005</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w:t>
            </w:r>
            <w:r w:rsidR="008E557B">
              <w:rPr>
                <w:rFonts w:ascii="Times New Roman" w:hAnsi="Times New Roman" w:cs="Times New Roman"/>
                <w:color w:val="000000" w:themeColor="text1"/>
                <w:sz w:val="28"/>
                <w:szCs w:val="28"/>
                <w:lang w:val="ru-RU"/>
              </w:rPr>
              <w:t>20</w:t>
            </w:r>
            <w:r w:rsidRPr="00CC7883">
              <w:rPr>
                <w:rFonts w:ascii="Times New Roman" w:hAnsi="Times New Roman" w:cs="Times New Roman"/>
                <w:color w:val="000000" w:themeColor="text1"/>
                <w:sz w:val="28"/>
                <w:szCs w:val="28"/>
              </w:rPr>
              <w:t>±0,012</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0,15±0,007</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0,10±0,007</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0,25±0,016</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0,09±0,007</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0,13±0,005</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w:t>
            </w:r>
            <w:r w:rsidR="008E557B">
              <w:rPr>
                <w:rFonts w:ascii="Times New Roman" w:hAnsi="Times New Roman" w:cs="Times New Roman"/>
                <w:color w:val="000000" w:themeColor="text1"/>
                <w:sz w:val="28"/>
                <w:szCs w:val="28"/>
                <w:lang w:val="ru-RU"/>
              </w:rPr>
              <w:t>9</w:t>
            </w:r>
            <w:r w:rsidRPr="00CC7883">
              <w:rPr>
                <w:rFonts w:ascii="Times New Roman" w:hAnsi="Times New Roman" w:cs="Times New Roman"/>
                <w:color w:val="000000" w:themeColor="text1"/>
                <w:sz w:val="28"/>
                <w:szCs w:val="28"/>
              </w:rPr>
              <w:t>±0,010</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0,07±0,005</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0,18±0,011</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0,08±0,006</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w:t>
            </w:r>
            <w:r w:rsidR="008E557B">
              <w:rPr>
                <w:rFonts w:ascii="Times New Roman" w:hAnsi="Times New Roman" w:cs="Times New Roman"/>
                <w:color w:val="000000" w:themeColor="text1"/>
                <w:sz w:val="28"/>
                <w:szCs w:val="28"/>
                <w:lang w:val="ru-RU"/>
              </w:rPr>
              <w:t>6</w:t>
            </w:r>
            <w:r w:rsidRPr="00CC7883">
              <w:rPr>
                <w:rFonts w:ascii="Times New Roman" w:hAnsi="Times New Roman" w:cs="Times New Roman"/>
                <w:color w:val="000000" w:themeColor="text1"/>
                <w:sz w:val="28"/>
                <w:szCs w:val="28"/>
              </w:rPr>
              <w:t>±0,012</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0,08±0,006</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0,13±0,006</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0,20±0,010</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0,07±0,005</w:t>
            </w:r>
          </w:p>
        </w:tc>
      </w:tr>
      <w:tr w:rsidR="005A3F7D" w:rsidRPr="00CC7883" w:rsidTr="0024767B">
        <w:trPr>
          <w:trHeight w:val="300"/>
          <w:jc w:val="center"/>
        </w:trPr>
        <w:tc>
          <w:tcPr>
            <w:tcW w:w="9392"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NSimSun" w:hAnsi="Times New Roman" w:cs="Times New Roman"/>
                <w:color w:val="000000" w:themeColor="text1"/>
                <w:kern w:val="3"/>
                <w:sz w:val="28"/>
                <w:szCs w:val="28"/>
              </w:rPr>
              <w:t>«Гарант»</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0,10±0,008</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0,15±0,013</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0,04±0,002</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0,09±0,007</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0,04±0,001</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0,13±0,011</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0,03±0,001</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0,12±0,008</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w:t>
            </w:r>
            <w:r w:rsidR="008E557B">
              <w:rPr>
                <w:rFonts w:ascii="Times New Roman" w:hAnsi="Times New Roman" w:cs="Times New Roman"/>
                <w:color w:val="000000" w:themeColor="text1"/>
                <w:sz w:val="28"/>
                <w:szCs w:val="28"/>
                <w:lang w:val="ru-RU"/>
              </w:rPr>
              <w:t>18</w:t>
            </w:r>
            <w:r w:rsidRPr="00CC7883">
              <w:rPr>
                <w:rFonts w:ascii="Times New Roman" w:hAnsi="Times New Roman" w:cs="Times New Roman"/>
                <w:color w:val="000000" w:themeColor="text1"/>
                <w:sz w:val="28"/>
                <w:szCs w:val="28"/>
              </w:rPr>
              <w:t>±0,016</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0,10±0,008</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w:t>
            </w:r>
            <w:r w:rsidR="008E557B">
              <w:rPr>
                <w:rFonts w:ascii="Times New Roman" w:hAnsi="Times New Roman" w:cs="Times New Roman"/>
                <w:color w:val="000000" w:themeColor="text1"/>
                <w:sz w:val="28"/>
                <w:szCs w:val="28"/>
                <w:lang w:val="ru-RU"/>
              </w:rPr>
              <w:t>5</w:t>
            </w:r>
            <w:r w:rsidRPr="00CC7883">
              <w:rPr>
                <w:rFonts w:ascii="Times New Roman" w:hAnsi="Times New Roman" w:cs="Times New Roman"/>
                <w:color w:val="000000" w:themeColor="text1"/>
                <w:sz w:val="28"/>
                <w:szCs w:val="28"/>
              </w:rPr>
              <w:t>±0,014</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0,12±0,010</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0,17±0,014</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0,10±0,008</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0,04±0,001</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0,14±0,011</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0,04±0,002</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0,17±0,012</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w:t>
            </w:r>
            <w:r w:rsidR="008E557B">
              <w:rPr>
                <w:rFonts w:ascii="Times New Roman" w:hAnsi="Times New Roman" w:cs="Times New Roman"/>
                <w:color w:val="000000" w:themeColor="text1"/>
                <w:sz w:val="28"/>
                <w:szCs w:val="28"/>
                <w:lang w:val="ru-RU"/>
              </w:rPr>
              <w:t>4</w:t>
            </w:r>
            <w:r w:rsidRPr="00CC7883">
              <w:rPr>
                <w:rFonts w:ascii="Times New Roman" w:hAnsi="Times New Roman" w:cs="Times New Roman"/>
                <w:color w:val="000000" w:themeColor="text1"/>
                <w:sz w:val="28"/>
                <w:szCs w:val="28"/>
              </w:rPr>
              <w:t>±0,018</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0,07±0,005</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0,13±0,010</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w:t>
            </w:r>
            <w:r w:rsidR="008E557B">
              <w:rPr>
                <w:rFonts w:ascii="Times New Roman" w:hAnsi="Times New Roman" w:cs="Times New Roman"/>
                <w:color w:val="000000" w:themeColor="text1"/>
                <w:sz w:val="28"/>
                <w:szCs w:val="28"/>
                <w:lang w:val="ru-RU"/>
              </w:rPr>
              <w:t>8</w:t>
            </w:r>
            <w:r w:rsidRPr="00CC7883">
              <w:rPr>
                <w:rFonts w:ascii="Times New Roman" w:hAnsi="Times New Roman" w:cs="Times New Roman"/>
                <w:color w:val="000000" w:themeColor="text1"/>
                <w:sz w:val="28"/>
                <w:szCs w:val="28"/>
              </w:rPr>
              <w:t>±0,015</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0,14±0,010</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w:t>
            </w:r>
            <w:r w:rsidR="008E557B">
              <w:rPr>
                <w:rFonts w:ascii="Times New Roman" w:hAnsi="Times New Roman" w:cs="Times New Roman"/>
                <w:color w:val="000000" w:themeColor="text1"/>
                <w:sz w:val="28"/>
                <w:szCs w:val="28"/>
                <w:lang w:val="ru-RU"/>
              </w:rPr>
              <w:t>1</w:t>
            </w:r>
            <w:r w:rsidRPr="00CC7883">
              <w:rPr>
                <w:rFonts w:ascii="Times New Roman" w:hAnsi="Times New Roman" w:cs="Times New Roman"/>
                <w:color w:val="000000" w:themeColor="text1"/>
                <w:sz w:val="28"/>
                <w:szCs w:val="28"/>
              </w:rPr>
              <w:t>±0,019</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0,08±0,006</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0,11±0,009</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0,17±0,015</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0,06±0,003</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0,16±0,013</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0,24±0,019</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0,07±0,004</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0,12±0,010</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0,18±0,015</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0,04±0,001</w:t>
            </w:r>
          </w:p>
        </w:tc>
      </w:tr>
      <w:tr w:rsidR="005A3F7D" w:rsidRPr="00CC7883" w:rsidTr="0024767B">
        <w:trPr>
          <w:trHeight w:val="300"/>
          <w:jc w:val="center"/>
        </w:trPr>
        <w:tc>
          <w:tcPr>
            <w:tcW w:w="9392"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NSimSun" w:hAnsi="Times New Roman" w:cs="Times New Roman"/>
                <w:color w:val="000000" w:themeColor="text1"/>
                <w:kern w:val="3"/>
                <w:sz w:val="28"/>
                <w:szCs w:val="28"/>
              </w:rPr>
              <w:t>«Ярило»</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0,15±0,012</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0,20±0,016</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0,11±0,010</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0,04±0,001</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0,15±0,012</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0,04±0,002</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0,16±0,013</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w:t>
            </w:r>
            <w:r w:rsidR="008E557B">
              <w:rPr>
                <w:rFonts w:ascii="Times New Roman" w:hAnsi="Times New Roman" w:cs="Times New Roman"/>
                <w:color w:val="000000" w:themeColor="text1"/>
                <w:sz w:val="28"/>
                <w:szCs w:val="28"/>
                <w:lang w:val="ru-RU"/>
              </w:rPr>
              <w:t>2</w:t>
            </w:r>
            <w:r w:rsidRPr="00CC7883">
              <w:rPr>
                <w:rFonts w:ascii="Times New Roman" w:hAnsi="Times New Roman" w:cs="Times New Roman"/>
                <w:color w:val="000000" w:themeColor="text1"/>
                <w:sz w:val="28"/>
                <w:szCs w:val="28"/>
              </w:rPr>
              <w:t>±0,022</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r>
      <w:tr w:rsidR="005A3F7D" w:rsidRPr="00CC7883" w:rsidTr="0024767B">
        <w:trPr>
          <w:trHeight w:val="300"/>
          <w:jc w:val="center"/>
        </w:trPr>
        <w:tc>
          <w:tcPr>
            <w:tcW w:w="1412" w:type="dxa"/>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0,12±0,010</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w:t>
            </w:r>
            <w:r w:rsidR="008E557B">
              <w:rPr>
                <w:rFonts w:ascii="Times New Roman" w:hAnsi="Times New Roman" w:cs="Times New Roman"/>
                <w:color w:val="000000" w:themeColor="text1"/>
                <w:sz w:val="28"/>
                <w:szCs w:val="28"/>
                <w:lang w:val="ru-RU"/>
              </w:rPr>
              <w:t>7</w:t>
            </w:r>
            <w:r w:rsidRPr="00CC7883">
              <w:rPr>
                <w:rFonts w:ascii="Times New Roman" w:hAnsi="Times New Roman" w:cs="Times New Roman"/>
                <w:color w:val="000000" w:themeColor="text1"/>
                <w:sz w:val="28"/>
                <w:szCs w:val="28"/>
              </w:rPr>
              <w:t>±0,015</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r>
      <w:tr w:rsidR="005A3F7D" w:rsidRPr="00CC7883" w:rsidTr="0024767B">
        <w:trPr>
          <w:trHeight w:val="300"/>
          <w:jc w:val="center"/>
        </w:trPr>
        <w:tc>
          <w:tcPr>
            <w:tcW w:w="1412"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0,16±0,014</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0,23±0,018</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0,12±0,010</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0,17±0,014</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0,04±0,001</w:t>
            </w:r>
          </w:p>
        </w:tc>
      </w:tr>
      <w:tr w:rsidR="00325396"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0,19±0,015</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0,09±0,006</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0,28±0,025</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0,12±0,010</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w:t>
            </w:r>
            <w:r w:rsidR="008E557B">
              <w:rPr>
                <w:rFonts w:ascii="Times New Roman" w:hAnsi="Times New Roman" w:cs="Times New Roman"/>
                <w:color w:val="000000" w:themeColor="text1"/>
                <w:sz w:val="28"/>
                <w:szCs w:val="28"/>
                <w:lang w:val="ru-RU"/>
              </w:rPr>
              <w:t>18</w:t>
            </w:r>
            <w:r w:rsidRPr="00CC7883">
              <w:rPr>
                <w:rFonts w:ascii="Times New Roman" w:hAnsi="Times New Roman" w:cs="Times New Roman"/>
                <w:color w:val="000000" w:themeColor="text1"/>
                <w:sz w:val="28"/>
                <w:szCs w:val="28"/>
              </w:rPr>
              <w:t>±0,018</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r>
      <w:tr w:rsidR="00FD7B68" w:rsidRPr="00CC7883" w:rsidTr="0024767B">
        <w:trPr>
          <w:trHeight w:val="300"/>
          <w:jc w:val="center"/>
        </w:trPr>
        <w:tc>
          <w:tcPr>
            <w:tcW w:w="1412"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0,19±0,016</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0,08±0,006</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0,27±0,024</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0,07±0,005</w:t>
            </w:r>
          </w:p>
        </w:tc>
      </w:tr>
    </w:tbl>
    <w:p w:rsidR="003537E4" w:rsidRDefault="003537E4" w:rsidP="003537E4">
      <w:pPr>
        <w:jc w:val="right"/>
      </w:pPr>
      <w:r>
        <w:br w:type="page"/>
      </w:r>
      <w:r w:rsidRPr="00CC7883">
        <w:rPr>
          <w:rFonts w:ascii="Times New Roman" w:hAnsi="Times New Roman" w:cs="Times New Roman"/>
          <w:color w:val="000000" w:themeColor="text1"/>
        </w:rPr>
        <w:lastRenderedPageBreak/>
        <w:t>Продовження табл. 5.2</w:t>
      </w:r>
    </w:p>
    <w:tbl>
      <w:tblPr>
        <w:tblW w:w="9392" w:type="dxa"/>
        <w:jc w:val="center"/>
        <w:tblLayout w:type="fixed"/>
        <w:tblCellMar>
          <w:left w:w="10" w:type="dxa"/>
          <w:right w:w="10" w:type="dxa"/>
        </w:tblCellMar>
        <w:tblLook w:val="0000"/>
      </w:tblPr>
      <w:tblGrid>
        <w:gridCol w:w="1412"/>
        <w:gridCol w:w="1560"/>
        <w:gridCol w:w="1701"/>
        <w:gridCol w:w="2268"/>
        <w:gridCol w:w="2451"/>
      </w:tblGrid>
      <w:tr w:rsidR="003537E4"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3537E4" w:rsidRPr="00CC7883" w:rsidRDefault="003537E4" w:rsidP="0011122D">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537E4" w:rsidRPr="00CC7883" w:rsidRDefault="003537E4" w:rsidP="0011122D">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3537E4" w:rsidRPr="00CC7883" w:rsidRDefault="003537E4" w:rsidP="0011122D">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537E4" w:rsidRPr="00CC7883" w:rsidRDefault="003537E4" w:rsidP="0011122D">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537E4" w:rsidRPr="00CC7883" w:rsidRDefault="003537E4" w:rsidP="0011122D">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0,13±0,011</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0,18±0,015</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0,22±0,018</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0,30±0,025</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0,07±0,003</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0,18±0,015</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0,07±0,004</w:t>
            </w:r>
          </w:p>
        </w:tc>
        <w:tc>
          <w:tcPr>
            <w:tcW w:w="226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w:t>
            </w:r>
            <w:r w:rsidR="008E557B">
              <w:rPr>
                <w:rFonts w:ascii="Times New Roman" w:hAnsi="Times New Roman" w:cs="Times New Roman"/>
                <w:color w:val="000000" w:themeColor="text1"/>
                <w:sz w:val="28"/>
                <w:szCs w:val="28"/>
                <w:lang w:val="ru-RU"/>
              </w:rPr>
              <w:t>5</w:t>
            </w:r>
            <w:r w:rsidRPr="00CC7883">
              <w:rPr>
                <w:rFonts w:ascii="Times New Roman" w:hAnsi="Times New Roman" w:cs="Times New Roman"/>
                <w:color w:val="000000" w:themeColor="text1"/>
                <w:sz w:val="28"/>
                <w:szCs w:val="28"/>
              </w:rPr>
              <w:t>±0,017</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0,06±0,003</w:t>
            </w:r>
          </w:p>
        </w:tc>
      </w:tr>
      <w:tr w:rsidR="00FD7B68" w:rsidRPr="00CC7883" w:rsidTr="0024767B">
        <w:trPr>
          <w:trHeight w:val="300"/>
          <w:jc w:val="center"/>
        </w:trPr>
        <w:tc>
          <w:tcPr>
            <w:tcW w:w="9392" w:type="dxa"/>
            <w:gridSpan w:val="5"/>
            <w:tcBorders>
              <w:top w:val="single" w:sz="4" w:space="0" w:color="auto"/>
              <w:left w:val="single" w:sz="4" w:space="0" w:color="auto"/>
              <w:bottom w:val="single" w:sz="4" w:space="0" w:color="auto"/>
              <w:right w:val="single" w:sz="4" w:space="0" w:color="auto"/>
            </w:tcBorders>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NSimSun" w:hAnsi="Times New Roman" w:cs="Times New Roman"/>
                <w:color w:val="000000" w:themeColor="text1"/>
                <w:kern w:val="3"/>
                <w:sz w:val="28"/>
                <w:szCs w:val="28"/>
              </w:rPr>
              <w:t>«Загрей»</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0,12±0,009</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0,19±0,016</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0,06±0,003</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0,11±0,010</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0,16±0,013</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0,17±0,014</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w:t>
            </w:r>
            <w:r w:rsidR="008E557B">
              <w:rPr>
                <w:rFonts w:ascii="Times New Roman" w:hAnsi="Times New Roman" w:cs="Times New Roman"/>
                <w:color w:val="000000" w:themeColor="text1"/>
                <w:sz w:val="28"/>
                <w:szCs w:val="28"/>
                <w:lang w:val="ru-RU"/>
              </w:rPr>
              <w:t>4</w:t>
            </w:r>
            <w:r w:rsidRPr="00CC7883">
              <w:rPr>
                <w:rFonts w:ascii="Times New Roman" w:hAnsi="Times New Roman" w:cs="Times New Roman"/>
                <w:color w:val="000000" w:themeColor="text1"/>
                <w:sz w:val="28"/>
                <w:szCs w:val="28"/>
              </w:rPr>
              <w:t>±0,020</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0,07±0,003</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0,14±0,011</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0,20±0,017</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0,06±0,002</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0,15±0,011</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w:t>
            </w:r>
            <w:r w:rsidR="008E557B">
              <w:rPr>
                <w:rFonts w:ascii="Times New Roman" w:hAnsi="Times New Roman" w:cs="Times New Roman"/>
                <w:color w:val="000000" w:themeColor="text1"/>
                <w:sz w:val="28"/>
                <w:szCs w:val="28"/>
                <w:lang w:val="ru-RU"/>
              </w:rPr>
              <w:t>1</w:t>
            </w:r>
            <w:r w:rsidRPr="00CC7883">
              <w:rPr>
                <w:rFonts w:ascii="Times New Roman" w:hAnsi="Times New Roman" w:cs="Times New Roman"/>
                <w:color w:val="000000" w:themeColor="text1"/>
                <w:sz w:val="28"/>
                <w:szCs w:val="28"/>
              </w:rPr>
              <w:t>±0,020</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0,07±0,004</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0,12±0,009</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w:t>
            </w:r>
            <w:r w:rsidR="008E557B">
              <w:rPr>
                <w:rFonts w:ascii="Times New Roman" w:hAnsi="Times New Roman" w:cs="Times New Roman"/>
                <w:color w:val="000000" w:themeColor="text1"/>
                <w:sz w:val="28"/>
                <w:szCs w:val="28"/>
                <w:lang w:val="ru-RU"/>
              </w:rPr>
              <w:t>17</w:t>
            </w:r>
            <w:r w:rsidRPr="00CC7883">
              <w:rPr>
                <w:rFonts w:ascii="Times New Roman" w:hAnsi="Times New Roman" w:cs="Times New Roman"/>
                <w:color w:val="000000" w:themeColor="text1"/>
                <w:sz w:val="28"/>
                <w:szCs w:val="28"/>
              </w:rPr>
              <w:t>±0,017</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0,06±0,003</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0,19±0,015</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0,11±0,009</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0,30±0,023</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0,10±0,007</w:t>
            </w:r>
          </w:p>
        </w:tc>
      </w:tr>
      <w:tr w:rsidR="00FD7B68"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0,16±0,013</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0,23±0,017</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FD7B68" w:rsidRPr="00CC7883" w:rsidRDefault="00FD7B68"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0,08±0,005</w:t>
            </w:r>
          </w:p>
        </w:tc>
      </w:tr>
      <w:tr w:rsidR="005A3F7D" w:rsidRPr="00CC7883" w:rsidTr="0024767B">
        <w:trPr>
          <w:trHeight w:val="300"/>
          <w:jc w:val="center"/>
        </w:trPr>
        <w:tc>
          <w:tcPr>
            <w:tcW w:w="14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0,20±0,017</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0,08±0,005</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w:t>
            </w:r>
            <w:r w:rsidR="008E557B">
              <w:rPr>
                <w:rFonts w:ascii="Times New Roman" w:hAnsi="Times New Roman" w:cs="Times New Roman"/>
                <w:color w:val="000000" w:themeColor="text1"/>
                <w:sz w:val="28"/>
                <w:szCs w:val="28"/>
                <w:lang w:val="ru-RU"/>
              </w:rPr>
              <w:t>28</w:t>
            </w:r>
            <w:r w:rsidRPr="00CC7883">
              <w:rPr>
                <w:rFonts w:ascii="Times New Roman" w:hAnsi="Times New Roman" w:cs="Times New Roman"/>
                <w:color w:val="000000" w:themeColor="text1"/>
                <w:sz w:val="28"/>
                <w:szCs w:val="28"/>
              </w:rPr>
              <w:t>±0,025</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0,09±0,006</w:t>
            </w:r>
          </w:p>
        </w:tc>
      </w:tr>
      <w:tr w:rsidR="005A3F7D" w:rsidRPr="00CC7883" w:rsidTr="0024767B">
        <w:trPr>
          <w:trHeight w:val="300"/>
          <w:jc w:val="center"/>
        </w:trPr>
        <w:tc>
          <w:tcPr>
            <w:tcW w:w="1412"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0,16±0,011</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0,21±0,018</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0,06±0,003</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0,23±0,017</w:t>
            </w:r>
          </w:p>
        </w:tc>
        <w:tc>
          <w:tcPr>
            <w:tcW w:w="170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0,08±0,006</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w:t>
            </w:r>
            <w:r w:rsidR="008E557B">
              <w:rPr>
                <w:rFonts w:ascii="Times New Roman" w:hAnsi="Times New Roman" w:cs="Times New Roman"/>
                <w:color w:val="000000" w:themeColor="text1"/>
                <w:sz w:val="28"/>
                <w:szCs w:val="28"/>
                <w:lang w:val="ru-RU"/>
              </w:rPr>
              <w:t>1</w:t>
            </w:r>
            <w:r w:rsidRPr="00CC7883">
              <w:rPr>
                <w:rFonts w:ascii="Times New Roman" w:hAnsi="Times New Roman" w:cs="Times New Roman"/>
                <w:color w:val="000000" w:themeColor="text1"/>
                <w:sz w:val="28"/>
                <w:szCs w:val="28"/>
              </w:rPr>
              <w:t>±0,026</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0,08±0,005</w:t>
            </w:r>
          </w:p>
        </w:tc>
      </w:tr>
      <w:tr w:rsidR="005A3F7D" w:rsidRPr="00CC7883" w:rsidTr="0024767B">
        <w:trPr>
          <w:trHeight w:val="300"/>
          <w:jc w:val="center"/>
        </w:trPr>
        <w:tc>
          <w:tcPr>
            <w:tcW w:w="141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0,17±0,013</w:t>
            </w:r>
          </w:p>
        </w:tc>
        <w:tc>
          <w:tcPr>
            <w:tcW w:w="170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0,07±0,004</w:t>
            </w:r>
          </w:p>
        </w:tc>
        <w:tc>
          <w:tcPr>
            <w:tcW w:w="226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0,24±0,017</w:t>
            </w:r>
          </w:p>
        </w:tc>
        <w:tc>
          <w:tcPr>
            <w:tcW w:w="2451"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0,07±0,005</w:t>
            </w:r>
          </w:p>
        </w:tc>
      </w:tr>
    </w:tbl>
    <w:p w:rsidR="005A3F7D" w:rsidRPr="00CC7883" w:rsidRDefault="005A3F7D"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p>
    <w:p w:rsidR="00AC5888" w:rsidRPr="00CC7883" w:rsidRDefault="00AC5888"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Порівняльний аналіз вмісту хлорофілу </w:t>
      </w:r>
      <w:r w:rsidRPr="00CC7883">
        <w:rPr>
          <w:rFonts w:ascii="Times New Roman" w:eastAsia="NSimSun" w:hAnsi="Times New Roman" w:cs="Times New Roman"/>
          <w:i/>
          <w:color w:val="000000" w:themeColor="text1"/>
          <w:kern w:val="3"/>
          <w:sz w:val="28"/>
          <w:szCs w:val="28"/>
        </w:rPr>
        <w:t>а</w:t>
      </w:r>
      <w:r w:rsidRPr="00CC7883">
        <w:rPr>
          <w:rFonts w:ascii="Times New Roman" w:eastAsia="NSimSun" w:hAnsi="Times New Roman" w:cs="Times New Roman"/>
          <w:color w:val="000000" w:themeColor="text1"/>
          <w:kern w:val="3"/>
          <w:sz w:val="28"/>
          <w:szCs w:val="28"/>
        </w:rPr>
        <w:t xml:space="preserve"> у тканинах пагонів мікроклонів винограду за різних концентрацій фітогормонів у поживних середовищах показав, що за нижчого їх рівня (0,2 мг/л 6-БАП, 0,3 мг/л ІОК) накопичення пігменту було вищим, ніж у варіантах із підвищеним вмістом (0,5 мг/л 6-БАП, 0,6 мг/л ІОК). Зокрема, у сорту «Добриня» цей показник перевищував відповідні значення на 19,2 %, у сорту «Гарант» – на 25,2 %, у сорту «Ярило» – на 37,2 %, а у сорту «Загрей» – на 23,3 %.</w:t>
      </w:r>
    </w:p>
    <w:p w:rsidR="008F18F1" w:rsidRPr="00CC7883" w:rsidRDefault="008F18F1"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У контрольних варіантах показник вмісту хлорофілу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у пагонах мікроклонів винограду характеризувався відносно низькими значеннями (0,03–0,05 мг/г вологої маси у підщепних сортах та 0,04–0,07 мг/г вологої маси у технічних).</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Культивування на структурованих поживних середовищах із використанням агроперліту та вермикуліту (сьомий, дев’ятий, одинадцятий варіанти) сприяло посиленню синтезу цього пігменту. У підщепних сортів вміст хлорофілу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підвищувався до 0,08–0,10 мг/г («Добриня»), до 0,07–0,08</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 xml:space="preserve">мг/г («Гарант»), у технічних сортів – до 0,08–0,09 мг/г («Ярило») та </w:t>
      </w:r>
      <w:r w:rsidRPr="00CC7883">
        <w:rPr>
          <w:rFonts w:ascii="Times New Roman" w:eastAsia="NSimSun" w:hAnsi="Times New Roman" w:cs="Times New Roman"/>
          <w:color w:val="000000" w:themeColor="text1"/>
          <w:kern w:val="3"/>
          <w:sz w:val="28"/>
          <w:szCs w:val="28"/>
        </w:rPr>
        <w:lastRenderedPageBreak/>
        <w:t>0,08–0,11 мг/г («Загрей») вологої маси. Порівняно з контролем це було більше на 28,6–60,0 % і 12,5–44,4 %.</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Після застосування біостимуляторів Радіфарм і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NSimSun" w:hAnsi="Times New Roman" w:cs="Times New Roman"/>
          <w:color w:val="000000" w:themeColor="text1"/>
          <w:kern w:val="3"/>
          <w:sz w:val="28"/>
          <w:szCs w:val="28"/>
        </w:rPr>
        <w:t xml:space="preserve"> вміст пігменту у пагонах дорівнював 0,04–0,06 мг/г у підщепних сортів і 0,05–0,07</w:t>
      </w:r>
      <w:r w:rsidR="00EA4B1F"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мг/г вологої маси у технічних сортів, що перевищувало контрольні значення на 7,0–25,0 % і 2,0–28,6 % відповідно.</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У варіантах, де використовували структуровані поживні середовища (восьмий, десятий, дванадцятий варіанти)</w:t>
      </w:r>
      <w:r w:rsidR="00CA1104">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вміст хлорофілу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у тканинах пагонів підщепних сортів підвищувався відносно контролю на 11,1–57,1 % та дорівнював 0,06–0,07 мг/г («Добриня») і 0,04–0,06 мг/г («Гарант») вологої маси. Відповідно для технічних сортів вміст хлорофілу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у тканинах пагонів дорівнював 0,05–0,07 мг/г вологої маси, що було більшим за контрольні значення на 20,0–42,9 %. </w:t>
      </w:r>
    </w:p>
    <w:p w:rsidR="005A3F7D" w:rsidRPr="00CC7883" w:rsidRDefault="005A3F7D" w:rsidP="00047411">
      <w:pPr>
        <w:widowControl w:val="0"/>
        <w:autoSpaceDN w:val="0"/>
        <w:spacing w:after="0" w:line="360" w:lineRule="auto"/>
        <w:ind w:firstLine="709"/>
        <w:jc w:val="both"/>
        <w:textAlignment w:val="baseline"/>
        <w:rPr>
          <w:rFonts w:ascii="Times New Roman" w:hAnsi="Times New Roman" w:cs="Times New Roman"/>
          <w:color w:val="000000" w:themeColor="text1"/>
        </w:rPr>
      </w:pPr>
      <w:r w:rsidRPr="00CC7883">
        <w:rPr>
          <w:rFonts w:ascii="Times New Roman" w:eastAsia="NSimSun" w:hAnsi="Times New Roman" w:cs="Times New Roman"/>
          <w:color w:val="000000" w:themeColor="text1"/>
          <w:kern w:val="3"/>
          <w:sz w:val="28"/>
          <w:szCs w:val="28"/>
        </w:rPr>
        <w:t xml:space="preserve">У варіантах із нижчим вмістом фітогормонів (0,2 мг/л 6-БАП, 0,3 мг/л ІОК) вміст хлорофілу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у тканинах пагонів був вищим порівняно з варіантами, де концентрація фітогормонів була підвищеною (0,5 мг/л 6-БАП, 0,6 мг/л ІОК), і перевищував їх на 28,9–32,3 % у підщепних сортів та на 33,9–34,4 % – у технічних сортів.</w:t>
      </w:r>
    </w:p>
    <w:p w:rsidR="005A3F7D" w:rsidRPr="00CC7883" w:rsidRDefault="005A3F7D" w:rsidP="00047411">
      <w:pPr>
        <w:widowControl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У пагонах мікроклонів винограду контрольних варіантів у середньому синтезувалось 0,13–0,18 мг/г вологої маси (підщепні сорти), 0,15–0,20 мг/г вологої маси (технічні сорти) хлорофілів.</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Найбільший показник суми хлорофілів </w:t>
      </w:r>
      <w:r w:rsidRPr="00CC7883">
        <w:rPr>
          <w:rFonts w:ascii="Times New Roman" w:eastAsia="NSimSun" w:hAnsi="Times New Roman" w:cs="Times New Roman"/>
          <w:i/>
          <w:color w:val="000000" w:themeColor="text1"/>
          <w:kern w:val="3"/>
          <w:sz w:val="28"/>
          <w:szCs w:val="28"/>
        </w:rPr>
        <w:t xml:space="preserve">а </w:t>
      </w:r>
      <w:r w:rsidRPr="00CC7883">
        <w:rPr>
          <w:rFonts w:ascii="Times New Roman" w:eastAsia="NSimSun" w:hAnsi="Times New Roman" w:cs="Times New Roman"/>
          <w:color w:val="000000" w:themeColor="text1"/>
          <w:kern w:val="3"/>
          <w:sz w:val="28"/>
          <w:szCs w:val="28"/>
        </w:rPr>
        <w:t>і</w:t>
      </w:r>
      <w:r w:rsidR="006D3C79"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був характерний для пагонів мікроклонів винограду сьомого, дев’ятого, одинадцятого варіантів. </w:t>
      </w:r>
      <w:r w:rsidR="00496AFD">
        <w:rPr>
          <w:rFonts w:ascii="Times New Roman" w:eastAsia="NSimSun" w:hAnsi="Times New Roman" w:cs="Times New Roman"/>
          <w:color w:val="000000" w:themeColor="text1"/>
          <w:kern w:val="3"/>
          <w:sz w:val="28"/>
          <w:szCs w:val="28"/>
        </w:rPr>
        <w:t>П</w:t>
      </w:r>
      <w:r w:rsidRPr="00CC7883">
        <w:rPr>
          <w:rFonts w:ascii="Times New Roman" w:eastAsia="NSimSun" w:hAnsi="Times New Roman" w:cs="Times New Roman"/>
          <w:color w:val="000000" w:themeColor="text1"/>
          <w:kern w:val="3"/>
          <w:sz w:val="28"/>
          <w:szCs w:val="28"/>
        </w:rPr>
        <w:t>орівнян</w:t>
      </w:r>
      <w:r w:rsidR="00496AFD">
        <w:rPr>
          <w:rFonts w:ascii="Times New Roman" w:eastAsia="NSimSun" w:hAnsi="Times New Roman" w:cs="Times New Roman"/>
          <w:color w:val="000000" w:themeColor="text1"/>
          <w:kern w:val="3"/>
          <w:sz w:val="28"/>
          <w:szCs w:val="28"/>
        </w:rPr>
        <w:t>о</w:t>
      </w:r>
      <w:r w:rsidRPr="00CC7883">
        <w:rPr>
          <w:rFonts w:ascii="Times New Roman" w:eastAsia="NSimSun" w:hAnsi="Times New Roman" w:cs="Times New Roman"/>
          <w:color w:val="000000" w:themeColor="text1"/>
          <w:kern w:val="3"/>
          <w:sz w:val="28"/>
          <w:szCs w:val="28"/>
        </w:rPr>
        <w:t xml:space="preserve"> з контролем він збільшувався на </w:t>
      </w:r>
      <w:r w:rsidR="006860D9">
        <w:rPr>
          <w:rFonts w:ascii="Times New Roman" w:eastAsia="NSimSun" w:hAnsi="Times New Roman" w:cs="Times New Roman"/>
          <w:color w:val="000000" w:themeColor="text1"/>
          <w:kern w:val="3"/>
          <w:sz w:val="28"/>
          <w:szCs w:val="28"/>
          <w:lang w:val="ru-RU"/>
        </w:rPr>
        <w:t>25,0</w:t>
      </w:r>
      <w:r w:rsidRPr="00CC7883">
        <w:rPr>
          <w:rFonts w:ascii="Times New Roman" w:eastAsia="NSimSun" w:hAnsi="Times New Roman" w:cs="Times New Roman"/>
          <w:color w:val="000000" w:themeColor="text1"/>
          <w:kern w:val="3"/>
          <w:sz w:val="28"/>
          <w:szCs w:val="28"/>
        </w:rPr>
        <w:t>–</w:t>
      </w:r>
      <w:r w:rsidR="006860D9">
        <w:rPr>
          <w:rFonts w:ascii="Times New Roman" w:eastAsia="NSimSun" w:hAnsi="Times New Roman" w:cs="Times New Roman"/>
          <w:color w:val="000000" w:themeColor="text1"/>
          <w:kern w:val="3"/>
          <w:sz w:val="28"/>
          <w:szCs w:val="28"/>
          <w:lang w:val="ru-RU"/>
        </w:rPr>
        <w:t>30,8</w:t>
      </w:r>
      <w:r w:rsidRPr="00CC7883">
        <w:rPr>
          <w:rFonts w:ascii="Times New Roman" w:eastAsia="NSimSun" w:hAnsi="Times New Roman" w:cs="Times New Roman"/>
          <w:color w:val="000000" w:themeColor="text1"/>
          <w:kern w:val="3"/>
          <w:sz w:val="28"/>
          <w:szCs w:val="28"/>
        </w:rPr>
        <w:t xml:space="preserve"> % («Добриня»), на </w:t>
      </w:r>
      <w:r w:rsidR="006860D9">
        <w:rPr>
          <w:rFonts w:ascii="Times New Roman" w:eastAsia="NSimSun" w:hAnsi="Times New Roman" w:cs="Times New Roman"/>
          <w:color w:val="000000" w:themeColor="text1"/>
          <w:kern w:val="3"/>
          <w:sz w:val="28"/>
          <w:szCs w:val="28"/>
          <w:lang w:val="ru-RU"/>
        </w:rPr>
        <w:t>28,6</w:t>
      </w:r>
      <w:r w:rsidRPr="00CC7883">
        <w:rPr>
          <w:rFonts w:ascii="Times New Roman" w:eastAsia="NSimSun" w:hAnsi="Times New Roman" w:cs="Times New Roman"/>
          <w:color w:val="000000" w:themeColor="text1"/>
          <w:kern w:val="3"/>
          <w:sz w:val="28"/>
          <w:szCs w:val="28"/>
        </w:rPr>
        <w:t>–</w:t>
      </w:r>
      <w:r w:rsidR="006860D9">
        <w:rPr>
          <w:rFonts w:ascii="Times New Roman" w:eastAsia="NSimSun" w:hAnsi="Times New Roman" w:cs="Times New Roman"/>
          <w:color w:val="000000" w:themeColor="text1"/>
          <w:kern w:val="3"/>
          <w:sz w:val="28"/>
          <w:szCs w:val="28"/>
          <w:lang w:val="ru-RU"/>
        </w:rPr>
        <w:t>37,5</w:t>
      </w:r>
      <w:r w:rsidRPr="00CC7883">
        <w:rPr>
          <w:rFonts w:ascii="Times New Roman" w:eastAsia="NSimSun" w:hAnsi="Times New Roman" w:cs="Times New Roman"/>
          <w:color w:val="000000" w:themeColor="text1"/>
          <w:kern w:val="3"/>
          <w:sz w:val="28"/>
          <w:szCs w:val="28"/>
        </w:rPr>
        <w:t xml:space="preserve"> % («Гарант»), </w:t>
      </w:r>
      <w:r w:rsidR="006860D9">
        <w:rPr>
          <w:rFonts w:ascii="Times New Roman" w:eastAsia="NSimSun" w:hAnsi="Times New Roman" w:cs="Times New Roman"/>
          <w:color w:val="000000" w:themeColor="text1"/>
          <w:kern w:val="3"/>
          <w:sz w:val="28"/>
          <w:szCs w:val="28"/>
          <w:lang w:val="ru-RU"/>
        </w:rPr>
        <w:t>25,9</w:t>
      </w:r>
      <w:r w:rsidRPr="00CC7883">
        <w:rPr>
          <w:rFonts w:ascii="Times New Roman" w:eastAsia="NSimSun" w:hAnsi="Times New Roman" w:cs="Times New Roman"/>
          <w:color w:val="000000" w:themeColor="text1"/>
          <w:kern w:val="3"/>
          <w:sz w:val="28"/>
          <w:szCs w:val="28"/>
        </w:rPr>
        <w:t xml:space="preserve">–33,3 % («Ярило»), </w:t>
      </w:r>
      <w:r w:rsidR="006860D9">
        <w:rPr>
          <w:rFonts w:ascii="Times New Roman" w:eastAsia="NSimSun" w:hAnsi="Times New Roman" w:cs="Times New Roman"/>
          <w:color w:val="000000" w:themeColor="text1"/>
          <w:kern w:val="3"/>
          <w:sz w:val="28"/>
          <w:szCs w:val="28"/>
          <w:lang w:val="ru-RU"/>
        </w:rPr>
        <w:t>32,1</w:t>
      </w:r>
      <w:r w:rsidRPr="00CC7883">
        <w:rPr>
          <w:rFonts w:ascii="Times New Roman" w:eastAsia="NSimSun" w:hAnsi="Times New Roman" w:cs="Times New Roman"/>
          <w:color w:val="000000" w:themeColor="text1"/>
          <w:kern w:val="3"/>
          <w:sz w:val="28"/>
          <w:szCs w:val="28"/>
        </w:rPr>
        <w:t>–</w:t>
      </w:r>
      <w:r w:rsidR="006860D9">
        <w:rPr>
          <w:rFonts w:ascii="Times New Roman" w:eastAsia="NSimSun" w:hAnsi="Times New Roman" w:cs="Times New Roman"/>
          <w:color w:val="000000" w:themeColor="text1"/>
          <w:kern w:val="3"/>
          <w:sz w:val="28"/>
          <w:szCs w:val="28"/>
          <w:lang w:val="ru-RU"/>
        </w:rPr>
        <w:t>38,7</w:t>
      </w:r>
      <w:r w:rsidRPr="00CC7883">
        <w:rPr>
          <w:rFonts w:ascii="Times New Roman" w:eastAsia="NSimSun" w:hAnsi="Times New Roman" w:cs="Times New Roman"/>
          <w:color w:val="000000" w:themeColor="text1"/>
          <w:kern w:val="3"/>
          <w:sz w:val="28"/>
          <w:szCs w:val="28"/>
        </w:rPr>
        <w:t xml:space="preserve"> % («Загрей»). </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У тканинах пагонів рослин винограду інших дослідних варіантів також спостерігал</w:t>
      </w:r>
      <w:r w:rsidR="00056AAB">
        <w:rPr>
          <w:rFonts w:ascii="Times New Roman" w:eastAsia="NSimSun" w:hAnsi="Times New Roman" w:cs="Times New Roman"/>
          <w:color w:val="000000" w:themeColor="text1"/>
          <w:kern w:val="3"/>
          <w:sz w:val="28"/>
          <w:szCs w:val="28"/>
        </w:rPr>
        <w:t>о</w:t>
      </w:r>
      <w:r w:rsidRPr="00CC7883">
        <w:rPr>
          <w:rFonts w:ascii="Times New Roman" w:eastAsia="NSimSun" w:hAnsi="Times New Roman" w:cs="Times New Roman"/>
          <w:color w:val="000000" w:themeColor="text1"/>
          <w:kern w:val="3"/>
          <w:sz w:val="28"/>
          <w:szCs w:val="28"/>
        </w:rPr>
        <w:t xml:space="preserve">ся підвищення вмісту суми хлорофілів </w:t>
      </w:r>
      <w:r w:rsidRPr="00CC7883">
        <w:rPr>
          <w:rFonts w:ascii="Times New Roman" w:eastAsia="NSimSun" w:hAnsi="Times New Roman" w:cs="Times New Roman"/>
          <w:i/>
          <w:color w:val="000000" w:themeColor="text1"/>
          <w:kern w:val="3"/>
          <w:sz w:val="28"/>
          <w:szCs w:val="28"/>
        </w:rPr>
        <w:t xml:space="preserve">а </w:t>
      </w:r>
      <w:r w:rsidRPr="00CC7883">
        <w:rPr>
          <w:rFonts w:ascii="Times New Roman" w:eastAsia="NSimSun" w:hAnsi="Times New Roman" w:cs="Times New Roman"/>
          <w:color w:val="000000" w:themeColor="text1"/>
          <w:kern w:val="3"/>
          <w:sz w:val="28"/>
          <w:szCs w:val="28"/>
        </w:rPr>
        <w:t>і</w:t>
      </w:r>
      <w:r w:rsidR="006D3C79"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порівняно з контролем. Зокрема, у третьому–шостому варіантах, де мікроклони культивували на поживному середовищі MS</w:t>
      </w:r>
      <w:r w:rsidR="00046C02"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із додаванням БАП (Радіфарм,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NSimSun" w:hAnsi="Times New Roman" w:cs="Times New Roman"/>
          <w:color w:val="000000" w:themeColor="text1"/>
          <w:kern w:val="3"/>
          <w:sz w:val="28"/>
          <w:szCs w:val="28"/>
        </w:rPr>
        <w:t xml:space="preserve">), цей показник збільшувався на </w:t>
      </w:r>
      <w:r w:rsidR="006860D9">
        <w:rPr>
          <w:rFonts w:ascii="Times New Roman" w:eastAsia="NSimSun" w:hAnsi="Times New Roman" w:cs="Times New Roman"/>
          <w:color w:val="000000" w:themeColor="text1"/>
          <w:kern w:val="3"/>
          <w:sz w:val="28"/>
          <w:szCs w:val="28"/>
          <w:lang w:val="ru-RU"/>
        </w:rPr>
        <w:t>10,0</w:t>
      </w:r>
      <w:r w:rsidRPr="00CC7883">
        <w:rPr>
          <w:rFonts w:ascii="Times New Roman" w:eastAsia="NSimSun" w:hAnsi="Times New Roman" w:cs="Times New Roman"/>
          <w:color w:val="000000" w:themeColor="text1"/>
          <w:kern w:val="3"/>
          <w:sz w:val="28"/>
          <w:szCs w:val="28"/>
        </w:rPr>
        <w:t>–</w:t>
      </w:r>
      <w:r w:rsidR="006860D9">
        <w:rPr>
          <w:rFonts w:ascii="Times New Roman" w:eastAsia="NSimSun" w:hAnsi="Times New Roman" w:cs="Times New Roman"/>
          <w:color w:val="000000" w:themeColor="text1"/>
          <w:kern w:val="3"/>
          <w:sz w:val="28"/>
          <w:szCs w:val="28"/>
          <w:lang w:val="ru-RU"/>
        </w:rPr>
        <w:t>16,7</w:t>
      </w:r>
      <w:r w:rsidRPr="00CC7883">
        <w:rPr>
          <w:rFonts w:ascii="Times New Roman" w:eastAsia="NSimSun" w:hAnsi="Times New Roman" w:cs="Times New Roman"/>
          <w:color w:val="000000" w:themeColor="text1"/>
          <w:kern w:val="3"/>
          <w:sz w:val="28"/>
          <w:szCs w:val="28"/>
        </w:rPr>
        <w:t xml:space="preserve"> % у сорту «Добриня», на </w:t>
      </w:r>
      <w:r w:rsidR="006860D9">
        <w:rPr>
          <w:rFonts w:ascii="Times New Roman" w:eastAsia="NSimSun" w:hAnsi="Times New Roman" w:cs="Times New Roman"/>
          <w:color w:val="000000" w:themeColor="text1"/>
          <w:kern w:val="3"/>
          <w:sz w:val="28"/>
          <w:szCs w:val="28"/>
          <w:lang w:val="ru-RU"/>
        </w:rPr>
        <w:lastRenderedPageBreak/>
        <w:t>7,1</w:t>
      </w:r>
      <w:r w:rsidRPr="00CC7883">
        <w:rPr>
          <w:rFonts w:ascii="Times New Roman" w:eastAsia="NSimSun" w:hAnsi="Times New Roman" w:cs="Times New Roman"/>
          <w:color w:val="000000" w:themeColor="text1"/>
          <w:kern w:val="3"/>
          <w:sz w:val="28"/>
          <w:szCs w:val="28"/>
        </w:rPr>
        <w:t>–</w:t>
      </w:r>
      <w:r w:rsidR="006860D9">
        <w:rPr>
          <w:rFonts w:ascii="Times New Roman" w:eastAsia="NSimSun" w:hAnsi="Times New Roman" w:cs="Times New Roman"/>
          <w:color w:val="000000" w:themeColor="text1"/>
          <w:kern w:val="3"/>
          <w:sz w:val="28"/>
          <w:szCs w:val="28"/>
          <w:lang w:val="ru-RU"/>
        </w:rPr>
        <w:t>16,7</w:t>
      </w:r>
      <w:r w:rsidRPr="00CC7883">
        <w:rPr>
          <w:rFonts w:ascii="Times New Roman" w:eastAsia="NSimSun" w:hAnsi="Times New Roman" w:cs="Times New Roman"/>
          <w:color w:val="000000" w:themeColor="text1"/>
          <w:kern w:val="3"/>
          <w:sz w:val="28"/>
          <w:szCs w:val="28"/>
        </w:rPr>
        <w:t xml:space="preserve"> % – у сорту «Гарант», на </w:t>
      </w:r>
      <w:r w:rsidR="006860D9">
        <w:rPr>
          <w:rFonts w:ascii="Times New Roman" w:eastAsia="NSimSun" w:hAnsi="Times New Roman" w:cs="Times New Roman"/>
          <w:color w:val="000000" w:themeColor="text1"/>
          <w:kern w:val="3"/>
          <w:sz w:val="28"/>
          <w:szCs w:val="28"/>
          <w:lang w:val="ru-RU"/>
        </w:rPr>
        <w:t>9,1</w:t>
      </w:r>
      <w:r w:rsidRPr="00CC7883">
        <w:rPr>
          <w:rFonts w:ascii="Times New Roman" w:eastAsia="NSimSun" w:hAnsi="Times New Roman" w:cs="Times New Roman"/>
          <w:color w:val="000000" w:themeColor="text1"/>
          <w:kern w:val="3"/>
          <w:sz w:val="28"/>
          <w:szCs w:val="28"/>
        </w:rPr>
        <w:t>–</w:t>
      </w:r>
      <w:r w:rsidR="006860D9">
        <w:rPr>
          <w:rFonts w:ascii="Times New Roman" w:eastAsia="NSimSun" w:hAnsi="Times New Roman" w:cs="Times New Roman"/>
          <w:color w:val="000000" w:themeColor="text1"/>
          <w:kern w:val="3"/>
          <w:sz w:val="28"/>
          <w:szCs w:val="28"/>
          <w:lang w:val="ru-RU"/>
        </w:rPr>
        <w:t>13,0</w:t>
      </w:r>
      <w:r w:rsidRPr="00CC7883">
        <w:rPr>
          <w:rFonts w:ascii="Times New Roman" w:eastAsia="NSimSun" w:hAnsi="Times New Roman" w:cs="Times New Roman"/>
          <w:color w:val="000000" w:themeColor="text1"/>
          <w:kern w:val="3"/>
          <w:sz w:val="28"/>
          <w:szCs w:val="28"/>
        </w:rPr>
        <w:t xml:space="preserve"> % – у сорту «Ярило» та на </w:t>
      </w:r>
      <w:r w:rsidR="006860D9">
        <w:rPr>
          <w:rFonts w:ascii="Times New Roman" w:eastAsia="NSimSun" w:hAnsi="Times New Roman" w:cs="Times New Roman"/>
          <w:color w:val="000000" w:themeColor="text1"/>
          <w:kern w:val="3"/>
          <w:sz w:val="28"/>
          <w:szCs w:val="28"/>
          <w:lang w:val="ru-RU"/>
        </w:rPr>
        <w:t>6,4</w:t>
      </w:r>
      <w:r w:rsidRPr="00CC7883">
        <w:rPr>
          <w:rFonts w:ascii="Times New Roman" w:eastAsia="NSimSun" w:hAnsi="Times New Roman" w:cs="Times New Roman"/>
          <w:color w:val="000000" w:themeColor="text1"/>
          <w:kern w:val="3"/>
          <w:sz w:val="28"/>
          <w:szCs w:val="28"/>
        </w:rPr>
        <w:t>–2</w:t>
      </w:r>
      <w:r w:rsidR="006860D9">
        <w:rPr>
          <w:rFonts w:ascii="Times New Roman" w:eastAsia="NSimSun" w:hAnsi="Times New Roman" w:cs="Times New Roman"/>
          <w:color w:val="000000" w:themeColor="text1"/>
          <w:kern w:val="3"/>
          <w:sz w:val="28"/>
          <w:szCs w:val="28"/>
          <w:lang w:val="ru-RU"/>
        </w:rPr>
        <w:t>0,8 </w:t>
      </w:r>
      <w:r w:rsidRPr="00CC7883">
        <w:rPr>
          <w:rFonts w:ascii="Times New Roman" w:eastAsia="NSimSun" w:hAnsi="Times New Roman" w:cs="Times New Roman"/>
          <w:color w:val="000000" w:themeColor="text1"/>
          <w:kern w:val="3"/>
          <w:sz w:val="28"/>
          <w:szCs w:val="28"/>
        </w:rPr>
        <w:t>% – у сорту «Загрей». Для зазначених варіантів сум</w:t>
      </w:r>
      <w:r w:rsidR="0026548F">
        <w:rPr>
          <w:rFonts w:ascii="Times New Roman" w:eastAsia="NSimSun" w:hAnsi="Times New Roman" w:cs="Times New Roman"/>
          <w:color w:val="000000" w:themeColor="text1"/>
          <w:kern w:val="3"/>
          <w:sz w:val="28"/>
          <w:szCs w:val="28"/>
        </w:rPr>
        <w:t>а</w:t>
      </w:r>
      <w:r w:rsidRPr="00CC7883">
        <w:rPr>
          <w:rFonts w:ascii="Times New Roman" w:eastAsia="NSimSun" w:hAnsi="Times New Roman" w:cs="Times New Roman"/>
          <w:color w:val="000000" w:themeColor="text1"/>
          <w:kern w:val="3"/>
          <w:sz w:val="28"/>
          <w:szCs w:val="28"/>
        </w:rPr>
        <w:t xml:space="preserve"> хлорофілів </w:t>
      </w:r>
      <w:r w:rsidRPr="00CC7883">
        <w:rPr>
          <w:rFonts w:ascii="Times New Roman" w:eastAsia="NSimSun" w:hAnsi="Times New Roman" w:cs="Times New Roman"/>
          <w:i/>
          <w:color w:val="000000" w:themeColor="text1"/>
          <w:kern w:val="3"/>
          <w:sz w:val="28"/>
          <w:szCs w:val="28"/>
        </w:rPr>
        <w:t xml:space="preserve">а </w:t>
      </w:r>
      <w:r w:rsidRPr="00CC7883">
        <w:rPr>
          <w:rFonts w:ascii="Times New Roman" w:eastAsia="NSimSun" w:hAnsi="Times New Roman" w:cs="Times New Roman"/>
          <w:color w:val="000000" w:themeColor="text1"/>
          <w:kern w:val="3"/>
          <w:sz w:val="28"/>
          <w:szCs w:val="28"/>
        </w:rPr>
        <w:t>і</w:t>
      </w:r>
      <w:r w:rsidR="006D3C79"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становила відповідно 0,16–0,23 мг/г, 0,14–0,20 мг/г, 0,17–0,27 мг/г та 0,20–0,26 мг/г вологої маси.</w:t>
      </w:r>
    </w:p>
    <w:p w:rsidR="005A3F7D" w:rsidRPr="00CC7883" w:rsidRDefault="005A3F7D" w:rsidP="00047411">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У рослин, що культивували на інших структурованих поживних середовищах із підвищеним вмістом фітогормонів, цей показник дорівнював у середньому 0,1</w:t>
      </w:r>
      <w:r w:rsidR="006860D9">
        <w:rPr>
          <w:rFonts w:ascii="Times New Roman" w:eastAsia="NSimSun" w:hAnsi="Times New Roman" w:cs="Times New Roman"/>
          <w:color w:val="000000" w:themeColor="text1"/>
          <w:kern w:val="3"/>
          <w:sz w:val="28"/>
          <w:szCs w:val="28"/>
          <w:lang w:val="ru-RU"/>
        </w:rPr>
        <w:t>7</w:t>
      </w:r>
      <w:r w:rsidRPr="00CC7883">
        <w:rPr>
          <w:rFonts w:ascii="Times New Roman" w:eastAsia="NSimSun" w:hAnsi="Times New Roman" w:cs="Times New Roman"/>
          <w:color w:val="000000" w:themeColor="text1"/>
          <w:kern w:val="3"/>
          <w:sz w:val="28"/>
          <w:szCs w:val="28"/>
        </w:rPr>
        <w:t xml:space="preserve">–0,24 мг/г вологої маси, що перевищувало контроль на </w:t>
      </w:r>
      <w:r w:rsidR="006860D9">
        <w:rPr>
          <w:rFonts w:ascii="Times New Roman" w:eastAsia="NSimSun" w:hAnsi="Times New Roman" w:cs="Times New Roman"/>
          <w:color w:val="000000" w:themeColor="text1"/>
          <w:kern w:val="3"/>
          <w:sz w:val="28"/>
          <w:szCs w:val="28"/>
          <w:lang w:val="ru-RU"/>
        </w:rPr>
        <w:t>16,7</w:t>
      </w:r>
      <w:r w:rsidRPr="00CC7883">
        <w:rPr>
          <w:rFonts w:ascii="Times New Roman" w:eastAsia="NSimSun" w:hAnsi="Times New Roman" w:cs="Times New Roman"/>
          <w:color w:val="000000" w:themeColor="text1"/>
          <w:kern w:val="3"/>
          <w:sz w:val="28"/>
          <w:szCs w:val="28"/>
        </w:rPr>
        <w:t>–</w:t>
      </w:r>
      <w:r w:rsidR="006860D9">
        <w:rPr>
          <w:rFonts w:ascii="Times New Roman" w:eastAsia="NSimSun" w:hAnsi="Times New Roman" w:cs="Times New Roman"/>
          <w:color w:val="000000" w:themeColor="text1"/>
          <w:kern w:val="3"/>
          <w:sz w:val="28"/>
          <w:szCs w:val="28"/>
          <w:lang w:val="ru-RU"/>
        </w:rPr>
        <w:t>40,0</w:t>
      </w:r>
      <w:r w:rsidR="00046C02" w:rsidRPr="00CC7883">
        <w:rPr>
          <w:rFonts w:ascii="Times New Roman" w:eastAsia="NSimSun" w:hAnsi="Times New Roman" w:cs="Times New Roman"/>
          <w:color w:val="000000" w:themeColor="text1"/>
          <w:kern w:val="3"/>
          <w:sz w:val="28"/>
          <w:szCs w:val="28"/>
        </w:rPr>
        <w:t> </w:t>
      </w:r>
      <w:r w:rsidRPr="00CC7883">
        <w:rPr>
          <w:rFonts w:ascii="Times New Roman" w:eastAsia="NSimSun" w:hAnsi="Times New Roman" w:cs="Times New Roman"/>
          <w:color w:val="000000" w:themeColor="text1"/>
          <w:kern w:val="3"/>
          <w:sz w:val="28"/>
          <w:szCs w:val="28"/>
        </w:rPr>
        <w:t>%.</w:t>
      </w:r>
    </w:p>
    <w:p w:rsidR="005A3F7D" w:rsidRPr="00CC7883" w:rsidRDefault="005A3F7D" w:rsidP="00047411">
      <w:pPr>
        <w:pStyle w:val="ae"/>
        <w:widowControl w:val="0"/>
        <w:spacing w:before="0" w:beforeAutospacing="0" w:after="0" w:afterAutospacing="0" w:line="360" w:lineRule="auto"/>
        <w:ind w:firstLine="709"/>
        <w:jc w:val="both"/>
        <w:rPr>
          <w:rFonts w:eastAsia="NSimSun"/>
          <w:color w:val="000000" w:themeColor="text1"/>
          <w:kern w:val="3"/>
          <w:sz w:val="28"/>
          <w:szCs w:val="28"/>
        </w:rPr>
      </w:pPr>
      <w:r w:rsidRPr="00CC7883">
        <w:rPr>
          <w:rFonts w:eastAsia="NSimSun"/>
          <w:color w:val="000000" w:themeColor="text1"/>
          <w:kern w:val="3"/>
          <w:sz w:val="28"/>
          <w:szCs w:val="28"/>
        </w:rPr>
        <w:t xml:space="preserve">Порівняння суми хлорофілів </w:t>
      </w:r>
      <w:r w:rsidRPr="00CC7883">
        <w:rPr>
          <w:rFonts w:eastAsia="NSimSun"/>
          <w:i/>
          <w:color w:val="000000" w:themeColor="text1"/>
          <w:kern w:val="3"/>
          <w:sz w:val="28"/>
          <w:szCs w:val="28"/>
        </w:rPr>
        <w:t xml:space="preserve">а </w:t>
      </w:r>
      <w:r w:rsidRPr="00CC7883">
        <w:rPr>
          <w:rFonts w:eastAsia="NSimSun"/>
          <w:color w:val="000000" w:themeColor="text1"/>
          <w:kern w:val="3"/>
          <w:sz w:val="28"/>
          <w:szCs w:val="28"/>
        </w:rPr>
        <w:t>і</w:t>
      </w:r>
      <w:r w:rsidR="006D3C79" w:rsidRPr="00CC7883">
        <w:rPr>
          <w:rFonts w:eastAsia="NSimSun"/>
          <w:color w:val="000000" w:themeColor="text1"/>
          <w:kern w:val="3"/>
          <w:sz w:val="28"/>
          <w:szCs w:val="28"/>
        </w:rPr>
        <w:t xml:space="preserve"> </w:t>
      </w:r>
      <w:r w:rsidRPr="00CC7883">
        <w:rPr>
          <w:rFonts w:eastAsia="NSimSun"/>
          <w:i/>
          <w:color w:val="000000" w:themeColor="text1"/>
          <w:kern w:val="3"/>
          <w:sz w:val="28"/>
          <w:szCs w:val="28"/>
        </w:rPr>
        <w:t>b</w:t>
      </w:r>
      <w:r w:rsidRPr="00CC7883">
        <w:rPr>
          <w:rFonts w:eastAsia="NSimSun"/>
          <w:color w:val="000000" w:themeColor="text1"/>
          <w:kern w:val="3"/>
          <w:sz w:val="28"/>
          <w:szCs w:val="28"/>
        </w:rPr>
        <w:t xml:space="preserve"> між варіантами з різним вмістом фітогормонів у складі поживного середовища показало, що за умови нижчої їх концентрації (0,2 мг/л 6-БАП, 0,3 мг/л ІОК) вміст пігментів був більшим порівняно з варіантами з підвищеною концентрацією (0,5 мг/л 6-БАП, 0,6</w:t>
      </w:r>
      <w:r w:rsidR="00EA4B1F" w:rsidRPr="00CC7883">
        <w:rPr>
          <w:rFonts w:eastAsia="NSimSun"/>
          <w:color w:val="000000" w:themeColor="text1"/>
          <w:kern w:val="3"/>
          <w:sz w:val="28"/>
          <w:szCs w:val="28"/>
        </w:rPr>
        <w:t> </w:t>
      </w:r>
      <w:r w:rsidRPr="00CC7883">
        <w:rPr>
          <w:rFonts w:eastAsia="NSimSun"/>
          <w:color w:val="000000" w:themeColor="text1"/>
          <w:kern w:val="3"/>
          <w:sz w:val="28"/>
          <w:szCs w:val="28"/>
        </w:rPr>
        <w:t>мг/л ІОК)</w:t>
      </w:r>
      <w:r w:rsidR="0046235B">
        <w:rPr>
          <w:rFonts w:eastAsia="NSimSun"/>
          <w:color w:val="000000" w:themeColor="text1"/>
          <w:kern w:val="3"/>
          <w:sz w:val="28"/>
          <w:szCs w:val="28"/>
        </w:rPr>
        <w:t>:</w:t>
      </w:r>
      <w:r w:rsidRPr="00CC7883">
        <w:rPr>
          <w:rFonts w:eastAsia="NSimSun"/>
          <w:color w:val="000000" w:themeColor="text1"/>
          <w:kern w:val="3"/>
          <w:sz w:val="28"/>
          <w:szCs w:val="28"/>
        </w:rPr>
        <w:t xml:space="preserve"> на </w:t>
      </w:r>
      <w:r w:rsidR="008D7B1B">
        <w:rPr>
          <w:rFonts w:eastAsia="NSimSun"/>
          <w:color w:val="000000" w:themeColor="text1"/>
          <w:kern w:val="3"/>
          <w:sz w:val="28"/>
          <w:szCs w:val="28"/>
          <w:lang w:val="ru-RU"/>
        </w:rPr>
        <w:t>18,7</w:t>
      </w:r>
      <w:r w:rsidRPr="00CC7883">
        <w:rPr>
          <w:rFonts w:eastAsia="NSimSun"/>
          <w:color w:val="000000" w:themeColor="text1"/>
          <w:kern w:val="3"/>
          <w:sz w:val="28"/>
          <w:szCs w:val="28"/>
        </w:rPr>
        <w:t xml:space="preserve"> % у сорту «Добриня», </w:t>
      </w:r>
      <w:r w:rsidR="008D7B1B">
        <w:rPr>
          <w:rFonts w:eastAsia="NSimSun"/>
          <w:color w:val="000000" w:themeColor="text1"/>
          <w:kern w:val="3"/>
          <w:sz w:val="28"/>
          <w:szCs w:val="28"/>
          <w:lang w:val="ru-RU"/>
        </w:rPr>
        <w:t>20,9</w:t>
      </w:r>
      <w:r w:rsidRPr="00CC7883">
        <w:rPr>
          <w:rFonts w:eastAsia="NSimSun"/>
          <w:color w:val="000000" w:themeColor="text1"/>
          <w:kern w:val="3"/>
          <w:sz w:val="28"/>
          <w:szCs w:val="28"/>
        </w:rPr>
        <w:t xml:space="preserve"> </w:t>
      </w:r>
      <w:r w:rsidR="00056AAB">
        <w:rPr>
          <w:rFonts w:eastAsia="NSimSun"/>
          <w:color w:val="000000" w:themeColor="text1"/>
          <w:kern w:val="3"/>
          <w:sz w:val="28"/>
          <w:szCs w:val="28"/>
        </w:rPr>
        <w:t xml:space="preserve">% </w:t>
      </w:r>
      <w:r w:rsidRPr="00CC7883">
        <w:rPr>
          <w:rFonts w:eastAsia="NSimSun"/>
          <w:color w:val="000000" w:themeColor="text1"/>
          <w:kern w:val="3"/>
          <w:sz w:val="28"/>
          <w:szCs w:val="28"/>
        </w:rPr>
        <w:t xml:space="preserve">– «Гарант», </w:t>
      </w:r>
      <w:r w:rsidR="008D7B1B">
        <w:rPr>
          <w:rFonts w:eastAsia="NSimSun"/>
          <w:color w:val="000000" w:themeColor="text1"/>
          <w:kern w:val="3"/>
          <w:sz w:val="28"/>
          <w:szCs w:val="28"/>
          <w:lang w:val="ru-RU"/>
        </w:rPr>
        <w:t>26,7</w:t>
      </w:r>
      <w:r w:rsidRPr="00CC7883">
        <w:rPr>
          <w:rFonts w:eastAsia="NSimSun"/>
          <w:color w:val="000000" w:themeColor="text1"/>
          <w:kern w:val="3"/>
          <w:sz w:val="28"/>
          <w:szCs w:val="28"/>
        </w:rPr>
        <w:t xml:space="preserve"> % – «Ярило» та </w:t>
      </w:r>
      <w:r w:rsidR="008D7B1B">
        <w:rPr>
          <w:rFonts w:eastAsia="NSimSun"/>
          <w:color w:val="000000" w:themeColor="text1"/>
          <w:kern w:val="3"/>
          <w:sz w:val="28"/>
          <w:szCs w:val="28"/>
          <w:lang w:val="ru-RU"/>
        </w:rPr>
        <w:t>20,8</w:t>
      </w:r>
      <w:r w:rsidRPr="00CC7883">
        <w:rPr>
          <w:rFonts w:eastAsia="NSimSun"/>
          <w:color w:val="000000" w:themeColor="text1"/>
          <w:kern w:val="3"/>
          <w:sz w:val="28"/>
          <w:szCs w:val="28"/>
        </w:rPr>
        <w:t xml:space="preserve"> % – «Загрей».</w:t>
      </w:r>
    </w:p>
    <w:p w:rsidR="005A3F7D" w:rsidRPr="00CC7883"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пагонах мікроклонів винограду контрольних варіантів у середньому </w:t>
      </w:r>
      <w:r w:rsidR="00D83355">
        <w:rPr>
          <w:rFonts w:ascii="Times New Roman" w:hAnsi="Times New Roman" w:cs="Times New Roman"/>
          <w:color w:val="000000" w:themeColor="text1"/>
          <w:sz w:val="28"/>
          <w:szCs w:val="28"/>
        </w:rPr>
        <w:t xml:space="preserve">каротиноїдів </w:t>
      </w:r>
      <w:r w:rsidRPr="00CC7883">
        <w:rPr>
          <w:rFonts w:ascii="Times New Roman" w:hAnsi="Times New Roman" w:cs="Times New Roman"/>
          <w:color w:val="000000" w:themeColor="text1"/>
          <w:sz w:val="28"/>
          <w:szCs w:val="28"/>
        </w:rPr>
        <w:t>синтезувалось 0,03–0,04 мг/г вологої маси для сортів «Добриня» і «Гарант» та 0,04–0,06 мг/г вологої маси для сортів «Ярило» і «Загрей».</w:t>
      </w:r>
    </w:p>
    <w:p w:rsidR="005A3F7D" w:rsidRPr="00CC7883"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Найбільше каротиноїдів синтезувалось у пагонах мікроклонів у сьомому, дев’ятому та одинадцятому варіантах (структуровані поживні середовища), вміст яких дорівнював 0,07–0,09 мг/г вологої маси для підщепних сортів та 0,06–0,10 мг/г вологої маси для технічних сортів. Цей показник перевищував контролі на 50,0–57,1 %</w:t>
      </w:r>
      <w:r w:rsidR="002F2723"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для сорту «Добриня», на 42,9–47,4 % («Гарант»), 16,7–28,6 % («Ярило»), на 25,0–40,0 % («Загрей»).</w:t>
      </w:r>
    </w:p>
    <w:p w:rsidR="005A3F7D" w:rsidRPr="00CC7883"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пагонах мікроклонів винограду, які культивували на MS + БАП</w:t>
      </w:r>
      <w:r w:rsidR="00CA1104">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вміст каротиноїдів дорівнював 0,04–0,06 мг/г (підщепні сорти) і 0,04–0,07 мг/г (технічні сорти) вологої маси, що було більшим за контрольні значення на 20,0–40,0 % і на 13,0–34,2 %. </w:t>
      </w:r>
    </w:p>
    <w:p w:rsidR="005A3F7D" w:rsidRPr="00CC7883"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рослин, які культивували на структурованих поживних середовищах восьмого, десятого, дванадцятого варіантів</w:t>
      </w:r>
      <w:r w:rsidR="009A50BF">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вміст каротиноїдів у тканинах пагонів мікроклонів винограду збільшувався </w:t>
      </w:r>
      <w:r w:rsidR="006F6AC2">
        <w:rPr>
          <w:rFonts w:ascii="Times New Roman" w:hAnsi="Times New Roman" w:cs="Times New Roman"/>
          <w:color w:val="000000" w:themeColor="text1"/>
          <w:sz w:val="28"/>
          <w:szCs w:val="28"/>
        </w:rPr>
        <w:t>на</w:t>
      </w:r>
      <w:r w:rsidRPr="00CC7883">
        <w:rPr>
          <w:rFonts w:ascii="Times New Roman" w:hAnsi="Times New Roman" w:cs="Times New Roman"/>
          <w:color w:val="000000" w:themeColor="text1"/>
          <w:sz w:val="28"/>
          <w:szCs w:val="28"/>
        </w:rPr>
        <w:t xml:space="preserve"> 50,0–57,1 % («Добриня»), на </w:t>
      </w:r>
      <w:r w:rsidRPr="00CC7883">
        <w:rPr>
          <w:rFonts w:ascii="Times New Roman" w:hAnsi="Times New Roman" w:cs="Times New Roman"/>
          <w:color w:val="000000" w:themeColor="text1"/>
          <w:sz w:val="28"/>
          <w:szCs w:val="28"/>
        </w:rPr>
        <w:lastRenderedPageBreak/>
        <w:t>25,0–47,4 % («Гарант»), на 13,0–33,3 % («Ярило»), на 16,7–34,2 % («Загрей») відповідно.</w:t>
      </w:r>
    </w:p>
    <w:p w:rsidR="005A3F7D" w:rsidRPr="00CC7883"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Загальний аналіз вмісту каротиноїдів у пагонах мікроклонів винограду показав, що за умов зниженого гормонального вмісту (0,2 мг/л 6-БАП, 0,3</w:t>
      </w:r>
      <w:r w:rsidR="00EA4B1F" w:rsidRPr="00CC7883">
        <w:rPr>
          <w:color w:val="000000" w:themeColor="text1"/>
        </w:rPr>
        <w:t> </w:t>
      </w:r>
      <w:r w:rsidRPr="00CC7883">
        <w:rPr>
          <w:rFonts w:ascii="Times New Roman" w:hAnsi="Times New Roman" w:cs="Times New Roman"/>
          <w:color w:val="000000" w:themeColor="text1"/>
          <w:sz w:val="28"/>
          <w:szCs w:val="28"/>
        </w:rPr>
        <w:t>мг/л ІОК) інтенсивність їх накопичення була вищою, ніж у поживних середовищах із підвищеною концентрацією фітогормонів (0,5 мг/л 6-БАП, 0,6</w:t>
      </w:r>
      <w:r w:rsidR="00EA4B1F"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мг/л ІОК). Перевага становила 24,2 % («Добриня»), 34,6 % («Гарант»), 23,7 % («Ярило»), 22,7 % («Загрей»).</w:t>
      </w:r>
    </w:p>
    <w:p w:rsidR="005A3F7D"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bCs/>
          <w:i/>
          <w:iCs/>
          <w:color w:val="000000" w:themeColor="text1"/>
          <w:sz w:val="28"/>
          <w:szCs w:val="28"/>
        </w:rPr>
        <w:t>Поживні субстрати</w:t>
      </w:r>
      <w:r w:rsidRPr="00CC7883">
        <w:rPr>
          <w:rFonts w:ascii="Times New Roman" w:hAnsi="Times New Roman" w:cs="Times New Roman"/>
          <w:color w:val="000000" w:themeColor="text1"/>
          <w:sz w:val="28"/>
          <w:szCs w:val="28"/>
        </w:rPr>
        <w:t xml:space="preserve">. У процесі дослідження у тканинах листків і пагонів мікроклонів винограду сортів «Добриня», «Гарант», «Ярило» та «Загрей», які культивували в умовах </w:t>
      </w:r>
      <w:r w:rsidR="001221F9"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на різних типах поживних субстратів, так само визначали вміст </w:t>
      </w:r>
      <w:r w:rsidR="00D34FA9" w:rsidRPr="00CC7883">
        <w:rPr>
          <w:rFonts w:ascii="Times New Roman" w:hAnsi="Times New Roman" w:cs="Times New Roman"/>
          <w:color w:val="000000" w:themeColor="text1"/>
          <w:sz w:val="28"/>
          <w:szCs w:val="28"/>
        </w:rPr>
        <w:t>пігментного комплексу (</w:t>
      </w:r>
      <w:r w:rsidR="00DC4415" w:rsidRPr="00CC7883">
        <w:rPr>
          <w:rFonts w:ascii="Times New Roman" w:hAnsi="Times New Roman" w:cs="Times New Roman"/>
          <w:color w:val="000000" w:themeColor="text1"/>
          <w:sz w:val="28"/>
          <w:szCs w:val="28"/>
        </w:rPr>
        <w:t xml:space="preserve">табл. </w:t>
      </w:r>
      <w:r w:rsidR="00D34FA9" w:rsidRPr="00CC7883">
        <w:rPr>
          <w:rFonts w:ascii="Times New Roman" w:hAnsi="Times New Roman" w:cs="Times New Roman"/>
          <w:color w:val="000000" w:themeColor="text1"/>
          <w:sz w:val="28"/>
          <w:szCs w:val="28"/>
        </w:rPr>
        <w:t>5.3</w:t>
      </w:r>
      <w:r w:rsidRPr="00CC7883">
        <w:rPr>
          <w:rFonts w:ascii="Times New Roman" w:hAnsi="Times New Roman" w:cs="Times New Roman"/>
          <w:color w:val="000000" w:themeColor="text1"/>
          <w:sz w:val="28"/>
          <w:szCs w:val="28"/>
        </w:rPr>
        <w:t>).</w:t>
      </w:r>
    </w:p>
    <w:p w:rsidR="008723A6" w:rsidRDefault="008723A6"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Проведений порівняльний аналіз вмісту фотосинтетичних пігментів у листкових пластинках мікроклонів винограду показав, що рівень їх накопичення суттєво залежав від типу мінерального субстрату. У контрольних варіантах вміст хлорофілу </w:t>
      </w:r>
      <w:r w:rsidRPr="00CC7883">
        <w:rPr>
          <w:rFonts w:ascii="Times New Roman" w:hAnsi="Times New Roman" w:cs="Times New Roman"/>
          <w:i/>
          <w:color w:val="000000" w:themeColor="text1"/>
          <w:sz w:val="28"/>
          <w:szCs w:val="28"/>
        </w:rPr>
        <w:t>а</w:t>
      </w:r>
      <w:r w:rsidRPr="00CC7883">
        <w:rPr>
          <w:rFonts w:ascii="Times New Roman" w:hAnsi="Times New Roman" w:cs="Times New Roman"/>
          <w:color w:val="000000" w:themeColor="text1"/>
          <w:sz w:val="28"/>
          <w:szCs w:val="28"/>
        </w:rPr>
        <w:t xml:space="preserve"> у підщепних сортах («Добриня», «Гарант») коливався в межах 0,91–1,44 мг/г вологої маси, тоді як у технічних сортів («Ярило», «Загрей») – 1,12–1,41 мг/г вологої маси.</w:t>
      </w:r>
    </w:p>
    <w:p w:rsidR="003537E4" w:rsidRDefault="003537E4" w:rsidP="003537E4">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Найвищі показники були у рослин п’ятого варіанту, де як поживне середовище використовували суміш агроперліту з вермикулітом. За цих умов синтез хлорофілу </w:t>
      </w:r>
      <w:r w:rsidRPr="00CC7883">
        <w:rPr>
          <w:rFonts w:ascii="Times New Roman" w:eastAsia="NSimSun" w:hAnsi="Times New Roman" w:cs="Times New Roman"/>
          <w:i/>
          <w:color w:val="000000" w:themeColor="text1"/>
          <w:kern w:val="3"/>
          <w:sz w:val="28"/>
          <w:szCs w:val="28"/>
        </w:rPr>
        <w:t>а</w:t>
      </w:r>
      <w:r w:rsidRPr="00CC7883">
        <w:rPr>
          <w:rFonts w:ascii="Times New Roman" w:eastAsia="NSimSun" w:hAnsi="Times New Roman" w:cs="Times New Roman"/>
          <w:color w:val="000000" w:themeColor="text1"/>
          <w:kern w:val="3"/>
          <w:sz w:val="28"/>
          <w:szCs w:val="28"/>
        </w:rPr>
        <w:t xml:space="preserve"> перевищував контрольні значення на 15,3–69,0 % залежно від сорту. Використання окремо агроперліту або вермикуліту також сприяло збільшенню вмісту хлорофілу </w:t>
      </w:r>
      <w:r w:rsidRPr="00CC7883">
        <w:rPr>
          <w:rFonts w:ascii="Times New Roman" w:eastAsia="NSimSun" w:hAnsi="Times New Roman" w:cs="Times New Roman"/>
          <w:i/>
          <w:color w:val="000000" w:themeColor="text1"/>
          <w:kern w:val="3"/>
          <w:sz w:val="28"/>
          <w:szCs w:val="28"/>
        </w:rPr>
        <w:t>а</w:t>
      </w:r>
      <w:r w:rsidRPr="00CC7883">
        <w:rPr>
          <w:rFonts w:ascii="Times New Roman" w:eastAsia="NSimSun" w:hAnsi="Times New Roman" w:cs="Times New Roman"/>
          <w:color w:val="000000" w:themeColor="text1"/>
          <w:kern w:val="3"/>
          <w:sz w:val="28"/>
          <w:szCs w:val="28"/>
        </w:rPr>
        <w:t xml:space="preserve"> відносно контролю, відповідно на 1,4–64,0 % та 9,0–61,0 %.</w:t>
      </w:r>
      <w:r w:rsidRPr="003537E4">
        <w:rPr>
          <w:rFonts w:ascii="Times New Roman" w:eastAsia="NSimSun" w:hAnsi="Times New Roman" w:cs="Times New Roman"/>
          <w:color w:val="000000" w:themeColor="text1"/>
          <w:kern w:val="3"/>
          <w:sz w:val="28"/>
          <w:szCs w:val="28"/>
        </w:rPr>
        <w:t xml:space="preserve"> </w:t>
      </w:r>
    </w:p>
    <w:p w:rsidR="003537E4" w:rsidRPr="00CC7883" w:rsidRDefault="003537E4" w:rsidP="003537E4">
      <w:pPr>
        <w:widowControl w:val="0"/>
        <w:autoSpaceDN w:val="0"/>
        <w:spacing w:after="0" w:line="360" w:lineRule="auto"/>
        <w:ind w:firstLine="709"/>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Вміст хлорофілу </w:t>
      </w:r>
      <w:r w:rsidRPr="00CC7883">
        <w:rPr>
          <w:rFonts w:ascii="Times New Roman" w:eastAsia="NSimSun" w:hAnsi="Times New Roman" w:cs="Times New Roman"/>
          <w:i/>
          <w:color w:val="000000" w:themeColor="text1"/>
          <w:kern w:val="3"/>
          <w:sz w:val="28"/>
          <w:szCs w:val="28"/>
        </w:rPr>
        <w:t>b</w:t>
      </w:r>
      <w:r w:rsidRPr="00CC7883">
        <w:rPr>
          <w:rFonts w:ascii="Times New Roman" w:eastAsia="NSimSun" w:hAnsi="Times New Roman" w:cs="Times New Roman"/>
          <w:color w:val="000000" w:themeColor="text1"/>
          <w:kern w:val="3"/>
          <w:sz w:val="28"/>
          <w:szCs w:val="28"/>
        </w:rPr>
        <w:t xml:space="preserve"> у контрольних рослин дорівнював 0,25–0,37 мг/г вологої маси у підщепних і 0,37–0,41 мг/г вологої маси у технічних сортів. Максимальні його значення були у рослин п’ятого варіанту (агроперліт + вермикуліт), де вони перевищували контроль на 12,2–67,9 %. На субстратах із агроперлітом чи вермикулітом також відзначено збільшення вмісту цього пігменту.</w:t>
      </w:r>
    </w:p>
    <w:p w:rsidR="005A3F7D" w:rsidRPr="00CC7883" w:rsidRDefault="00D34FA9" w:rsidP="00047411">
      <w:pPr>
        <w:widowControl w:val="0"/>
        <w:autoSpaceDN w:val="0"/>
        <w:spacing w:after="0" w:line="360" w:lineRule="auto"/>
        <w:jc w:val="right"/>
        <w:textAlignment w:val="baseline"/>
        <w:rPr>
          <w:rFonts w:ascii="Times New Roman" w:eastAsia="NSimSun" w:hAnsi="Times New Roman" w:cs="Times New Roman"/>
          <w:i/>
          <w:iCs/>
          <w:color w:val="000000" w:themeColor="text1"/>
          <w:kern w:val="3"/>
          <w:sz w:val="28"/>
          <w:szCs w:val="28"/>
        </w:rPr>
      </w:pPr>
      <w:r w:rsidRPr="00CC7883">
        <w:rPr>
          <w:rFonts w:ascii="Times New Roman" w:eastAsia="NSimSun" w:hAnsi="Times New Roman" w:cs="Times New Roman"/>
          <w:i/>
          <w:iCs/>
          <w:color w:val="000000" w:themeColor="text1"/>
          <w:kern w:val="3"/>
          <w:sz w:val="28"/>
          <w:szCs w:val="28"/>
        </w:rPr>
        <w:lastRenderedPageBreak/>
        <w:t>Таблиця 5.3</w:t>
      </w:r>
    </w:p>
    <w:p w:rsidR="005A3F7D" w:rsidRPr="00CC7883" w:rsidRDefault="005A3F7D"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sz w:val="28"/>
          <w:szCs w:val="28"/>
        </w:rPr>
      </w:pPr>
      <w:r w:rsidRPr="00CC7883">
        <w:rPr>
          <w:rFonts w:ascii="Times New Roman" w:eastAsia="NSimSun" w:hAnsi="Times New Roman" w:cs="Times New Roman"/>
          <w:b/>
          <w:bCs/>
          <w:color w:val="000000" w:themeColor="text1"/>
          <w:kern w:val="3"/>
          <w:sz w:val="28"/>
          <w:szCs w:val="28"/>
        </w:rPr>
        <w:t>Вміст пігментів у тканинах листків мікроклонів винограду на різних типах поживних субстратів (середнє за 2019–</w:t>
      </w:r>
      <w:r w:rsidRPr="00CC7883">
        <w:rPr>
          <w:rFonts w:ascii="Times New Roman" w:eastAsia="NSimSun" w:hAnsi="Times New Roman" w:cs="Times New Roman"/>
          <w:b/>
          <w:color w:val="000000" w:themeColor="text1"/>
          <w:kern w:val="3"/>
          <w:sz w:val="28"/>
          <w:szCs w:val="28"/>
        </w:rPr>
        <w:t>2022</w:t>
      </w:r>
      <w:r w:rsidRPr="00CC7883">
        <w:rPr>
          <w:rFonts w:ascii="Times New Roman" w:eastAsia="NSimSun" w:hAnsi="Times New Roman" w:cs="Times New Roman"/>
          <w:b/>
          <w:bCs/>
          <w:color w:val="000000" w:themeColor="text1"/>
          <w:kern w:val="3"/>
          <w:sz w:val="28"/>
          <w:szCs w:val="28"/>
        </w:rPr>
        <w:t xml:space="preserve"> рр.)</w:t>
      </w:r>
    </w:p>
    <w:tbl>
      <w:tblPr>
        <w:tblW w:w="9381" w:type="dxa"/>
        <w:jc w:val="center"/>
        <w:tblCellMar>
          <w:left w:w="10" w:type="dxa"/>
          <w:right w:w="10" w:type="dxa"/>
        </w:tblCellMar>
        <w:tblLook w:val="0000"/>
      </w:tblPr>
      <w:tblGrid>
        <w:gridCol w:w="1562"/>
        <w:gridCol w:w="1410"/>
        <w:gridCol w:w="1418"/>
        <w:gridCol w:w="2412"/>
        <w:gridCol w:w="2579"/>
      </w:tblGrid>
      <w:tr w:rsidR="003537E4" w:rsidRPr="00CC7883" w:rsidTr="0024767B">
        <w:trPr>
          <w:trHeight w:val="375"/>
          <w:jc w:val="center"/>
        </w:trPr>
        <w:tc>
          <w:tcPr>
            <w:tcW w:w="1562" w:type="dxa"/>
            <w:vMerge w:val="restart"/>
            <w:tcBorders>
              <w:top w:val="single" w:sz="4" w:space="0" w:color="000000"/>
              <w:left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Варіанти досліду</w:t>
            </w:r>
          </w:p>
        </w:tc>
        <w:tc>
          <w:tcPr>
            <w:tcW w:w="1410"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a</w:t>
            </w:r>
          </w:p>
        </w:tc>
        <w:tc>
          <w:tcPr>
            <w:tcW w:w="1418"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b</w:t>
            </w:r>
          </w:p>
        </w:tc>
        <w:tc>
          <w:tcPr>
            <w:tcW w:w="2412"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a</w:t>
            </w:r>
            <w:r w:rsidRPr="00CC7883">
              <w:rPr>
                <w:rFonts w:ascii="Times New Roman" w:eastAsia="Calibri" w:hAnsi="Times New Roman" w:cs="Times New Roman"/>
                <w:bCs/>
                <w:color w:val="000000" w:themeColor="text1"/>
                <w:sz w:val="28"/>
                <w:szCs w:val="28"/>
              </w:rPr>
              <w:t xml:space="preserve"> + chl </w:t>
            </w:r>
            <w:r w:rsidRPr="00CC7883">
              <w:rPr>
                <w:rFonts w:ascii="Times New Roman" w:eastAsia="Calibri" w:hAnsi="Times New Roman" w:cs="Times New Roman"/>
                <w:bCs/>
                <w:i/>
                <w:color w:val="000000" w:themeColor="text1"/>
                <w:sz w:val="28"/>
                <w:szCs w:val="28"/>
              </w:rPr>
              <w:t>b</w:t>
            </w:r>
          </w:p>
        </w:tc>
        <w:tc>
          <w:tcPr>
            <w:tcW w:w="2579"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3537E4" w:rsidRPr="00325396" w:rsidRDefault="003537E4" w:rsidP="00325396">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Каротиноїди</w:t>
            </w:r>
          </w:p>
        </w:tc>
      </w:tr>
      <w:tr w:rsidR="003537E4" w:rsidRPr="00CC7883" w:rsidTr="0024767B">
        <w:trPr>
          <w:trHeight w:val="375"/>
          <w:jc w:val="center"/>
        </w:trPr>
        <w:tc>
          <w:tcPr>
            <w:tcW w:w="1562" w:type="dxa"/>
            <w:vMerge/>
            <w:tcBorders>
              <w:left w:val="single" w:sz="4" w:space="0" w:color="000000"/>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p>
        </w:tc>
        <w:tc>
          <w:tcPr>
            <w:tcW w:w="7819" w:type="dxa"/>
            <w:gridSpan w:val="4"/>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3537E4" w:rsidRPr="00CC7883" w:rsidRDefault="003537E4" w:rsidP="00325396">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мг/г вологої маси</w:t>
            </w:r>
          </w:p>
        </w:tc>
      </w:tr>
      <w:tr w:rsidR="00325396" w:rsidRPr="00CC7883" w:rsidTr="0024767B">
        <w:trPr>
          <w:trHeight w:val="375"/>
          <w:jc w:val="center"/>
        </w:trPr>
        <w:tc>
          <w:tcPr>
            <w:tcW w:w="9381" w:type="dxa"/>
            <w:gridSpan w:val="5"/>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NSimSun" w:hAnsi="Times New Roman" w:cs="Times New Roman"/>
                <w:color w:val="000000" w:themeColor="text1"/>
                <w:kern w:val="3"/>
                <w:sz w:val="28"/>
                <w:szCs w:val="28"/>
              </w:rPr>
              <w:t>«Добриня»</w:t>
            </w:r>
          </w:p>
        </w:tc>
      </w:tr>
      <w:tr w:rsidR="00325396" w:rsidRPr="00CC7883" w:rsidTr="0024767B">
        <w:trPr>
          <w:trHeight w:val="375"/>
          <w:jc w:val="center"/>
        </w:trPr>
        <w:tc>
          <w:tcPr>
            <w:tcW w:w="1562"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410" w:type="dxa"/>
            <w:tcBorders>
              <w:top w:val="single" w:sz="4" w:space="0" w:color="auto"/>
              <w:left w:val="single" w:sz="4" w:space="0" w:color="auto"/>
              <w:bottom w:val="single" w:sz="4" w:space="0" w:color="auto"/>
              <w:right w:val="single" w:sz="4" w:space="0" w:color="auto"/>
            </w:tcBorders>
            <w:shd w:val="clear" w:color="000000" w:fill="FFFFFF"/>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1,44±0,07</w:t>
            </w:r>
          </w:p>
        </w:tc>
        <w:tc>
          <w:tcPr>
            <w:tcW w:w="1418" w:type="dxa"/>
            <w:tcBorders>
              <w:top w:val="single" w:sz="4" w:space="0" w:color="auto"/>
              <w:left w:val="nil"/>
              <w:bottom w:val="single" w:sz="4" w:space="0" w:color="auto"/>
              <w:right w:val="nil"/>
            </w:tcBorders>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0,37±0,02</w:t>
            </w:r>
          </w:p>
        </w:tc>
        <w:tc>
          <w:tcPr>
            <w:tcW w:w="2412" w:type="dxa"/>
            <w:tcBorders>
              <w:top w:val="single" w:sz="4" w:space="0" w:color="auto"/>
              <w:left w:val="single" w:sz="4" w:space="0" w:color="auto"/>
              <w:bottom w:val="single" w:sz="4" w:space="0" w:color="auto"/>
              <w:right w:val="single" w:sz="4" w:space="0" w:color="auto"/>
            </w:tcBorders>
            <w:shd w:val="clear" w:color="000000" w:fill="FFFFFF"/>
            <w:vAlign w:val="bottom"/>
          </w:tcPr>
          <w:p w:rsidR="00325396" w:rsidRPr="00CC7883" w:rsidRDefault="00325396" w:rsidP="00325396">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1,81±0,06</w:t>
            </w:r>
          </w:p>
        </w:tc>
        <w:tc>
          <w:tcPr>
            <w:tcW w:w="2579" w:type="dxa"/>
            <w:tcBorders>
              <w:top w:val="single" w:sz="4" w:space="0" w:color="auto"/>
              <w:left w:val="single" w:sz="4" w:space="0" w:color="auto"/>
              <w:bottom w:val="single" w:sz="4" w:space="0" w:color="auto"/>
              <w:right w:val="single" w:sz="4" w:space="0" w:color="auto"/>
            </w:tcBorders>
            <w:shd w:val="clear" w:color="000000" w:fill="FFFFFF"/>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hAnsi="Times New Roman" w:cs="Times New Roman"/>
                <w:color w:val="000000" w:themeColor="text1"/>
                <w:sz w:val="28"/>
                <w:szCs w:val="28"/>
              </w:rPr>
              <w:t>0,37±0,01</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41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1,39±0,08</w:t>
            </w:r>
          </w:p>
        </w:tc>
        <w:tc>
          <w:tcPr>
            <w:tcW w:w="1418" w:type="dxa"/>
            <w:tcBorders>
              <w:top w:val="single" w:sz="4" w:space="0" w:color="auto"/>
              <w:left w:val="nil"/>
              <w:bottom w:val="single" w:sz="4" w:space="0" w:color="auto"/>
              <w:right w:val="nil"/>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0,29±0,01</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1,68±0,08</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0,32±0,01</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41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1,46±0,09</w:t>
            </w:r>
          </w:p>
        </w:tc>
        <w:tc>
          <w:tcPr>
            <w:tcW w:w="1418" w:type="dxa"/>
            <w:tcBorders>
              <w:top w:val="single" w:sz="4" w:space="0" w:color="auto"/>
              <w:left w:val="nil"/>
              <w:bottom w:val="single" w:sz="4" w:space="0" w:color="auto"/>
              <w:right w:val="nil"/>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0,37±0,02</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1,83±0,05</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0,48±0,02</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41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1,57±0,10</w:t>
            </w:r>
          </w:p>
        </w:tc>
        <w:tc>
          <w:tcPr>
            <w:tcW w:w="1418" w:type="dxa"/>
            <w:tcBorders>
              <w:top w:val="single" w:sz="4" w:space="0" w:color="auto"/>
              <w:left w:val="nil"/>
              <w:bottom w:val="single" w:sz="4" w:space="0" w:color="auto"/>
              <w:right w:val="nil"/>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0,39±0,02</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1,97±0,06</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0,50±0,03</w:t>
            </w:r>
          </w:p>
        </w:tc>
      </w:tr>
      <w:tr w:rsidR="00325396" w:rsidRPr="00CC7883" w:rsidTr="0024767B">
        <w:trPr>
          <w:trHeight w:val="375"/>
          <w:jc w:val="center"/>
        </w:trPr>
        <w:tc>
          <w:tcPr>
            <w:tcW w:w="1562"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41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1,66±0,03</w:t>
            </w:r>
          </w:p>
        </w:tc>
        <w:tc>
          <w:tcPr>
            <w:tcW w:w="1418" w:type="dxa"/>
            <w:tcBorders>
              <w:top w:val="single" w:sz="4" w:space="0" w:color="auto"/>
              <w:left w:val="nil"/>
              <w:bottom w:val="single" w:sz="4" w:space="0" w:color="auto"/>
              <w:right w:val="nil"/>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0,42±0,03</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2,08±0,09</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0,55±0,03</w:t>
            </w:r>
          </w:p>
        </w:tc>
      </w:tr>
      <w:tr w:rsidR="00325396" w:rsidRPr="00CC7883" w:rsidTr="0024767B">
        <w:trPr>
          <w:trHeight w:val="375"/>
          <w:jc w:val="center"/>
        </w:trPr>
        <w:tc>
          <w:tcPr>
            <w:tcW w:w="938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eastAsia="NSimSun" w:hAnsi="Times New Roman" w:cs="Times New Roman"/>
                <w:color w:val="000000" w:themeColor="text1"/>
                <w:kern w:val="3"/>
                <w:sz w:val="28"/>
                <w:szCs w:val="28"/>
              </w:rPr>
              <w:t>«Гарант»</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1,00±0,04</w:t>
            </w:r>
          </w:p>
        </w:tc>
        <w:tc>
          <w:tcPr>
            <w:tcW w:w="1418"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0,28±0,01</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1,28±0,07</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0,25±0,01</w:t>
            </w:r>
          </w:p>
        </w:tc>
      </w:tr>
      <w:tr w:rsidR="00325396" w:rsidRPr="00CC7883" w:rsidTr="0024767B">
        <w:trPr>
          <w:trHeight w:val="375"/>
          <w:jc w:val="center"/>
        </w:trPr>
        <w:tc>
          <w:tcPr>
            <w:tcW w:w="1562" w:type="dxa"/>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0,91±0,02</w:t>
            </w:r>
          </w:p>
        </w:tc>
        <w:tc>
          <w:tcPr>
            <w:tcW w:w="1418"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0,25±0,01</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1,16±0,06</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0,23±0,02</w:t>
            </w:r>
          </w:p>
        </w:tc>
      </w:tr>
      <w:tr w:rsidR="00325396" w:rsidRPr="00CC7883" w:rsidTr="0024767B">
        <w:trPr>
          <w:trHeight w:val="375"/>
          <w:jc w:val="center"/>
        </w:trPr>
        <w:tc>
          <w:tcPr>
            <w:tcW w:w="1562"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1,64</w:t>
            </w:r>
            <w:r w:rsidRPr="00CC7883">
              <w:rPr>
                <w:rFonts w:ascii="Times New Roman" w:hAnsi="Times New Roman" w:cs="Times New Roman"/>
                <w:color w:val="000000" w:themeColor="text1"/>
                <w:sz w:val="28"/>
                <w:szCs w:val="28"/>
              </w:rPr>
              <w:t>±0,04</w:t>
            </w:r>
          </w:p>
        </w:tc>
        <w:tc>
          <w:tcPr>
            <w:tcW w:w="1418"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0,49</w:t>
            </w:r>
            <w:r w:rsidRPr="00CC7883">
              <w:rPr>
                <w:rFonts w:ascii="Times New Roman" w:hAnsi="Times New Roman" w:cs="Times New Roman"/>
                <w:color w:val="000000" w:themeColor="text1"/>
                <w:sz w:val="28"/>
                <w:szCs w:val="28"/>
              </w:rPr>
              <w:t>±0,02</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2,13</w:t>
            </w:r>
            <w:r w:rsidRPr="00CC7883">
              <w:rPr>
                <w:rFonts w:ascii="Times New Roman" w:hAnsi="Times New Roman" w:cs="Times New Roman"/>
                <w:color w:val="000000" w:themeColor="text1"/>
                <w:sz w:val="28"/>
                <w:szCs w:val="28"/>
              </w:rPr>
              <w:t>±0,09</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0,38</w:t>
            </w:r>
            <w:r w:rsidRPr="00CC7883">
              <w:rPr>
                <w:rFonts w:ascii="Times New Roman" w:hAnsi="Times New Roman" w:cs="Times New Roman"/>
                <w:color w:val="000000" w:themeColor="text1"/>
                <w:sz w:val="28"/>
                <w:szCs w:val="28"/>
              </w:rPr>
              <w:t>±0,02</w:t>
            </w:r>
          </w:p>
        </w:tc>
      </w:tr>
      <w:tr w:rsidR="00325396" w:rsidRPr="00CC7883" w:rsidTr="0024767B">
        <w:trPr>
          <w:trHeight w:val="375"/>
          <w:jc w:val="center"/>
        </w:trPr>
        <w:tc>
          <w:tcPr>
            <w:tcW w:w="1562"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1,61</w:t>
            </w:r>
            <w:r w:rsidRPr="00CC7883">
              <w:rPr>
                <w:rFonts w:ascii="Times New Roman" w:hAnsi="Times New Roman" w:cs="Times New Roman"/>
                <w:color w:val="000000" w:themeColor="text1"/>
                <w:sz w:val="28"/>
                <w:szCs w:val="28"/>
              </w:rPr>
              <w:t>±0,04</w:t>
            </w:r>
          </w:p>
        </w:tc>
        <w:tc>
          <w:tcPr>
            <w:tcW w:w="1418"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0,43</w:t>
            </w:r>
            <w:r w:rsidRPr="00CC7883">
              <w:rPr>
                <w:rFonts w:ascii="Times New Roman" w:hAnsi="Times New Roman" w:cs="Times New Roman"/>
                <w:color w:val="000000" w:themeColor="text1"/>
                <w:sz w:val="28"/>
                <w:szCs w:val="28"/>
              </w:rPr>
              <w:t>±0,02</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2,03</w:t>
            </w:r>
            <w:r w:rsidRPr="00CC7883">
              <w:rPr>
                <w:rFonts w:ascii="Times New Roman" w:hAnsi="Times New Roman" w:cs="Times New Roman"/>
                <w:color w:val="000000" w:themeColor="text1"/>
                <w:sz w:val="28"/>
                <w:szCs w:val="28"/>
              </w:rPr>
              <w:t>±0,10</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0,44</w:t>
            </w:r>
            <w:r w:rsidRPr="00CC7883">
              <w:rPr>
                <w:rFonts w:ascii="Times New Roman" w:hAnsi="Times New Roman" w:cs="Times New Roman"/>
                <w:color w:val="000000" w:themeColor="text1"/>
                <w:sz w:val="28"/>
                <w:szCs w:val="28"/>
              </w:rPr>
              <w:t>±0,02</w:t>
            </w:r>
          </w:p>
        </w:tc>
      </w:tr>
      <w:tr w:rsidR="00325396" w:rsidRPr="00CC7883" w:rsidTr="0024767B">
        <w:trPr>
          <w:trHeight w:val="375"/>
          <w:jc w:val="center"/>
        </w:trPr>
        <w:tc>
          <w:tcPr>
            <w:tcW w:w="1562"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1,69</w:t>
            </w:r>
            <w:r w:rsidRPr="00CC7883">
              <w:rPr>
                <w:rFonts w:ascii="Times New Roman" w:hAnsi="Times New Roman" w:cs="Times New Roman"/>
                <w:color w:val="000000" w:themeColor="text1"/>
                <w:sz w:val="28"/>
                <w:szCs w:val="28"/>
              </w:rPr>
              <w:t>±0,03</w:t>
            </w:r>
          </w:p>
        </w:tc>
        <w:tc>
          <w:tcPr>
            <w:tcW w:w="1418"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0,47</w:t>
            </w:r>
            <w:r w:rsidRPr="00CC7883">
              <w:rPr>
                <w:rFonts w:ascii="Times New Roman" w:hAnsi="Times New Roman" w:cs="Times New Roman"/>
                <w:color w:val="000000" w:themeColor="text1"/>
                <w:sz w:val="28"/>
                <w:szCs w:val="28"/>
              </w:rPr>
              <w:t>±0,01</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2,16</w:t>
            </w:r>
            <w:r w:rsidRPr="00CC7883">
              <w:rPr>
                <w:rFonts w:ascii="Times New Roman" w:hAnsi="Times New Roman" w:cs="Times New Roman"/>
                <w:color w:val="000000" w:themeColor="text1"/>
                <w:sz w:val="28"/>
                <w:szCs w:val="28"/>
              </w:rPr>
              <w:t>±0,11</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0,45</w:t>
            </w:r>
            <w:r w:rsidRPr="00CC7883">
              <w:rPr>
                <w:rFonts w:ascii="Times New Roman" w:hAnsi="Times New Roman" w:cs="Times New Roman"/>
                <w:color w:val="000000" w:themeColor="text1"/>
                <w:sz w:val="28"/>
                <w:szCs w:val="28"/>
              </w:rPr>
              <w:t>±0,02</w:t>
            </w:r>
          </w:p>
        </w:tc>
      </w:tr>
      <w:tr w:rsidR="00325396" w:rsidRPr="00CC7883" w:rsidTr="0024767B">
        <w:trPr>
          <w:trHeight w:val="375"/>
          <w:jc w:val="center"/>
        </w:trPr>
        <w:tc>
          <w:tcPr>
            <w:tcW w:w="938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«Ярило»</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1,41±0,06</w:t>
            </w:r>
          </w:p>
        </w:tc>
        <w:tc>
          <w:tcPr>
            <w:tcW w:w="141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0,41±0,03</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1,82±0,06</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0,33±0,02</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1,29±0,08</w:t>
            </w:r>
          </w:p>
        </w:tc>
        <w:tc>
          <w:tcPr>
            <w:tcW w:w="141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0,38±0,02</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1,67±0,07</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0,30±0,01</w:t>
            </w:r>
          </w:p>
        </w:tc>
      </w:tr>
      <w:tr w:rsidR="00325396" w:rsidRPr="00CC7883" w:rsidTr="0024767B">
        <w:trPr>
          <w:trHeight w:val="375"/>
          <w:jc w:val="center"/>
        </w:trPr>
        <w:tc>
          <w:tcPr>
            <w:tcW w:w="1562" w:type="dxa"/>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1,93</w:t>
            </w:r>
            <w:r w:rsidRPr="00CC7883">
              <w:rPr>
                <w:rFonts w:ascii="Times New Roman" w:hAnsi="Times New Roman" w:cs="Times New Roman"/>
                <w:color w:val="000000" w:themeColor="text1"/>
                <w:sz w:val="28"/>
                <w:szCs w:val="28"/>
              </w:rPr>
              <w:t>±0,07</w:t>
            </w:r>
          </w:p>
        </w:tc>
        <w:tc>
          <w:tcPr>
            <w:tcW w:w="141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0,58</w:t>
            </w:r>
            <w:r w:rsidRPr="00CC7883">
              <w:rPr>
                <w:rFonts w:ascii="Times New Roman" w:hAnsi="Times New Roman" w:cs="Times New Roman"/>
                <w:color w:val="000000" w:themeColor="text1"/>
                <w:sz w:val="28"/>
                <w:szCs w:val="28"/>
              </w:rPr>
              <w:t>±0,03</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2,51</w:t>
            </w:r>
            <w:r w:rsidRPr="00CC7883">
              <w:rPr>
                <w:rFonts w:ascii="Times New Roman" w:hAnsi="Times New Roman" w:cs="Times New Roman"/>
                <w:color w:val="000000" w:themeColor="text1"/>
                <w:sz w:val="28"/>
                <w:szCs w:val="28"/>
              </w:rPr>
              <w:t>±0,11</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0,44</w:t>
            </w:r>
            <w:r w:rsidRPr="00CC7883">
              <w:rPr>
                <w:rFonts w:ascii="Times New Roman" w:hAnsi="Times New Roman" w:cs="Times New Roman"/>
                <w:color w:val="000000" w:themeColor="text1"/>
                <w:sz w:val="28"/>
                <w:szCs w:val="28"/>
              </w:rPr>
              <w:t>±0,02</w:t>
            </w:r>
          </w:p>
        </w:tc>
      </w:tr>
      <w:tr w:rsidR="00325396" w:rsidRPr="00CC7883" w:rsidTr="0024767B">
        <w:trPr>
          <w:trHeight w:val="375"/>
          <w:jc w:val="center"/>
        </w:trPr>
        <w:tc>
          <w:tcPr>
            <w:tcW w:w="1562"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1,97</w:t>
            </w:r>
            <w:r w:rsidRPr="00CC7883">
              <w:rPr>
                <w:rFonts w:ascii="Times New Roman" w:hAnsi="Times New Roman" w:cs="Times New Roman"/>
                <w:color w:val="000000" w:themeColor="text1"/>
                <w:sz w:val="28"/>
                <w:szCs w:val="28"/>
              </w:rPr>
              <w:t>±0,09</w:t>
            </w:r>
          </w:p>
        </w:tc>
        <w:tc>
          <w:tcPr>
            <w:tcW w:w="141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0,61</w:t>
            </w:r>
            <w:r w:rsidRPr="00CC7883">
              <w:rPr>
                <w:rFonts w:ascii="Times New Roman" w:hAnsi="Times New Roman" w:cs="Times New Roman"/>
                <w:color w:val="000000" w:themeColor="text1"/>
                <w:sz w:val="28"/>
                <w:szCs w:val="28"/>
              </w:rPr>
              <w:t>±0,04</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2,58</w:t>
            </w:r>
            <w:r w:rsidRPr="00CC7883">
              <w:rPr>
                <w:rFonts w:ascii="Times New Roman" w:hAnsi="Times New Roman" w:cs="Times New Roman"/>
                <w:color w:val="000000" w:themeColor="text1"/>
                <w:sz w:val="28"/>
                <w:szCs w:val="28"/>
              </w:rPr>
              <w:t>±0,12</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0,49</w:t>
            </w:r>
            <w:r w:rsidRPr="00CC7883">
              <w:rPr>
                <w:rFonts w:ascii="Times New Roman" w:hAnsi="Times New Roman" w:cs="Times New Roman"/>
                <w:color w:val="000000" w:themeColor="text1"/>
                <w:sz w:val="28"/>
                <w:szCs w:val="28"/>
              </w:rPr>
              <w:t>±0,02</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41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2,01</w:t>
            </w:r>
            <w:r w:rsidRPr="00CC7883">
              <w:rPr>
                <w:rFonts w:ascii="Times New Roman" w:hAnsi="Times New Roman" w:cs="Times New Roman"/>
                <w:color w:val="000000" w:themeColor="text1"/>
                <w:sz w:val="28"/>
                <w:szCs w:val="28"/>
              </w:rPr>
              <w:t>±0,10</w:t>
            </w:r>
          </w:p>
        </w:tc>
        <w:tc>
          <w:tcPr>
            <w:tcW w:w="141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0,64</w:t>
            </w:r>
            <w:r w:rsidRPr="00CC7883">
              <w:rPr>
                <w:rFonts w:ascii="Times New Roman" w:hAnsi="Times New Roman" w:cs="Times New Roman"/>
                <w:color w:val="000000" w:themeColor="text1"/>
                <w:sz w:val="28"/>
                <w:szCs w:val="28"/>
              </w:rPr>
              <w:t>±0,02</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2,65</w:t>
            </w:r>
            <w:r w:rsidRPr="00CC7883">
              <w:rPr>
                <w:rFonts w:ascii="Times New Roman" w:hAnsi="Times New Roman" w:cs="Times New Roman"/>
                <w:color w:val="000000" w:themeColor="text1"/>
                <w:sz w:val="28"/>
                <w:szCs w:val="28"/>
              </w:rPr>
              <w:t>±0,14</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0,51</w:t>
            </w:r>
            <w:r w:rsidRPr="00CC7883">
              <w:rPr>
                <w:rFonts w:ascii="Times New Roman" w:hAnsi="Times New Roman" w:cs="Times New Roman"/>
                <w:color w:val="000000" w:themeColor="text1"/>
                <w:sz w:val="28"/>
                <w:szCs w:val="28"/>
              </w:rPr>
              <w:t>±0,03</w:t>
            </w:r>
          </w:p>
        </w:tc>
      </w:tr>
      <w:tr w:rsidR="00325396" w:rsidRPr="00CC7883" w:rsidTr="0024767B">
        <w:trPr>
          <w:trHeight w:val="375"/>
          <w:jc w:val="center"/>
        </w:trPr>
        <w:tc>
          <w:tcPr>
            <w:tcW w:w="9381"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«Загрей»</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41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1,24±0,06</w:t>
            </w:r>
          </w:p>
        </w:tc>
        <w:tc>
          <w:tcPr>
            <w:tcW w:w="141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0,41±0,03</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1,65±0,06</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0,24±0,01</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41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1,12±0,06</w:t>
            </w:r>
          </w:p>
        </w:tc>
        <w:tc>
          <w:tcPr>
            <w:tcW w:w="141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0,37±0,02</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1,49±0,05</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0,24±0,01</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41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1,67</w:t>
            </w:r>
            <w:r w:rsidRPr="00CC7883">
              <w:rPr>
                <w:rFonts w:ascii="Times New Roman" w:hAnsi="Times New Roman" w:cs="Times New Roman"/>
                <w:color w:val="000000" w:themeColor="text1"/>
                <w:sz w:val="28"/>
                <w:szCs w:val="28"/>
              </w:rPr>
              <w:t>±0,08</w:t>
            </w:r>
          </w:p>
        </w:tc>
        <w:tc>
          <w:tcPr>
            <w:tcW w:w="141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0,42</w:t>
            </w:r>
            <w:r w:rsidRPr="00CC7883">
              <w:rPr>
                <w:rFonts w:ascii="Times New Roman" w:hAnsi="Times New Roman" w:cs="Times New Roman"/>
                <w:color w:val="000000" w:themeColor="text1"/>
                <w:sz w:val="28"/>
                <w:szCs w:val="28"/>
              </w:rPr>
              <w:t>±0,01</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2,09</w:t>
            </w:r>
            <w:r w:rsidRPr="00CC7883">
              <w:rPr>
                <w:rFonts w:ascii="Times New Roman" w:hAnsi="Times New Roman" w:cs="Times New Roman"/>
                <w:color w:val="000000" w:themeColor="text1"/>
                <w:sz w:val="28"/>
                <w:szCs w:val="28"/>
              </w:rPr>
              <w:t>±0,10</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0,35</w:t>
            </w:r>
            <w:r w:rsidRPr="00CC7883">
              <w:rPr>
                <w:rFonts w:ascii="Times New Roman" w:hAnsi="Times New Roman" w:cs="Times New Roman"/>
                <w:color w:val="000000" w:themeColor="text1"/>
                <w:sz w:val="28"/>
                <w:szCs w:val="28"/>
              </w:rPr>
              <w:t>±0,01</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41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1,52</w:t>
            </w:r>
            <w:r w:rsidRPr="00CC7883">
              <w:rPr>
                <w:rFonts w:ascii="Times New Roman" w:hAnsi="Times New Roman" w:cs="Times New Roman"/>
                <w:color w:val="000000" w:themeColor="text1"/>
                <w:sz w:val="28"/>
                <w:szCs w:val="28"/>
              </w:rPr>
              <w:t>±0,07</w:t>
            </w:r>
          </w:p>
        </w:tc>
        <w:tc>
          <w:tcPr>
            <w:tcW w:w="141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0,43</w:t>
            </w:r>
            <w:r w:rsidRPr="00CC7883">
              <w:rPr>
                <w:rFonts w:ascii="Times New Roman" w:hAnsi="Times New Roman" w:cs="Times New Roman"/>
                <w:color w:val="000000" w:themeColor="text1"/>
                <w:sz w:val="28"/>
                <w:szCs w:val="28"/>
              </w:rPr>
              <w:t>±0,01</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1,95</w:t>
            </w:r>
            <w:r w:rsidRPr="00CC7883">
              <w:rPr>
                <w:rFonts w:ascii="Times New Roman" w:hAnsi="Times New Roman" w:cs="Times New Roman"/>
                <w:color w:val="000000" w:themeColor="text1"/>
                <w:sz w:val="28"/>
                <w:szCs w:val="28"/>
              </w:rPr>
              <w:t>±0,09</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0,42</w:t>
            </w:r>
            <w:r w:rsidRPr="00CC7883">
              <w:rPr>
                <w:rFonts w:ascii="Times New Roman" w:hAnsi="Times New Roman" w:cs="Times New Roman"/>
                <w:color w:val="000000" w:themeColor="text1"/>
                <w:sz w:val="28"/>
                <w:szCs w:val="28"/>
              </w:rPr>
              <w:t>±0,01</w:t>
            </w:r>
          </w:p>
        </w:tc>
      </w:tr>
      <w:tr w:rsidR="00325396" w:rsidRPr="00CC7883" w:rsidTr="0024767B">
        <w:trPr>
          <w:trHeight w:val="375"/>
          <w:jc w:val="center"/>
        </w:trPr>
        <w:tc>
          <w:tcPr>
            <w:tcW w:w="1562"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410"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1,73</w:t>
            </w:r>
            <w:r w:rsidRPr="00CC7883">
              <w:rPr>
                <w:rFonts w:ascii="Times New Roman" w:hAnsi="Times New Roman" w:cs="Times New Roman"/>
                <w:color w:val="000000" w:themeColor="text1"/>
                <w:sz w:val="28"/>
                <w:szCs w:val="28"/>
              </w:rPr>
              <w:t>±0,08</w:t>
            </w:r>
          </w:p>
        </w:tc>
        <w:tc>
          <w:tcPr>
            <w:tcW w:w="1418"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0,46</w:t>
            </w:r>
            <w:r w:rsidRPr="00CC7883">
              <w:rPr>
                <w:rFonts w:ascii="Times New Roman" w:hAnsi="Times New Roman" w:cs="Times New Roman"/>
                <w:color w:val="000000" w:themeColor="text1"/>
                <w:sz w:val="28"/>
                <w:szCs w:val="28"/>
              </w:rPr>
              <w:t>±0,02</w:t>
            </w:r>
          </w:p>
        </w:tc>
        <w:tc>
          <w:tcPr>
            <w:tcW w:w="2412"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2,19</w:t>
            </w:r>
            <w:r w:rsidRPr="00CC7883">
              <w:rPr>
                <w:rFonts w:ascii="Times New Roman" w:hAnsi="Times New Roman" w:cs="Times New Roman"/>
                <w:color w:val="000000" w:themeColor="text1"/>
                <w:sz w:val="28"/>
                <w:szCs w:val="28"/>
              </w:rPr>
              <w:t>±0,12</w:t>
            </w:r>
          </w:p>
        </w:tc>
        <w:tc>
          <w:tcPr>
            <w:tcW w:w="2579"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325396" w:rsidRPr="00CC7883" w:rsidRDefault="00325396" w:rsidP="00325396">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0,44</w:t>
            </w:r>
            <w:r w:rsidRPr="00CC7883">
              <w:rPr>
                <w:rFonts w:ascii="Times New Roman" w:hAnsi="Times New Roman" w:cs="Times New Roman"/>
                <w:color w:val="000000" w:themeColor="text1"/>
                <w:sz w:val="28"/>
                <w:szCs w:val="28"/>
              </w:rPr>
              <w:t>±0,02</w:t>
            </w:r>
          </w:p>
        </w:tc>
      </w:tr>
    </w:tbl>
    <w:p w:rsidR="005A3F7D" w:rsidRPr="00CC7883" w:rsidRDefault="005A3F7D"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rPr>
      </w:pPr>
    </w:p>
    <w:p w:rsidR="005A3F7D" w:rsidRPr="00CC7883" w:rsidRDefault="005A3F7D" w:rsidP="00047411">
      <w:pPr>
        <w:pStyle w:val="ae"/>
        <w:widowControl w:val="0"/>
        <w:spacing w:before="0" w:beforeAutospacing="0" w:after="0" w:afterAutospacing="0" w:line="360" w:lineRule="auto"/>
        <w:ind w:firstLine="709"/>
        <w:jc w:val="both"/>
        <w:rPr>
          <w:rFonts w:eastAsia="NSimSun"/>
          <w:color w:val="000000" w:themeColor="text1"/>
          <w:kern w:val="3"/>
          <w:sz w:val="28"/>
          <w:szCs w:val="28"/>
        </w:rPr>
      </w:pPr>
      <w:r w:rsidRPr="00CC7883">
        <w:rPr>
          <w:rFonts w:eastAsia="NSimSun"/>
          <w:color w:val="000000" w:themeColor="text1"/>
          <w:kern w:val="3"/>
          <w:sz w:val="28"/>
          <w:szCs w:val="28"/>
        </w:rPr>
        <w:t xml:space="preserve">Загальна сума хлорофілів </w:t>
      </w:r>
      <w:r w:rsidRPr="00CC7883">
        <w:rPr>
          <w:rFonts w:eastAsia="NSimSun"/>
          <w:i/>
          <w:color w:val="000000" w:themeColor="text1"/>
          <w:kern w:val="3"/>
          <w:sz w:val="28"/>
          <w:szCs w:val="28"/>
        </w:rPr>
        <w:t xml:space="preserve">а </w:t>
      </w:r>
      <w:r w:rsidRPr="00CC7883">
        <w:rPr>
          <w:rFonts w:eastAsia="NSimSun"/>
          <w:color w:val="000000" w:themeColor="text1"/>
          <w:kern w:val="3"/>
          <w:sz w:val="28"/>
          <w:szCs w:val="28"/>
        </w:rPr>
        <w:t>і</w:t>
      </w:r>
      <w:r w:rsidR="006D3C79" w:rsidRPr="00CC7883">
        <w:rPr>
          <w:rFonts w:eastAsia="NSimSun"/>
          <w:color w:val="000000" w:themeColor="text1"/>
          <w:kern w:val="3"/>
          <w:sz w:val="28"/>
          <w:szCs w:val="28"/>
        </w:rPr>
        <w:t xml:space="preserve"> </w:t>
      </w:r>
      <w:r w:rsidRPr="00CC7883">
        <w:rPr>
          <w:rFonts w:eastAsia="NSimSun"/>
          <w:i/>
          <w:color w:val="000000" w:themeColor="text1"/>
          <w:kern w:val="3"/>
          <w:sz w:val="28"/>
          <w:szCs w:val="28"/>
        </w:rPr>
        <w:t>b</w:t>
      </w:r>
      <w:r w:rsidRPr="00CC7883">
        <w:rPr>
          <w:rFonts w:eastAsia="NSimSun"/>
          <w:color w:val="000000" w:themeColor="text1"/>
          <w:kern w:val="3"/>
          <w:sz w:val="28"/>
          <w:szCs w:val="28"/>
        </w:rPr>
        <w:t xml:space="preserve"> у контрольних варіантах становила 1,16–1,81 мг/г вологої маси у підщепних сортів і 1,49–1,82 мг/г вологої маси у технічних. Найбільші значення цього показника були у рослин варіантів з агроперлітом і вермикулітом, де сума хлорофілів перевищувала контроль на 14,9–68,8 %. На субстратах із агроперлітом і вермикулітом окремо, цей </w:t>
      </w:r>
      <w:r w:rsidRPr="00CC7883">
        <w:rPr>
          <w:rFonts w:eastAsia="NSimSun"/>
          <w:color w:val="000000" w:themeColor="text1"/>
          <w:kern w:val="3"/>
          <w:sz w:val="28"/>
          <w:szCs w:val="28"/>
        </w:rPr>
        <w:lastRenderedPageBreak/>
        <w:t>показник зростав на 1,1–66,4 % та 8,8–58,6 % відповідно.</w:t>
      </w:r>
    </w:p>
    <w:p w:rsidR="005A3F7D" w:rsidRPr="00CC7883" w:rsidRDefault="005A3F7D" w:rsidP="00047411">
      <w:pPr>
        <w:pStyle w:val="ae"/>
        <w:widowControl w:val="0"/>
        <w:spacing w:before="0" w:beforeAutospacing="0" w:after="0" w:afterAutospacing="0" w:line="360" w:lineRule="auto"/>
        <w:ind w:firstLine="709"/>
        <w:jc w:val="both"/>
        <w:rPr>
          <w:color w:val="000000" w:themeColor="text1"/>
          <w:sz w:val="28"/>
          <w:szCs w:val="28"/>
        </w:rPr>
      </w:pPr>
      <w:r w:rsidRPr="00CC7883">
        <w:rPr>
          <w:color w:val="000000" w:themeColor="text1"/>
          <w:sz w:val="28"/>
          <w:szCs w:val="28"/>
        </w:rPr>
        <w:t>У контрольних варіантах вміст каротиноїдів у тканинах листків станови</w:t>
      </w:r>
      <w:r w:rsidR="00293CB2">
        <w:rPr>
          <w:color w:val="000000" w:themeColor="text1"/>
          <w:sz w:val="28"/>
          <w:szCs w:val="28"/>
        </w:rPr>
        <w:t>в</w:t>
      </w:r>
      <w:r w:rsidRPr="00CC7883">
        <w:rPr>
          <w:color w:val="000000" w:themeColor="text1"/>
          <w:sz w:val="28"/>
          <w:szCs w:val="28"/>
        </w:rPr>
        <w:t xml:space="preserve"> 0,25–0,37 мг/г вологої маси у підщепних сортів і 0,24–0,33 мг/г вологої маси у технічних. Найбільші значення були характерні</w:t>
      </w:r>
      <w:r w:rsidR="00C30B8B" w:rsidRPr="00CC7883">
        <w:rPr>
          <w:color w:val="000000" w:themeColor="text1"/>
          <w:sz w:val="28"/>
          <w:szCs w:val="28"/>
        </w:rPr>
        <w:t xml:space="preserve"> </w:t>
      </w:r>
      <w:r w:rsidRPr="00CC7883">
        <w:rPr>
          <w:color w:val="000000" w:themeColor="text1"/>
          <w:sz w:val="28"/>
          <w:szCs w:val="28"/>
        </w:rPr>
        <w:t>для рослин у варіантах з агроперлітом і вермикулітом, де вміст каротиноїдів перевищував контрольні показники на 48,6–83,3 %. Культивування мікроклонів на агроперліті або вермикуліті сприяло збільшенню цього показника на 29,7–52,0 % та 35,1–76,0 % відповідно.</w:t>
      </w:r>
    </w:p>
    <w:p w:rsidR="00F34716" w:rsidRPr="00CC7883" w:rsidRDefault="005A3F7D"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Пагони</w:t>
      </w:r>
      <w:r w:rsidRPr="00CC7883">
        <w:rPr>
          <w:rFonts w:ascii="Times New Roman" w:hAnsi="Times New Roman" w:cs="Times New Roman"/>
          <w:color w:val="000000" w:themeColor="text1"/>
          <w:sz w:val="28"/>
          <w:szCs w:val="28"/>
        </w:rPr>
        <w:t>. У процесі проведен</w:t>
      </w:r>
      <w:r w:rsidR="00D446B8">
        <w:rPr>
          <w:rFonts w:ascii="Times New Roman" w:hAnsi="Times New Roman" w:cs="Times New Roman"/>
          <w:color w:val="000000" w:themeColor="text1"/>
          <w:sz w:val="28"/>
          <w:szCs w:val="28"/>
        </w:rPr>
        <w:t>ого</w:t>
      </w:r>
      <w:r w:rsidRPr="00CC7883">
        <w:rPr>
          <w:rFonts w:ascii="Times New Roman" w:hAnsi="Times New Roman" w:cs="Times New Roman"/>
          <w:color w:val="000000" w:themeColor="text1"/>
          <w:sz w:val="28"/>
          <w:szCs w:val="28"/>
        </w:rPr>
        <w:t xml:space="preserve"> досліджен</w:t>
      </w:r>
      <w:r w:rsidR="00D446B8">
        <w:rPr>
          <w:rFonts w:ascii="Times New Roman" w:hAnsi="Times New Roman" w:cs="Times New Roman"/>
          <w:color w:val="000000" w:themeColor="text1"/>
          <w:sz w:val="28"/>
          <w:szCs w:val="28"/>
        </w:rPr>
        <w:t>ня</w:t>
      </w:r>
      <w:r w:rsidRPr="00CC7883">
        <w:rPr>
          <w:rFonts w:ascii="Times New Roman" w:hAnsi="Times New Roman" w:cs="Times New Roman"/>
          <w:color w:val="000000" w:themeColor="text1"/>
          <w:sz w:val="28"/>
          <w:szCs w:val="28"/>
        </w:rPr>
        <w:t xml:space="preserve"> встановлено, що в пагонах мікроклонів винограду контрольних варіантів рівень хлорофілу </w:t>
      </w:r>
      <w:r w:rsidRPr="00CC7883">
        <w:rPr>
          <w:rFonts w:ascii="Times New Roman" w:hAnsi="Times New Roman" w:cs="Times New Roman"/>
          <w:i/>
          <w:color w:val="000000" w:themeColor="text1"/>
          <w:sz w:val="28"/>
          <w:szCs w:val="28"/>
        </w:rPr>
        <w:t>а</w:t>
      </w:r>
      <w:r w:rsidRPr="00CC7883">
        <w:rPr>
          <w:rFonts w:ascii="Times New Roman" w:hAnsi="Times New Roman" w:cs="Times New Roman"/>
          <w:color w:val="000000" w:themeColor="text1"/>
          <w:sz w:val="28"/>
          <w:szCs w:val="28"/>
        </w:rPr>
        <w:t xml:space="preserve"> був відносно невисоким і коливався у межах 0,09–0,11 мг/г вологої маси у підщепних сортів та 0,11–0,13 мг/г вологої маси у технічних. Найбільш інтенсивний синтез цього пігменту спостерігався у п’ятому варіанті (агроперліт + вермикуліт), де його кількість зростала на 72,5–81,2 % у сортів «Добриня» і «Гарант» і на 50,1–76,8</w:t>
      </w:r>
      <w:r w:rsidR="00046C02"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 у сортів «Ярило» і «Загрей», </w:t>
      </w:r>
      <w:r w:rsidR="00D34FA9" w:rsidRPr="00CC7883">
        <w:rPr>
          <w:rFonts w:ascii="Times New Roman" w:hAnsi="Times New Roman" w:cs="Times New Roman"/>
          <w:color w:val="000000" w:themeColor="text1"/>
          <w:sz w:val="28"/>
          <w:szCs w:val="28"/>
        </w:rPr>
        <w:t>порівняно з контролем (</w:t>
      </w:r>
      <w:r w:rsidR="00DC4415" w:rsidRPr="00CC7883">
        <w:rPr>
          <w:rFonts w:ascii="Times New Roman" w:hAnsi="Times New Roman" w:cs="Times New Roman"/>
          <w:color w:val="000000" w:themeColor="text1"/>
          <w:sz w:val="28"/>
          <w:szCs w:val="28"/>
        </w:rPr>
        <w:t xml:space="preserve">табл. </w:t>
      </w:r>
      <w:r w:rsidR="00D34FA9" w:rsidRPr="00CC7883">
        <w:rPr>
          <w:rFonts w:ascii="Times New Roman" w:hAnsi="Times New Roman" w:cs="Times New Roman"/>
          <w:color w:val="000000" w:themeColor="text1"/>
          <w:sz w:val="28"/>
          <w:szCs w:val="28"/>
        </w:rPr>
        <w:t>5.4</w:t>
      </w:r>
      <w:r w:rsidRPr="00CC7883">
        <w:rPr>
          <w:rFonts w:ascii="Times New Roman" w:hAnsi="Times New Roman" w:cs="Times New Roman"/>
          <w:color w:val="000000" w:themeColor="text1"/>
          <w:sz w:val="28"/>
          <w:szCs w:val="28"/>
        </w:rPr>
        <w:t>).</w:t>
      </w:r>
    </w:p>
    <w:p w:rsidR="00BC0591" w:rsidRPr="00CC7883" w:rsidRDefault="00BC0591" w:rsidP="00047411">
      <w:pPr>
        <w:widowControl w:val="0"/>
        <w:spacing w:after="0" w:line="360" w:lineRule="auto"/>
        <w:ind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Дещо нижчі показники були у варіантах з агроперлітом і вермикулітом</w:t>
      </w:r>
      <w:r w:rsidR="00A3174A">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окремо. На агроперліті (третій варіант) вміст хлорофілу </w:t>
      </w:r>
      <w:r w:rsidRPr="00CC7883">
        <w:rPr>
          <w:rFonts w:ascii="Times New Roman" w:eastAsia="Times New Roman" w:hAnsi="Times New Roman" w:cs="Times New Roman"/>
          <w:i/>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перевищував контроль на 12,5–62,3 %, на вермикуліті (четвертий варіант) – на 29,5–70,7 %. Концентрації пігменту змінювалися в межах 0,1</w:t>
      </w:r>
      <w:r w:rsidR="00A3174A">
        <w:rPr>
          <w:rFonts w:ascii="Times New Roman" w:eastAsia="Times New Roman" w:hAnsi="Times New Roman" w:cs="Times New Roman"/>
          <w:color w:val="000000" w:themeColor="text1"/>
          <w:sz w:val="28"/>
          <w:szCs w:val="28"/>
          <w:lang w:eastAsia="ru-RU"/>
        </w:rPr>
        <w:t>3</w:t>
      </w:r>
      <w:r w:rsidRPr="00CC7883">
        <w:rPr>
          <w:rFonts w:ascii="Times New Roman" w:eastAsia="Times New Roman" w:hAnsi="Times New Roman" w:cs="Times New Roman"/>
          <w:color w:val="000000" w:themeColor="text1"/>
          <w:sz w:val="28"/>
          <w:szCs w:val="28"/>
          <w:lang w:eastAsia="ru-RU"/>
        </w:rPr>
        <w:t>–0,1</w:t>
      </w:r>
      <w:r w:rsidR="00A3174A">
        <w:rPr>
          <w:rFonts w:ascii="Times New Roman" w:eastAsia="Times New Roman" w:hAnsi="Times New Roman" w:cs="Times New Roman"/>
          <w:color w:val="000000" w:themeColor="text1"/>
          <w:sz w:val="28"/>
          <w:szCs w:val="28"/>
          <w:lang w:eastAsia="ru-RU"/>
        </w:rPr>
        <w:t>9</w:t>
      </w:r>
      <w:r w:rsidRPr="00CC7883">
        <w:rPr>
          <w:rFonts w:ascii="Times New Roman" w:eastAsia="Times New Roman" w:hAnsi="Times New Roman" w:cs="Times New Roman"/>
          <w:color w:val="000000" w:themeColor="text1"/>
          <w:sz w:val="28"/>
          <w:szCs w:val="28"/>
          <w:lang w:eastAsia="ru-RU"/>
        </w:rPr>
        <w:t xml:space="preserve"> мг/г і 0,15–0,20 мг/г вологої маси відповідно, що було на 3,4–25,1 % нижче, ніж у варіанті з комбінованим субстратом.</w:t>
      </w:r>
      <w:r w:rsidR="00D67B8B"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Вміст хлорофілу </w:t>
      </w:r>
      <w:r w:rsidRPr="00CC7883">
        <w:rPr>
          <w:rFonts w:ascii="Times New Roman" w:eastAsia="Times New Roman" w:hAnsi="Times New Roman" w:cs="Times New Roman"/>
          <w:i/>
          <w:color w:val="000000" w:themeColor="text1"/>
          <w:sz w:val="28"/>
          <w:szCs w:val="28"/>
          <w:lang w:eastAsia="ru-RU"/>
        </w:rPr>
        <w:t>b</w:t>
      </w:r>
      <w:r w:rsidRPr="00CC7883">
        <w:rPr>
          <w:rFonts w:ascii="Times New Roman" w:eastAsia="Times New Roman" w:hAnsi="Times New Roman" w:cs="Times New Roman"/>
          <w:color w:val="000000" w:themeColor="text1"/>
          <w:sz w:val="28"/>
          <w:szCs w:val="28"/>
          <w:lang w:eastAsia="ru-RU"/>
        </w:rPr>
        <w:t xml:space="preserve"> у пагонах контрольних рослин був незначним – 0,04–0,06 мг/г у підщепних та 0,03–0,06 мг/г вологої маси у технічних сортів. Найбільша його кількість була у мікроклонів п’ятого варіанту (агроперліт + вермикуліт), де показники перевищували контроль на 45,2–98,4 % і дорівнювали 0,08–0,09 мг/г вологої маси у підщепних та 0,07–0,10 мг/г вологої маси у технічних сортів.</w:t>
      </w:r>
    </w:p>
    <w:p w:rsidR="008F18F1" w:rsidRPr="00223829" w:rsidRDefault="008F18F1" w:rsidP="00047411">
      <w:pPr>
        <w:widowControl w:val="0"/>
        <w:spacing w:after="0" w:line="360" w:lineRule="auto"/>
        <w:ind w:firstLine="708"/>
        <w:jc w:val="both"/>
        <w:rPr>
          <w:rFonts w:ascii="Times New Roman" w:eastAsia="Times New Roman" w:hAnsi="Times New Roman" w:cs="Times New Roman"/>
          <w:color w:val="000000" w:themeColor="text1"/>
          <w:spacing w:val="-6"/>
          <w:sz w:val="28"/>
          <w:szCs w:val="28"/>
          <w:lang w:eastAsia="ru-RU"/>
        </w:rPr>
      </w:pPr>
      <w:r w:rsidRPr="00223829">
        <w:rPr>
          <w:rFonts w:ascii="Times New Roman" w:eastAsia="Times New Roman" w:hAnsi="Times New Roman" w:cs="Times New Roman"/>
          <w:color w:val="000000" w:themeColor="text1"/>
          <w:spacing w:val="-6"/>
          <w:sz w:val="28"/>
          <w:szCs w:val="28"/>
          <w:lang w:eastAsia="ru-RU"/>
        </w:rPr>
        <w:t xml:space="preserve">На агроперліті та вермикуліті його кількість </w:t>
      </w:r>
      <w:r w:rsidR="00A3174A" w:rsidRPr="00223829">
        <w:rPr>
          <w:rFonts w:ascii="Times New Roman" w:eastAsia="Times New Roman" w:hAnsi="Times New Roman" w:cs="Times New Roman"/>
          <w:color w:val="000000" w:themeColor="text1"/>
          <w:spacing w:val="-6"/>
          <w:sz w:val="28"/>
          <w:szCs w:val="28"/>
          <w:lang w:eastAsia="ru-RU"/>
        </w:rPr>
        <w:t>збільшувалась відносно контролю</w:t>
      </w:r>
      <w:r w:rsidRPr="00223829">
        <w:rPr>
          <w:rFonts w:ascii="Times New Roman" w:eastAsia="Times New Roman" w:hAnsi="Times New Roman" w:cs="Times New Roman"/>
          <w:color w:val="000000" w:themeColor="text1"/>
          <w:spacing w:val="-6"/>
          <w:sz w:val="28"/>
          <w:szCs w:val="28"/>
          <w:lang w:eastAsia="ru-RU"/>
        </w:rPr>
        <w:t xml:space="preserve"> </w:t>
      </w:r>
      <w:r w:rsidR="00A3174A" w:rsidRPr="00223829">
        <w:rPr>
          <w:rFonts w:ascii="Times New Roman" w:eastAsia="Times New Roman" w:hAnsi="Times New Roman" w:cs="Times New Roman"/>
          <w:color w:val="000000" w:themeColor="text1"/>
          <w:spacing w:val="-6"/>
          <w:sz w:val="28"/>
          <w:szCs w:val="28"/>
          <w:lang w:eastAsia="ru-RU"/>
        </w:rPr>
        <w:t>на</w:t>
      </w:r>
      <w:r w:rsidRPr="00223829">
        <w:rPr>
          <w:rFonts w:ascii="Times New Roman" w:eastAsia="Times New Roman" w:hAnsi="Times New Roman" w:cs="Times New Roman"/>
          <w:color w:val="000000" w:themeColor="text1"/>
          <w:spacing w:val="-6"/>
          <w:sz w:val="28"/>
          <w:szCs w:val="28"/>
          <w:lang w:eastAsia="ru-RU"/>
        </w:rPr>
        <w:t xml:space="preserve"> 13,9–92,4 % і 22,9–82,0 %, проте ці значення були нижчими від варіанту, де використовували суміш агроперліту з верм</w:t>
      </w:r>
      <w:r w:rsidR="006F6AC2" w:rsidRPr="00223829">
        <w:rPr>
          <w:rFonts w:ascii="Times New Roman" w:eastAsia="Times New Roman" w:hAnsi="Times New Roman" w:cs="Times New Roman"/>
          <w:color w:val="000000" w:themeColor="text1"/>
          <w:spacing w:val="-6"/>
          <w:sz w:val="28"/>
          <w:szCs w:val="28"/>
          <w:lang w:eastAsia="ru-RU"/>
        </w:rPr>
        <w:t>и</w:t>
      </w:r>
      <w:r w:rsidRPr="00223829">
        <w:rPr>
          <w:rFonts w:ascii="Times New Roman" w:eastAsia="Times New Roman" w:hAnsi="Times New Roman" w:cs="Times New Roman"/>
          <w:color w:val="000000" w:themeColor="text1"/>
          <w:spacing w:val="-6"/>
          <w:sz w:val="28"/>
          <w:szCs w:val="28"/>
          <w:lang w:eastAsia="ru-RU"/>
        </w:rPr>
        <w:t>кулітом на 3,</w:t>
      </w:r>
      <w:r w:rsidR="00A3174A" w:rsidRPr="00223829">
        <w:rPr>
          <w:rFonts w:ascii="Times New Roman" w:eastAsia="Times New Roman" w:hAnsi="Times New Roman" w:cs="Times New Roman"/>
          <w:color w:val="000000" w:themeColor="text1"/>
          <w:spacing w:val="-6"/>
          <w:sz w:val="28"/>
          <w:szCs w:val="28"/>
          <w:lang w:eastAsia="ru-RU"/>
        </w:rPr>
        <w:t>2</w:t>
      </w:r>
      <w:r w:rsidRPr="00223829">
        <w:rPr>
          <w:rFonts w:ascii="Times New Roman" w:eastAsia="Times New Roman" w:hAnsi="Times New Roman" w:cs="Times New Roman"/>
          <w:color w:val="000000" w:themeColor="text1"/>
          <w:spacing w:val="-6"/>
          <w:sz w:val="28"/>
          <w:szCs w:val="28"/>
          <w:lang w:eastAsia="ru-RU"/>
        </w:rPr>
        <w:t>–34,4</w:t>
      </w:r>
      <w:r w:rsidR="004B7F24" w:rsidRPr="00223829">
        <w:rPr>
          <w:rFonts w:ascii="Times New Roman" w:eastAsia="Times New Roman" w:hAnsi="Times New Roman" w:cs="Times New Roman"/>
          <w:color w:val="000000" w:themeColor="text1"/>
          <w:spacing w:val="-6"/>
          <w:sz w:val="28"/>
          <w:szCs w:val="28"/>
          <w:lang w:eastAsia="ru-RU"/>
        </w:rPr>
        <w:t> </w:t>
      </w:r>
      <w:r w:rsidRPr="00223829">
        <w:rPr>
          <w:rFonts w:ascii="Times New Roman" w:eastAsia="Times New Roman" w:hAnsi="Times New Roman" w:cs="Times New Roman"/>
          <w:color w:val="000000" w:themeColor="text1"/>
          <w:spacing w:val="-6"/>
          <w:sz w:val="28"/>
          <w:szCs w:val="28"/>
          <w:lang w:eastAsia="ru-RU"/>
        </w:rPr>
        <w:t>%.</w:t>
      </w:r>
    </w:p>
    <w:p w:rsidR="005A3F7D" w:rsidRPr="00CC7883" w:rsidRDefault="00D34FA9" w:rsidP="00047411">
      <w:pPr>
        <w:pStyle w:val="Standard"/>
        <w:widowControl w:val="0"/>
        <w:suppressAutoHyphens w:val="0"/>
        <w:spacing w:line="360" w:lineRule="auto"/>
        <w:ind w:firstLine="709"/>
        <w:jc w:val="right"/>
        <w:rPr>
          <w:rFonts w:ascii="Times New Roman" w:hAnsi="Times New Roman" w:cs="Times New Roman"/>
          <w:i/>
          <w:iCs/>
          <w:color w:val="000000" w:themeColor="text1"/>
          <w:sz w:val="28"/>
          <w:szCs w:val="28"/>
        </w:rPr>
      </w:pPr>
      <w:r w:rsidRPr="00CC7883">
        <w:rPr>
          <w:rFonts w:ascii="Times New Roman" w:hAnsi="Times New Roman" w:cs="Times New Roman"/>
          <w:i/>
          <w:iCs/>
          <w:color w:val="000000" w:themeColor="text1"/>
          <w:sz w:val="28"/>
          <w:szCs w:val="28"/>
        </w:rPr>
        <w:lastRenderedPageBreak/>
        <w:t>Таблиця 5.4</w:t>
      </w:r>
    </w:p>
    <w:p w:rsidR="005A3F7D" w:rsidRPr="00CC7883" w:rsidRDefault="005A3F7D"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sz w:val="28"/>
          <w:szCs w:val="28"/>
        </w:rPr>
      </w:pPr>
      <w:r w:rsidRPr="00CC7883">
        <w:rPr>
          <w:rFonts w:ascii="Times New Roman" w:eastAsia="NSimSun" w:hAnsi="Times New Roman" w:cs="Times New Roman"/>
          <w:b/>
          <w:bCs/>
          <w:color w:val="000000" w:themeColor="text1"/>
          <w:kern w:val="3"/>
          <w:sz w:val="28"/>
          <w:szCs w:val="28"/>
        </w:rPr>
        <w:t>Вміст пігментів у тканинах пагонів мікроклонів винограду на різних типах поживних субстратів (середнє за 2019–</w:t>
      </w:r>
      <w:r w:rsidRPr="00CC7883">
        <w:rPr>
          <w:rFonts w:ascii="Times New Roman" w:eastAsia="NSimSun" w:hAnsi="Times New Roman" w:cs="Times New Roman"/>
          <w:b/>
          <w:color w:val="000000" w:themeColor="text1"/>
          <w:kern w:val="3"/>
          <w:sz w:val="28"/>
          <w:szCs w:val="28"/>
        </w:rPr>
        <w:t>2022</w:t>
      </w:r>
      <w:r w:rsidRPr="00CC7883">
        <w:rPr>
          <w:rFonts w:ascii="Times New Roman" w:eastAsia="NSimSun" w:hAnsi="Times New Roman" w:cs="Times New Roman"/>
          <w:b/>
          <w:bCs/>
          <w:color w:val="000000" w:themeColor="text1"/>
          <w:kern w:val="3"/>
          <w:sz w:val="28"/>
          <w:szCs w:val="28"/>
        </w:rPr>
        <w:t xml:space="preserve"> рр.)</w:t>
      </w:r>
    </w:p>
    <w:tbl>
      <w:tblPr>
        <w:tblW w:w="9370" w:type="dxa"/>
        <w:jc w:val="center"/>
        <w:tblCellMar>
          <w:left w:w="10" w:type="dxa"/>
          <w:right w:w="10" w:type="dxa"/>
        </w:tblCellMar>
        <w:tblLook w:val="0000"/>
      </w:tblPr>
      <w:tblGrid>
        <w:gridCol w:w="1567"/>
        <w:gridCol w:w="1833"/>
        <w:gridCol w:w="1984"/>
        <w:gridCol w:w="1983"/>
        <w:gridCol w:w="2003"/>
      </w:tblGrid>
      <w:tr w:rsidR="0097164D" w:rsidRPr="00CC7883" w:rsidTr="0097164D">
        <w:trPr>
          <w:trHeight w:val="375"/>
          <w:jc w:val="center"/>
        </w:trPr>
        <w:tc>
          <w:tcPr>
            <w:tcW w:w="1567" w:type="dxa"/>
            <w:vMerge w:val="restart"/>
            <w:tcBorders>
              <w:top w:val="single" w:sz="4" w:space="0" w:color="000000"/>
              <w:left w:val="single" w:sz="4" w:space="0" w:color="000000"/>
              <w:right w:val="single" w:sz="4" w:space="0" w:color="auto"/>
            </w:tcBorders>
            <w:tcMar>
              <w:top w:w="0" w:type="dxa"/>
              <w:left w:w="108" w:type="dxa"/>
              <w:bottom w:w="0" w:type="dxa"/>
              <w:right w:w="108" w:type="dxa"/>
            </w:tcMar>
            <w:vAlign w:val="center"/>
          </w:tcPr>
          <w:p w:rsidR="0097164D" w:rsidRPr="00CC7883" w:rsidRDefault="0097164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Варіанти досліду</w:t>
            </w:r>
          </w:p>
        </w:tc>
        <w:tc>
          <w:tcPr>
            <w:tcW w:w="1833"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97164D" w:rsidRPr="00CC7883" w:rsidRDefault="0097164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a</w:t>
            </w:r>
          </w:p>
        </w:tc>
        <w:tc>
          <w:tcPr>
            <w:tcW w:w="1984"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97164D" w:rsidRPr="00CC7883" w:rsidRDefault="0097164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b</w:t>
            </w:r>
          </w:p>
        </w:tc>
        <w:tc>
          <w:tcPr>
            <w:tcW w:w="1983"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97164D" w:rsidRPr="00CC7883" w:rsidRDefault="0097164D"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bCs/>
                <w:color w:val="000000" w:themeColor="text1"/>
                <w:sz w:val="28"/>
                <w:szCs w:val="28"/>
              </w:rPr>
              <w:t xml:space="preserve">chl </w:t>
            </w:r>
            <w:r w:rsidRPr="00CC7883">
              <w:rPr>
                <w:rFonts w:ascii="Times New Roman" w:eastAsia="Calibri" w:hAnsi="Times New Roman" w:cs="Times New Roman"/>
                <w:bCs/>
                <w:i/>
                <w:color w:val="000000" w:themeColor="text1"/>
                <w:sz w:val="28"/>
                <w:szCs w:val="28"/>
              </w:rPr>
              <w:t xml:space="preserve">a </w:t>
            </w:r>
            <w:r w:rsidRPr="00CC7883">
              <w:rPr>
                <w:rFonts w:ascii="Times New Roman" w:eastAsia="Calibri" w:hAnsi="Times New Roman" w:cs="Times New Roman"/>
                <w:bCs/>
                <w:color w:val="000000" w:themeColor="text1"/>
                <w:sz w:val="28"/>
                <w:szCs w:val="28"/>
              </w:rPr>
              <w:t xml:space="preserve">+ chl </w:t>
            </w:r>
            <w:r w:rsidRPr="00CC7883">
              <w:rPr>
                <w:rFonts w:ascii="Times New Roman" w:eastAsia="Calibri" w:hAnsi="Times New Roman" w:cs="Times New Roman"/>
                <w:bCs/>
                <w:i/>
                <w:color w:val="000000" w:themeColor="text1"/>
                <w:sz w:val="28"/>
                <w:szCs w:val="28"/>
              </w:rPr>
              <w:t>b</w:t>
            </w:r>
          </w:p>
        </w:tc>
        <w:tc>
          <w:tcPr>
            <w:tcW w:w="2003" w:type="dxa"/>
            <w:tcBorders>
              <w:top w:val="single" w:sz="4" w:space="0" w:color="000000"/>
              <w:left w:val="single" w:sz="4" w:space="0" w:color="auto"/>
              <w:bottom w:val="single" w:sz="4" w:space="0" w:color="000000"/>
              <w:right w:val="single" w:sz="4" w:space="0" w:color="auto"/>
            </w:tcBorders>
            <w:tcMar>
              <w:top w:w="0" w:type="dxa"/>
              <w:left w:w="108" w:type="dxa"/>
              <w:bottom w:w="0" w:type="dxa"/>
              <w:right w:w="108" w:type="dxa"/>
            </w:tcMar>
            <w:vAlign w:val="center"/>
          </w:tcPr>
          <w:p w:rsidR="0097164D" w:rsidRPr="00CC7883" w:rsidRDefault="0097164D"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Calibri" w:hAnsi="Times New Roman" w:cs="Times New Roman"/>
                <w:bCs/>
                <w:color w:val="000000" w:themeColor="text1"/>
                <w:sz w:val="28"/>
                <w:szCs w:val="28"/>
              </w:rPr>
              <w:t>Каротиноїди</w:t>
            </w:r>
          </w:p>
        </w:tc>
      </w:tr>
      <w:tr w:rsidR="0097164D" w:rsidRPr="00CC7883" w:rsidTr="0097164D">
        <w:trPr>
          <w:trHeight w:val="375"/>
          <w:jc w:val="center"/>
        </w:trPr>
        <w:tc>
          <w:tcPr>
            <w:tcW w:w="1567" w:type="dxa"/>
            <w:vMerge/>
            <w:tcBorders>
              <w:left w:val="single" w:sz="4" w:space="0" w:color="000000"/>
              <w:bottom w:val="single" w:sz="4" w:space="0" w:color="000000"/>
              <w:right w:val="single" w:sz="4" w:space="0" w:color="auto"/>
            </w:tcBorders>
            <w:tcMar>
              <w:top w:w="0" w:type="dxa"/>
              <w:left w:w="108" w:type="dxa"/>
              <w:bottom w:w="0" w:type="dxa"/>
              <w:right w:w="108" w:type="dxa"/>
            </w:tcMar>
            <w:vAlign w:val="center"/>
          </w:tcPr>
          <w:p w:rsidR="0097164D" w:rsidRPr="00CC7883" w:rsidRDefault="0097164D" w:rsidP="0097164D">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p>
        </w:tc>
        <w:tc>
          <w:tcPr>
            <w:tcW w:w="7803" w:type="dxa"/>
            <w:gridSpan w:val="4"/>
            <w:tcBorders>
              <w:top w:val="single" w:sz="4" w:space="0" w:color="000000"/>
              <w:left w:val="single" w:sz="4" w:space="0" w:color="000000"/>
              <w:bottom w:val="single" w:sz="4" w:space="0" w:color="000000"/>
              <w:right w:val="single" w:sz="4" w:space="0" w:color="auto"/>
            </w:tcBorders>
            <w:vAlign w:val="center"/>
          </w:tcPr>
          <w:p w:rsidR="0097164D" w:rsidRPr="00CC7883" w:rsidRDefault="0097164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мг/г вологої маси</w:t>
            </w:r>
          </w:p>
        </w:tc>
      </w:tr>
      <w:tr w:rsidR="005A3F7D" w:rsidRPr="00CC7883" w:rsidTr="0024767B">
        <w:trPr>
          <w:trHeight w:val="375"/>
          <w:jc w:val="center"/>
        </w:trPr>
        <w:tc>
          <w:tcPr>
            <w:tcW w:w="9370" w:type="dxa"/>
            <w:gridSpan w:val="5"/>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vAlign w:val="center"/>
          </w:tcPr>
          <w:p w:rsidR="005A3F7D" w:rsidRPr="00CC7883" w:rsidRDefault="005A3F7D" w:rsidP="00047411">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NSimSun" w:hAnsi="Times New Roman" w:cs="Times New Roman"/>
                <w:color w:val="000000" w:themeColor="text1"/>
                <w:kern w:val="3"/>
                <w:sz w:val="28"/>
                <w:szCs w:val="28"/>
              </w:rPr>
              <w:t>«Добриня»</w:t>
            </w:r>
          </w:p>
        </w:tc>
      </w:tr>
      <w:tr w:rsidR="008C0ECB" w:rsidRPr="00CC7883" w:rsidTr="0097164D">
        <w:trPr>
          <w:trHeight w:val="375"/>
          <w:jc w:val="center"/>
        </w:trPr>
        <w:tc>
          <w:tcPr>
            <w:tcW w:w="1567"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tcPr>
          <w:p w:rsidR="008C0ECB" w:rsidRPr="00CC7883" w:rsidRDefault="008C0ECB" w:rsidP="008C0ECB">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833" w:type="dxa"/>
            <w:tcBorders>
              <w:top w:val="single" w:sz="4" w:space="0" w:color="auto"/>
              <w:left w:val="single" w:sz="4" w:space="0" w:color="auto"/>
              <w:bottom w:val="single" w:sz="4" w:space="0" w:color="auto"/>
              <w:right w:val="single" w:sz="4" w:space="0" w:color="auto"/>
            </w:tcBorders>
            <w:shd w:val="clear" w:color="000000" w:fill="FFFFFF"/>
            <w:vAlign w:val="bottom"/>
          </w:tcPr>
          <w:p w:rsidR="008C0ECB" w:rsidRPr="00CC7883" w:rsidRDefault="008C0ECB" w:rsidP="008C0ECB">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0,14±0,008</w:t>
            </w:r>
          </w:p>
        </w:tc>
        <w:tc>
          <w:tcPr>
            <w:tcW w:w="1984" w:type="dxa"/>
            <w:tcBorders>
              <w:top w:val="single" w:sz="4" w:space="0" w:color="auto"/>
              <w:left w:val="nil"/>
              <w:bottom w:val="single" w:sz="4" w:space="0" w:color="auto"/>
              <w:right w:val="nil"/>
            </w:tcBorders>
            <w:vAlign w:val="bottom"/>
          </w:tcPr>
          <w:p w:rsidR="008C0ECB" w:rsidRPr="00CC7883" w:rsidRDefault="008C0ECB" w:rsidP="008C0ECB">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0,04±0,002</w:t>
            </w:r>
          </w:p>
        </w:tc>
        <w:tc>
          <w:tcPr>
            <w:tcW w:w="1983" w:type="dxa"/>
            <w:tcBorders>
              <w:top w:val="single" w:sz="4" w:space="0" w:color="auto"/>
              <w:left w:val="single" w:sz="4" w:space="0" w:color="auto"/>
              <w:bottom w:val="single" w:sz="4" w:space="0" w:color="auto"/>
              <w:right w:val="single" w:sz="4" w:space="0" w:color="auto"/>
            </w:tcBorders>
            <w:shd w:val="clear" w:color="000000" w:fill="FFFFFF"/>
            <w:vAlign w:val="bottom"/>
          </w:tcPr>
          <w:p w:rsidR="008C0ECB" w:rsidRPr="00CC7883" w:rsidRDefault="008C0ECB" w:rsidP="008C0ECB">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0,18±0,011</w:t>
            </w:r>
          </w:p>
        </w:tc>
        <w:tc>
          <w:tcPr>
            <w:tcW w:w="2003" w:type="dxa"/>
            <w:tcBorders>
              <w:top w:val="single" w:sz="4" w:space="0" w:color="auto"/>
              <w:left w:val="single" w:sz="4" w:space="0" w:color="auto"/>
              <w:bottom w:val="single" w:sz="4" w:space="0" w:color="auto"/>
              <w:right w:val="single" w:sz="4" w:space="0" w:color="auto"/>
            </w:tcBorders>
            <w:shd w:val="clear" w:color="000000" w:fill="FFFFFF"/>
            <w:vAlign w:val="bottom"/>
          </w:tcPr>
          <w:p w:rsidR="008C0ECB" w:rsidRPr="00CC7883" w:rsidRDefault="008C0ECB" w:rsidP="008C0ECB">
            <w:pPr>
              <w:widowControl w:val="0"/>
              <w:autoSpaceDN w:val="0"/>
              <w:spacing w:after="0" w:line="240" w:lineRule="auto"/>
              <w:jc w:val="center"/>
              <w:textAlignment w:val="baseline"/>
              <w:rPr>
                <w:rFonts w:ascii="Times New Roman" w:eastAsia="Calibri" w:hAnsi="Times New Roman" w:cs="Times New Roman"/>
                <w:bCs/>
                <w:color w:val="000000" w:themeColor="text1"/>
                <w:sz w:val="28"/>
                <w:szCs w:val="28"/>
              </w:rPr>
            </w:pPr>
            <w:r w:rsidRPr="00CC7883">
              <w:rPr>
                <w:rFonts w:ascii="Times New Roman" w:hAnsi="Times New Roman" w:cs="Times New Roman"/>
                <w:color w:val="000000" w:themeColor="text1"/>
                <w:sz w:val="28"/>
                <w:szCs w:val="28"/>
              </w:rPr>
              <w:t>0,04±0,002</w:t>
            </w:r>
          </w:p>
        </w:tc>
      </w:tr>
      <w:tr w:rsidR="008C0ECB" w:rsidRPr="00CC7883" w:rsidTr="0097164D">
        <w:trPr>
          <w:trHeight w:val="375"/>
          <w:jc w:val="center"/>
        </w:trPr>
        <w:tc>
          <w:tcPr>
            <w:tcW w:w="156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8C0ECB" w:rsidRPr="00CC7883" w:rsidRDefault="008C0ECB" w:rsidP="008C0ECB">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83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8C0ECB" w:rsidRPr="00CC7883" w:rsidRDefault="008C0ECB" w:rsidP="008C0ECB">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0,12±0,007</w:t>
            </w:r>
          </w:p>
        </w:tc>
        <w:tc>
          <w:tcPr>
            <w:tcW w:w="1984" w:type="dxa"/>
            <w:tcBorders>
              <w:top w:val="single" w:sz="4" w:space="0" w:color="auto"/>
              <w:left w:val="nil"/>
              <w:bottom w:val="single" w:sz="4" w:space="0" w:color="auto"/>
              <w:right w:val="nil"/>
            </w:tcBorders>
            <w:tcMar>
              <w:top w:w="0" w:type="dxa"/>
              <w:left w:w="108" w:type="dxa"/>
              <w:bottom w:w="0" w:type="dxa"/>
              <w:right w:w="108" w:type="dxa"/>
            </w:tcMar>
            <w:vAlign w:val="bottom"/>
          </w:tcPr>
          <w:p w:rsidR="008C0ECB" w:rsidRPr="00CC7883" w:rsidRDefault="008C0ECB" w:rsidP="008C0ECB">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0,03±0,001</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8C0ECB" w:rsidRPr="00CC7883" w:rsidRDefault="008C0ECB" w:rsidP="008C0ECB">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0,15±0,009</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8C0ECB" w:rsidRPr="00CC7883" w:rsidRDefault="008C0ECB" w:rsidP="008C0ECB">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0,03±0,001</w:t>
            </w:r>
          </w:p>
        </w:tc>
      </w:tr>
      <w:tr w:rsidR="0062091A" w:rsidRPr="00CC7883" w:rsidTr="0097164D">
        <w:trPr>
          <w:trHeight w:val="375"/>
          <w:jc w:val="center"/>
        </w:trPr>
        <w:tc>
          <w:tcPr>
            <w:tcW w:w="1567" w:type="dxa"/>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83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0,16±0,005</w:t>
            </w:r>
          </w:p>
        </w:tc>
        <w:tc>
          <w:tcPr>
            <w:tcW w:w="1984" w:type="dxa"/>
            <w:tcBorders>
              <w:top w:val="single" w:sz="4" w:space="0" w:color="auto"/>
              <w:left w:val="nil"/>
              <w:bottom w:val="single" w:sz="4" w:space="0" w:color="auto"/>
              <w:right w:val="nil"/>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0,07±0,003</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0,23±0,001</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0,04</w:t>
            </w:r>
            <w:r w:rsidRPr="00CC7883">
              <w:rPr>
                <w:rFonts w:ascii="Times New Roman" w:hAnsi="Times New Roman" w:cs="Times New Roman"/>
                <w:color w:val="000000" w:themeColor="text1"/>
                <w:sz w:val="28"/>
                <w:szCs w:val="28"/>
              </w:rPr>
              <w:t>±0,002</w:t>
            </w:r>
          </w:p>
        </w:tc>
      </w:tr>
      <w:tr w:rsidR="0062091A" w:rsidRPr="00CC7883" w:rsidTr="0097164D">
        <w:trPr>
          <w:trHeight w:val="375"/>
          <w:jc w:val="center"/>
        </w:trPr>
        <w:tc>
          <w:tcPr>
            <w:tcW w:w="1567" w:type="dxa"/>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83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0,15±0,006</w:t>
            </w:r>
          </w:p>
        </w:tc>
        <w:tc>
          <w:tcPr>
            <w:tcW w:w="1984" w:type="dxa"/>
            <w:tcBorders>
              <w:top w:val="single" w:sz="4" w:space="0" w:color="auto"/>
              <w:left w:val="nil"/>
              <w:bottom w:val="single" w:sz="4" w:space="0" w:color="auto"/>
              <w:right w:val="nil"/>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0,07±0,003</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0,22±0,001</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0,04</w:t>
            </w:r>
            <w:r w:rsidRPr="00CC7883">
              <w:rPr>
                <w:rFonts w:ascii="Times New Roman" w:hAnsi="Times New Roman" w:cs="Times New Roman"/>
                <w:color w:val="000000" w:themeColor="text1"/>
                <w:sz w:val="28"/>
                <w:szCs w:val="28"/>
              </w:rPr>
              <w:t>±0,002</w:t>
            </w:r>
          </w:p>
        </w:tc>
      </w:tr>
      <w:tr w:rsidR="0062091A" w:rsidRPr="00CC7883" w:rsidTr="0097164D">
        <w:trPr>
          <w:trHeight w:val="375"/>
          <w:jc w:val="center"/>
        </w:trPr>
        <w:tc>
          <w:tcPr>
            <w:tcW w:w="1567"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83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0,18±0,008</w:t>
            </w:r>
          </w:p>
        </w:tc>
        <w:tc>
          <w:tcPr>
            <w:tcW w:w="1984" w:type="dxa"/>
            <w:tcBorders>
              <w:top w:val="single" w:sz="4" w:space="0" w:color="auto"/>
              <w:left w:val="nil"/>
              <w:bottom w:val="single" w:sz="4" w:space="0" w:color="auto"/>
              <w:right w:val="nil"/>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0,08±0,004</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0,26±0,001</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rPr>
              <w:t>0,05</w:t>
            </w:r>
            <w:r w:rsidRPr="00CC7883">
              <w:rPr>
                <w:rFonts w:ascii="Times New Roman" w:hAnsi="Times New Roman" w:cs="Times New Roman"/>
                <w:color w:val="000000" w:themeColor="text1"/>
                <w:sz w:val="28"/>
                <w:szCs w:val="28"/>
              </w:rPr>
              <w:t>±0,003</w:t>
            </w:r>
          </w:p>
        </w:tc>
      </w:tr>
      <w:tr w:rsidR="0062091A" w:rsidRPr="00CC7883" w:rsidTr="0024767B">
        <w:trPr>
          <w:trHeight w:val="375"/>
          <w:jc w:val="center"/>
        </w:trPr>
        <w:tc>
          <w:tcPr>
            <w:tcW w:w="9370"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eastAsia="NSimSun" w:hAnsi="Times New Roman" w:cs="Times New Roman"/>
                <w:color w:val="000000" w:themeColor="text1"/>
                <w:kern w:val="3"/>
                <w:sz w:val="28"/>
                <w:szCs w:val="28"/>
              </w:rPr>
              <w:t>«Гарант»</w:t>
            </w:r>
          </w:p>
        </w:tc>
      </w:tr>
      <w:tr w:rsidR="0062091A" w:rsidRPr="00CC7883" w:rsidTr="0097164D">
        <w:trPr>
          <w:trHeight w:val="375"/>
          <w:jc w:val="center"/>
        </w:trPr>
        <w:tc>
          <w:tcPr>
            <w:tcW w:w="156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8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0,10±0,008</w:t>
            </w:r>
          </w:p>
        </w:tc>
        <w:tc>
          <w:tcPr>
            <w:tcW w:w="1984"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w:t>
            </w:r>
            <w:r w:rsidR="007A5188">
              <w:rPr>
                <w:rFonts w:ascii="Times New Roman" w:hAnsi="Times New Roman" w:cs="Times New Roman"/>
                <w:color w:val="000000" w:themeColor="text1"/>
                <w:sz w:val="28"/>
                <w:szCs w:val="28"/>
              </w:rPr>
              <w:t>5</w:t>
            </w:r>
            <w:r w:rsidRPr="00CC7883">
              <w:rPr>
                <w:rFonts w:ascii="Times New Roman" w:hAnsi="Times New Roman" w:cs="Times New Roman"/>
                <w:color w:val="000000" w:themeColor="text1"/>
                <w:sz w:val="28"/>
                <w:szCs w:val="28"/>
              </w:rPr>
              <w:t>±0,003</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0,15±0,013</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w:t>
            </w:r>
            <w:r w:rsidR="008C0ECB">
              <w:rPr>
                <w:rFonts w:ascii="Times New Roman" w:hAnsi="Times New Roman" w:cs="Times New Roman"/>
                <w:color w:val="000000" w:themeColor="text1"/>
                <w:sz w:val="28"/>
                <w:szCs w:val="28"/>
              </w:rPr>
              <w:t>4</w:t>
            </w:r>
            <w:r w:rsidRPr="00CC7883">
              <w:rPr>
                <w:rFonts w:ascii="Times New Roman" w:hAnsi="Times New Roman" w:cs="Times New Roman"/>
                <w:color w:val="000000" w:themeColor="text1"/>
                <w:sz w:val="28"/>
                <w:szCs w:val="28"/>
              </w:rPr>
              <w:t>±0,002</w:t>
            </w:r>
          </w:p>
        </w:tc>
      </w:tr>
      <w:tr w:rsidR="0062091A" w:rsidRPr="00CC7883" w:rsidTr="0097164D">
        <w:trPr>
          <w:trHeight w:val="375"/>
          <w:jc w:val="center"/>
        </w:trPr>
        <w:tc>
          <w:tcPr>
            <w:tcW w:w="1567" w:type="dxa"/>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8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0,09±0,007</w:t>
            </w:r>
          </w:p>
        </w:tc>
        <w:tc>
          <w:tcPr>
            <w:tcW w:w="1984"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w:t>
            </w:r>
            <w:r w:rsidR="007A5188">
              <w:rPr>
                <w:rFonts w:ascii="Times New Roman" w:hAnsi="Times New Roman" w:cs="Times New Roman"/>
                <w:color w:val="000000" w:themeColor="text1"/>
                <w:sz w:val="28"/>
                <w:szCs w:val="28"/>
              </w:rPr>
              <w:t>4</w:t>
            </w:r>
            <w:r w:rsidRPr="00CC7883">
              <w:rPr>
                <w:rFonts w:ascii="Times New Roman" w:hAnsi="Times New Roman" w:cs="Times New Roman"/>
                <w:color w:val="000000" w:themeColor="text1"/>
                <w:sz w:val="28"/>
                <w:szCs w:val="28"/>
              </w:rPr>
              <w:t>±0,001</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0,13±0,011</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w:t>
            </w:r>
            <w:r w:rsidR="008C0ECB">
              <w:rPr>
                <w:rFonts w:ascii="Times New Roman" w:hAnsi="Times New Roman" w:cs="Times New Roman"/>
                <w:color w:val="000000" w:themeColor="text1"/>
                <w:sz w:val="28"/>
                <w:szCs w:val="28"/>
              </w:rPr>
              <w:t>3</w:t>
            </w:r>
            <w:r w:rsidRPr="00CC7883">
              <w:rPr>
                <w:rFonts w:ascii="Times New Roman" w:hAnsi="Times New Roman" w:cs="Times New Roman"/>
                <w:color w:val="000000" w:themeColor="text1"/>
                <w:sz w:val="28"/>
                <w:szCs w:val="28"/>
              </w:rPr>
              <w:t>±0,001</w:t>
            </w:r>
          </w:p>
        </w:tc>
      </w:tr>
      <w:tr w:rsidR="0062091A" w:rsidRPr="00CC7883" w:rsidTr="0097164D">
        <w:trPr>
          <w:trHeight w:val="375"/>
          <w:jc w:val="center"/>
        </w:trPr>
        <w:tc>
          <w:tcPr>
            <w:tcW w:w="1567"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8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0,14±0,005</w:t>
            </w:r>
          </w:p>
        </w:tc>
        <w:tc>
          <w:tcPr>
            <w:tcW w:w="1984"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0,09±0,007</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0,23±0,010</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0,03±0,001</w:t>
            </w:r>
          </w:p>
        </w:tc>
      </w:tr>
      <w:tr w:rsidR="0062091A" w:rsidRPr="00CC7883" w:rsidTr="0097164D">
        <w:trPr>
          <w:trHeight w:val="375"/>
          <w:jc w:val="center"/>
        </w:trPr>
        <w:tc>
          <w:tcPr>
            <w:tcW w:w="1567"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8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0,16±0,004</w:t>
            </w:r>
          </w:p>
        </w:tc>
        <w:tc>
          <w:tcPr>
            <w:tcW w:w="1984"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0,08±0,005</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0,23±0,009</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0,03±0,001</w:t>
            </w:r>
          </w:p>
        </w:tc>
      </w:tr>
      <w:tr w:rsidR="0062091A" w:rsidRPr="00CC7883" w:rsidTr="0097164D">
        <w:trPr>
          <w:trHeight w:val="375"/>
          <w:jc w:val="center"/>
        </w:trPr>
        <w:tc>
          <w:tcPr>
            <w:tcW w:w="1567" w:type="dxa"/>
            <w:tcBorders>
              <w:top w:val="single" w:sz="4" w:space="0" w:color="auto"/>
              <w:left w:val="single" w:sz="4" w:space="0" w:color="000000"/>
              <w:bottom w:val="single" w:sz="4" w:space="0" w:color="auto"/>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8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0,16±0,004</w:t>
            </w:r>
          </w:p>
        </w:tc>
        <w:tc>
          <w:tcPr>
            <w:tcW w:w="1984" w:type="dxa"/>
            <w:tcBorders>
              <w:top w:val="single" w:sz="4" w:space="0" w:color="auto"/>
              <w:left w:val="single" w:sz="4" w:space="0" w:color="auto"/>
              <w:bottom w:val="single" w:sz="4" w:space="0" w:color="auto"/>
              <w:right w:val="nil"/>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0,09±0,007</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0,25±0,010</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0,03±0,001</w:t>
            </w:r>
          </w:p>
        </w:tc>
      </w:tr>
      <w:tr w:rsidR="0062091A" w:rsidRPr="00CC7883" w:rsidTr="0024767B">
        <w:trPr>
          <w:trHeight w:val="375"/>
          <w:jc w:val="center"/>
        </w:trPr>
        <w:tc>
          <w:tcPr>
            <w:tcW w:w="9370"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«Ярило»</w:t>
            </w:r>
          </w:p>
        </w:tc>
      </w:tr>
      <w:tr w:rsidR="0062091A" w:rsidRPr="00CC7883" w:rsidTr="0097164D">
        <w:trPr>
          <w:trHeight w:val="375"/>
          <w:jc w:val="center"/>
        </w:trPr>
        <w:tc>
          <w:tcPr>
            <w:tcW w:w="156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8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w:t>
            </w:r>
            <w:r w:rsidR="008C0ECB">
              <w:rPr>
                <w:rFonts w:ascii="Times New Roman" w:hAnsi="Times New Roman" w:cs="Times New Roman"/>
                <w:color w:val="000000" w:themeColor="text1"/>
                <w:sz w:val="28"/>
                <w:szCs w:val="28"/>
              </w:rPr>
              <w:t>5</w:t>
            </w:r>
            <w:r w:rsidRPr="00CC7883">
              <w:rPr>
                <w:rFonts w:ascii="Times New Roman" w:hAnsi="Times New Roman" w:cs="Times New Roman"/>
                <w:color w:val="000000" w:themeColor="text1"/>
                <w:sz w:val="28"/>
                <w:szCs w:val="28"/>
              </w:rPr>
              <w:t>±0,012</w:t>
            </w:r>
          </w:p>
        </w:tc>
        <w:tc>
          <w:tcPr>
            <w:tcW w:w="198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w:t>
            </w:r>
            <w:r w:rsidR="008C0ECB">
              <w:rPr>
                <w:rFonts w:ascii="Times New Roman" w:hAnsi="Times New Roman" w:cs="Times New Roman"/>
                <w:color w:val="000000" w:themeColor="text1"/>
                <w:sz w:val="28"/>
                <w:szCs w:val="28"/>
              </w:rPr>
              <w:t>5</w:t>
            </w:r>
            <w:r w:rsidRPr="00CC7883">
              <w:rPr>
                <w:rFonts w:ascii="Times New Roman" w:hAnsi="Times New Roman" w:cs="Times New Roman"/>
                <w:color w:val="000000" w:themeColor="text1"/>
                <w:sz w:val="28"/>
                <w:szCs w:val="28"/>
              </w:rPr>
              <w:t>±0,003</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w:t>
            </w:r>
            <w:r w:rsidR="008C0ECB">
              <w:rPr>
                <w:rFonts w:ascii="Times New Roman" w:hAnsi="Times New Roman" w:cs="Times New Roman"/>
                <w:color w:val="000000" w:themeColor="text1"/>
                <w:sz w:val="28"/>
                <w:szCs w:val="28"/>
              </w:rPr>
              <w:t>20</w:t>
            </w:r>
            <w:r w:rsidRPr="00CC7883">
              <w:rPr>
                <w:rFonts w:ascii="Times New Roman" w:hAnsi="Times New Roman" w:cs="Times New Roman"/>
                <w:color w:val="000000" w:themeColor="text1"/>
                <w:sz w:val="28"/>
                <w:szCs w:val="28"/>
              </w:rPr>
              <w:t>±0,016</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w:t>
            </w:r>
            <w:r w:rsidR="008C0ECB">
              <w:rPr>
                <w:rFonts w:ascii="Times New Roman" w:hAnsi="Times New Roman" w:cs="Times New Roman"/>
                <w:color w:val="000000" w:themeColor="text1"/>
                <w:sz w:val="28"/>
                <w:szCs w:val="28"/>
              </w:rPr>
              <w:t>5</w:t>
            </w:r>
            <w:r w:rsidRPr="00CC7883">
              <w:rPr>
                <w:rFonts w:ascii="Times New Roman" w:hAnsi="Times New Roman" w:cs="Times New Roman"/>
                <w:color w:val="000000" w:themeColor="text1"/>
                <w:sz w:val="28"/>
                <w:szCs w:val="28"/>
              </w:rPr>
              <w:t>±0,002</w:t>
            </w:r>
          </w:p>
        </w:tc>
      </w:tr>
      <w:tr w:rsidR="0062091A" w:rsidRPr="00CC7883" w:rsidTr="0097164D">
        <w:trPr>
          <w:trHeight w:val="375"/>
          <w:jc w:val="center"/>
        </w:trPr>
        <w:tc>
          <w:tcPr>
            <w:tcW w:w="1567" w:type="dxa"/>
            <w:tcBorders>
              <w:top w:val="single" w:sz="4" w:space="0" w:color="000000"/>
              <w:left w:val="single" w:sz="4" w:space="0" w:color="000000"/>
              <w:bottom w:val="single" w:sz="4" w:space="0" w:color="auto"/>
              <w:right w:val="single" w:sz="4" w:space="0" w:color="auto"/>
            </w:tcBorders>
            <w:tcMar>
              <w:top w:w="0" w:type="dxa"/>
              <w:left w:w="108" w:type="dxa"/>
              <w:bottom w:w="0" w:type="dxa"/>
              <w:right w:w="108" w:type="dxa"/>
            </w:tcMa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8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0,11±0,010</w:t>
            </w:r>
          </w:p>
        </w:tc>
        <w:tc>
          <w:tcPr>
            <w:tcW w:w="198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w:t>
            </w:r>
            <w:r w:rsidR="008C0ECB">
              <w:rPr>
                <w:rFonts w:ascii="Times New Roman" w:hAnsi="Times New Roman" w:cs="Times New Roman"/>
                <w:color w:val="000000" w:themeColor="text1"/>
                <w:sz w:val="28"/>
                <w:szCs w:val="28"/>
              </w:rPr>
              <w:t>4</w:t>
            </w:r>
            <w:r w:rsidRPr="00CC7883">
              <w:rPr>
                <w:rFonts w:ascii="Times New Roman" w:hAnsi="Times New Roman" w:cs="Times New Roman"/>
                <w:color w:val="000000" w:themeColor="text1"/>
                <w:sz w:val="28"/>
                <w:szCs w:val="28"/>
              </w:rPr>
              <w:t>±0,001</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w:t>
            </w:r>
            <w:r w:rsidR="008C0ECB">
              <w:rPr>
                <w:rFonts w:ascii="Times New Roman" w:hAnsi="Times New Roman" w:cs="Times New Roman"/>
                <w:color w:val="000000" w:themeColor="text1"/>
                <w:sz w:val="28"/>
                <w:szCs w:val="28"/>
              </w:rPr>
              <w:t>5</w:t>
            </w:r>
            <w:r w:rsidRPr="00CC7883">
              <w:rPr>
                <w:rFonts w:ascii="Times New Roman" w:hAnsi="Times New Roman" w:cs="Times New Roman"/>
                <w:color w:val="000000" w:themeColor="text1"/>
                <w:sz w:val="28"/>
                <w:szCs w:val="28"/>
              </w:rPr>
              <w:t>±0,012</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w:t>
            </w:r>
            <w:r w:rsidR="008C0ECB">
              <w:rPr>
                <w:rFonts w:ascii="Times New Roman" w:hAnsi="Times New Roman" w:cs="Times New Roman"/>
                <w:color w:val="000000" w:themeColor="text1"/>
                <w:sz w:val="28"/>
                <w:szCs w:val="28"/>
              </w:rPr>
              <w:t>4</w:t>
            </w:r>
            <w:r w:rsidRPr="00CC7883">
              <w:rPr>
                <w:rFonts w:ascii="Times New Roman" w:hAnsi="Times New Roman" w:cs="Times New Roman"/>
                <w:color w:val="000000" w:themeColor="text1"/>
                <w:sz w:val="28"/>
                <w:szCs w:val="28"/>
              </w:rPr>
              <w:t>±0,002</w:t>
            </w:r>
          </w:p>
        </w:tc>
      </w:tr>
      <w:tr w:rsidR="0062091A" w:rsidRPr="00CC7883" w:rsidTr="0097164D">
        <w:trPr>
          <w:trHeight w:val="375"/>
          <w:jc w:val="center"/>
        </w:trPr>
        <w:tc>
          <w:tcPr>
            <w:tcW w:w="1567" w:type="dxa"/>
            <w:tcBorders>
              <w:top w:val="single" w:sz="4" w:space="0" w:color="auto"/>
              <w:left w:val="single" w:sz="4" w:space="0" w:color="000000"/>
              <w:bottom w:val="single" w:sz="4" w:space="0" w:color="000000"/>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8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0,19±0,012</w:t>
            </w:r>
          </w:p>
        </w:tc>
        <w:tc>
          <w:tcPr>
            <w:tcW w:w="198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0,26±0,014</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r>
      <w:tr w:rsidR="0062091A" w:rsidRPr="00CC7883" w:rsidTr="0097164D">
        <w:trPr>
          <w:trHeight w:val="375"/>
          <w:jc w:val="center"/>
        </w:trPr>
        <w:tc>
          <w:tcPr>
            <w:tcW w:w="156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8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0,20±0,013</w:t>
            </w:r>
          </w:p>
        </w:tc>
        <w:tc>
          <w:tcPr>
            <w:tcW w:w="198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0,27±0,013</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r>
      <w:tr w:rsidR="0062091A" w:rsidRPr="00CC7883" w:rsidTr="0097164D">
        <w:trPr>
          <w:trHeight w:val="375"/>
          <w:jc w:val="center"/>
        </w:trPr>
        <w:tc>
          <w:tcPr>
            <w:tcW w:w="156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83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0,21±0,015</w:t>
            </w:r>
          </w:p>
        </w:tc>
        <w:tc>
          <w:tcPr>
            <w:tcW w:w="198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0,07±0,005</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0,28±0,015</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0,05±0,003</w:t>
            </w:r>
          </w:p>
        </w:tc>
      </w:tr>
      <w:tr w:rsidR="0062091A" w:rsidRPr="00CC7883" w:rsidTr="0024767B">
        <w:trPr>
          <w:trHeight w:val="375"/>
          <w:jc w:val="center"/>
        </w:trPr>
        <w:tc>
          <w:tcPr>
            <w:tcW w:w="9370" w:type="dxa"/>
            <w:gridSpan w:val="5"/>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«Загрей»</w:t>
            </w:r>
          </w:p>
        </w:tc>
      </w:tr>
      <w:tr w:rsidR="0062091A" w:rsidRPr="00CC7883" w:rsidTr="0097164D">
        <w:trPr>
          <w:trHeight w:val="375"/>
          <w:jc w:val="center"/>
        </w:trPr>
        <w:tc>
          <w:tcPr>
            <w:tcW w:w="156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83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0,12±0,009</w:t>
            </w:r>
          </w:p>
        </w:tc>
        <w:tc>
          <w:tcPr>
            <w:tcW w:w="1984"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w:t>
            </w:r>
            <w:r w:rsidR="008C0ECB">
              <w:rPr>
                <w:rFonts w:ascii="Times New Roman" w:hAnsi="Times New Roman" w:cs="Times New Roman"/>
                <w:color w:val="000000" w:themeColor="text1"/>
                <w:sz w:val="28"/>
                <w:szCs w:val="28"/>
              </w:rPr>
              <w:t>7</w:t>
            </w:r>
            <w:r w:rsidRPr="00CC7883">
              <w:rPr>
                <w:rFonts w:ascii="Times New Roman" w:hAnsi="Times New Roman" w:cs="Times New Roman"/>
                <w:color w:val="000000" w:themeColor="text1"/>
                <w:sz w:val="28"/>
                <w:szCs w:val="28"/>
              </w:rPr>
              <w:t>±0,004</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w:t>
            </w:r>
            <w:r w:rsidR="008C0ECB">
              <w:rPr>
                <w:rFonts w:ascii="Times New Roman" w:hAnsi="Times New Roman" w:cs="Times New Roman"/>
                <w:color w:val="000000" w:themeColor="text1"/>
                <w:sz w:val="28"/>
                <w:szCs w:val="28"/>
              </w:rPr>
              <w:t>9</w:t>
            </w:r>
            <w:r w:rsidRPr="00CC7883">
              <w:rPr>
                <w:rFonts w:ascii="Times New Roman" w:hAnsi="Times New Roman" w:cs="Times New Roman"/>
                <w:color w:val="000000" w:themeColor="text1"/>
                <w:sz w:val="28"/>
                <w:szCs w:val="28"/>
              </w:rPr>
              <w:t>±0,016</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0,06±0,003</w:t>
            </w:r>
          </w:p>
        </w:tc>
      </w:tr>
      <w:tr w:rsidR="0062091A" w:rsidRPr="00CC7883" w:rsidTr="0097164D">
        <w:trPr>
          <w:trHeight w:val="375"/>
          <w:jc w:val="center"/>
        </w:trPr>
        <w:tc>
          <w:tcPr>
            <w:tcW w:w="156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83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0,11±0,010</w:t>
            </w:r>
          </w:p>
        </w:tc>
        <w:tc>
          <w:tcPr>
            <w:tcW w:w="1984"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0,16±0,013</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0,05±0,002</w:t>
            </w:r>
          </w:p>
        </w:tc>
      </w:tr>
      <w:tr w:rsidR="0062091A" w:rsidRPr="00CC7883" w:rsidTr="0097164D">
        <w:trPr>
          <w:trHeight w:val="375"/>
          <w:jc w:val="center"/>
        </w:trPr>
        <w:tc>
          <w:tcPr>
            <w:tcW w:w="156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83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0,13±0,008</w:t>
            </w:r>
          </w:p>
        </w:tc>
        <w:tc>
          <w:tcPr>
            <w:tcW w:w="1984"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0,19±0,015</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0,06±0,004</w:t>
            </w:r>
          </w:p>
        </w:tc>
      </w:tr>
      <w:tr w:rsidR="0062091A" w:rsidRPr="00CC7883" w:rsidTr="0097164D">
        <w:trPr>
          <w:trHeight w:val="375"/>
          <w:jc w:val="center"/>
        </w:trPr>
        <w:tc>
          <w:tcPr>
            <w:tcW w:w="156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83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0,15±0,009</w:t>
            </w:r>
          </w:p>
        </w:tc>
        <w:tc>
          <w:tcPr>
            <w:tcW w:w="1984"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0,07±0,005</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0,22±0,017</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0,07±0,005</w:t>
            </w:r>
          </w:p>
        </w:tc>
      </w:tr>
      <w:tr w:rsidR="0062091A" w:rsidRPr="00CC7883" w:rsidTr="0097164D">
        <w:trPr>
          <w:trHeight w:val="375"/>
          <w:jc w:val="center"/>
        </w:trPr>
        <w:tc>
          <w:tcPr>
            <w:tcW w:w="1567" w:type="dxa"/>
            <w:tcBorders>
              <w:top w:val="single" w:sz="4" w:space="0" w:color="000000"/>
              <w:left w:val="single" w:sz="4" w:space="0" w:color="000000"/>
              <w:bottom w:val="single" w:sz="4" w:space="0" w:color="000000"/>
              <w:right w:val="single" w:sz="4" w:space="0" w:color="auto"/>
            </w:tcBorders>
            <w:tcMar>
              <w:top w:w="0" w:type="dxa"/>
              <w:left w:w="108" w:type="dxa"/>
              <w:bottom w:w="0" w:type="dxa"/>
              <w:right w:w="108" w:type="dxa"/>
            </w:tcMar>
            <w:vAlign w:val="center"/>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83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0,17±0,006</w:t>
            </w:r>
          </w:p>
        </w:tc>
        <w:tc>
          <w:tcPr>
            <w:tcW w:w="1984"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0,10±0,009</w:t>
            </w:r>
          </w:p>
        </w:tc>
        <w:tc>
          <w:tcPr>
            <w:tcW w:w="198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0,27±0,018</w:t>
            </w:r>
          </w:p>
        </w:tc>
        <w:tc>
          <w:tcPr>
            <w:tcW w:w="2003" w:type="dxa"/>
            <w:tcBorders>
              <w:top w:val="single" w:sz="4" w:space="0" w:color="auto"/>
              <w:left w:val="single" w:sz="4" w:space="0" w:color="auto"/>
              <w:bottom w:val="single" w:sz="4" w:space="0" w:color="auto"/>
              <w:right w:val="single" w:sz="4" w:space="0" w:color="auto"/>
            </w:tcBorders>
            <w:shd w:val="clear" w:color="000000" w:fill="FFFFFF"/>
            <w:tcMar>
              <w:top w:w="0" w:type="dxa"/>
              <w:left w:w="108" w:type="dxa"/>
              <w:bottom w:w="0" w:type="dxa"/>
              <w:right w:w="108" w:type="dxa"/>
            </w:tcMar>
            <w:vAlign w:val="bottom"/>
          </w:tcPr>
          <w:p w:rsidR="0062091A" w:rsidRPr="00CC7883" w:rsidRDefault="0062091A" w:rsidP="00047411">
            <w:pPr>
              <w:widowControl w:val="0"/>
              <w:autoSpaceDN w:val="0"/>
              <w:spacing w:after="0" w:line="240" w:lineRule="auto"/>
              <w:jc w:val="center"/>
              <w:textAlignment w:val="baseline"/>
              <w:rPr>
                <w:rFonts w:ascii="Times New Roman" w:eastAsia="Calibri" w:hAnsi="Times New Roman" w:cs="Times New Roman"/>
                <w:color w:val="000000" w:themeColor="text1"/>
                <w:sz w:val="28"/>
                <w:szCs w:val="28"/>
              </w:rPr>
            </w:pPr>
            <w:r w:rsidRPr="00CC7883">
              <w:rPr>
                <w:rFonts w:ascii="Times New Roman" w:hAnsi="Times New Roman" w:cs="Times New Roman"/>
                <w:color w:val="000000" w:themeColor="text1"/>
                <w:sz w:val="28"/>
                <w:szCs w:val="28"/>
              </w:rPr>
              <w:t>0,08±0,005</w:t>
            </w:r>
          </w:p>
        </w:tc>
      </w:tr>
    </w:tbl>
    <w:p w:rsidR="005E11E7" w:rsidRDefault="005E11E7" w:rsidP="00047411">
      <w:pPr>
        <w:widowControl w:val="0"/>
        <w:spacing w:after="0" w:line="360" w:lineRule="auto"/>
        <w:rPr>
          <w:rFonts w:ascii="Times New Roman" w:eastAsia="NSimSun" w:hAnsi="Times New Roman" w:cs="Times New Roman"/>
          <w:bCs/>
          <w:color w:val="000000" w:themeColor="text1"/>
          <w:kern w:val="3"/>
          <w:sz w:val="28"/>
          <w:szCs w:val="28"/>
        </w:rPr>
      </w:pPr>
    </w:p>
    <w:p w:rsidR="00223829" w:rsidRPr="00CC7883" w:rsidRDefault="00223829" w:rsidP="00223829">
      <w:pPr>
        <w:widowControl w:val="0"/>
        <w:spacing w:after="0" w:line="360" w:lineRule="auto"/>
        <w:ind w:firstLine="708"/>
        <w:jc w:val="both"/>
        <w:rPr>
          <w:rFonts w:ascii="Times New Roman" w:eastAsia="Times New Roman" w:hAnsi="Times New Roman" w:cs="Times New Roman"/>
          <w:color w:val="000000" w:themeColor="text1"/>
          <w:sz w:val="28"/>
          <w:szCs w:val="28"/>
          <w:highlight w:val="yellow"/>
          <w:lang w:eastAsia="ru-RU"/>
        </w:rPr>
      </w:pPr>
      <w:r w:rsidRPr="00CC7883">
        <w:rPr>
          <w:rFonts w:ascii="Times New Roman" w:eastAsia="Times New Roman" w:hAnsi="Times New Roman" w:cs="Times New Roman"/>
          <w:color w:val="000000" w:themeColor="text1"/>
          <w:sz w:val="28"/>
          <w:szCs w:val="28"/>
          <w:lang w:eastAsia="ru-RU"/>
        </w:rPr>
        <w:t>У варіантах, де у якості поживних субстратів використовували суміш агроперліту та вермикуліту (п’ятий варіант)</w:t>
      </w:r>
      <w:r>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мікроклони винограду характеризувалися найбільшим показником суми хлорофілів </w:t>
      </w:r>
      <w:r w:rsidRPr="00CC7883">
        <w:rPr>
          <w:rFonts w:ascii="Times New Roman" w:eastAsia="Times New Roman" w:hAnsi="Times New Roman" w:cs="Times New Roman"/>
          <w:i/>
          <w:iCs/>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 </w:t>
      </w:r>
      <w:r w:rsidRPr="00CC7883">
        <w:rPr>
          <w:rFonts w:ascii="Times New Roman" w:eastAsia="Times New Roman" w:hAnsi="Times New Roman" w:cs="Times New Roman"/>
          <w:i/>
          <w:iCs/>
          <w:color w:val="000000" w:themeColor="text1"/>
          <w:sz w:val="28"/>
          <w:szCs w:val="28"/>
          <w:lang w:eastAsia="ru-RU"/>
        </w:rPr>
        <w:t>b.</w:t>
      </w:r>
      <w:r w:rsidRPr="00CC7883">
        <w:rPr>
          <w:rFonts w:ascii="Times New Roman" w:eastAsia="Times New Roman" w:hAnsi="Times New Roman" w:cs="Times New Roman"/>
          <w:color w:val="000000" w:themeColor="text1"/>
          <w:sz w:val="28"/>
          <w:szCs w:val="28"/>
          <w:lang w:eastAsia="ru-RU"/>
        </w:rPr>
        <w:t xml:space="preserve"> Цей показник перевищував контроль на 57,8–80,8 % (0,25–0,26 мг/г у підщепних та 0,27–0,28 мг/г вологої маси у технічних сортів). У третьому і четвертому </w:t>
      </w:r>
      <w:r w:rsidRPr="00CC7883">
        <w:rPr>
          <w:rFonts w:ascii="Times New Roman" w:eastAsia="Times New Roman" w:hAnsi="Times New Roman" w:cs="Times New Roman"/>
          <w:color w:val="000000" w:themeColor="text1"/>
          <w:sz w:val="28"/>
          <w:szCs w:val="28"/>
          <w:lang w:eastAsia="ru-RU"/>
        </w:rPr>
        <w:lastRenderedPageBreak/>
        <w:t xml:space="preserve">варіантах він збільшувався на 13,0–73,3 %, але був нижчим (на 7,9–28,4 %) </w:t>
      </w:r>
      <w:r>
        <w:rPr>
          <w:rFonts w:ascii="Times New Roman" w:eastAsia="NSimSun" w:hAnsi="Times New Roman" w:cs="Times New Roman"/>
          <w:color w:val="000000" w:themeColor="text1"/>
          <w:kern w:val="3"/>
          <w:sz w:val="28"/>
          <w:szCs w:val="28"/>
        </w:rPr>
        <w:t>порівняно</w:t>
      </w:r>
      <w:r w:rsidRPr="00CC7883">
        <w:rPr>
          <w:rFonts w:ascii="Times New Roman" w:eastAsia="Times New Roman" w:hAnsi="Times New Roman" w:cs="Times New Roman"/>
          <w:color w:val="000000" w:themeColor="text1"/>
          <w:sz w:val="28"/>
          <w:szCs w:val="28"/>
          <w:lang w:eastAsia="ru-RU"/>
        </w:rPr>
        <w:t xml:space="preserve"> з рослинами п’ятого варіанту.</w:t>
      </w:r>
    </w:p>
    <w:p w:rsidR="00223829" w:rsidRDefault="00223829" w:rsidP="00223829">
      <w:pPr>
        <w:widowControl w:val="0"/>
        <w:spacing w:after="0" w:line="360" w:lineRule="auto"/>
        <w:ind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У пагонах мікроклонів п’ятого варіанту </w:t>
      </w:r>
      <w:r w:rsidRPr="00CC7883">
        <w:rPr>
          <w:rFonts w:ascii="Times New Roman" w:eastAsia="NSimSun" w:hAnsi="Times New Roman" w:cs="Times New Roman"/>
          <w:color w:val="000000" w:themeColor="text1"/>
          <w:kern w:val="3"/>
          <w:sz w:val="28"/>
          <w:szCs w:val="28"/>
        </w:rPr>
        <w:t>від</w:t>
      </w:r>
      <w:r>
        <w:rPr>
          <w:rFonts w:ascii="Times New Roman" w:eastAsia="NSimSun" w:hAnsi="Times New Roman" w:cs="Times New Roman"/>
          <w:color w:val="000000" w:themeColor="text1"/>
          <w:kern w:val="3"/>
          <w:sz w:val="28"/>
          <w:szCs w:val="28"/>
        </w:rPr>
        <w:t>знача</w:t>
      </w:r>
      <w:r w:rsidRPr="00CC7883">
        <w:rPr>
          <w:rFonts w:ascii="Times New Roman" w:eastAsia="NSimSun" w:hAnsi="Times New Roman" w:cs="Times New Roman"/>
          <w:color w:val="000000" w:themeColor="text1"/>
          <w:kern w:val="3"/>
          <w:sz w:val="28"/>
          <w:szCs w:val="28"/>
        </w:rPr>
        <w:t>ли</w:t>
      </w:r>
      <w:r w:rsidRPr="00CC7883">
        <w:rPr>
          <w:rFonts w:ascii="Times New Roman" w:eastAsia="Times New Roman" w:hAnsi="Times New Roman" w:cs="Times New Roman"/>
          <w:color w:val="000000" w:themeColor="text1"/>
          <w:sz w:val="28"/>
          <w:szCs w:val="28"/>
          <w:lang w:eastAsia="ru-RU"/>
        </w:rPr>
        <w:t xml:space="preserve"> і найбільший вміст каротиноїдів. Він перевищував контрольні значення на 45,6–90,4 % і дорівнював 0,03–0,05 мг/г (підщепні сорти) та 0,05–0,08 мг/г (технічні сорти) вологої маси.</w:t>
      </w:r>
    </w:p>
    <w:p w:rsidR="00223829" w:rsidRPr="00CC7883" w:rsidRDefault="00223829" w:rsidP="00223829">
      <w:pPr>
        <w:widowControl w:val="0"/>
        <w:spacing w:after="0" w:line="360" w:lineRule="auto"/>
        <w:ind w:firstLine="709"/>
        <w:jc w:val="both"/>
        <w:rPr>
          <w:rFonts w:ascii="Times New Roman" w:eastAsia="NSimSun" w:hAnsi="Times New Roman" w:cs="Times New Roman"/>
          <w:bCs/>
          <w:color w:val="000000" w:themeColor="text1"/>
          <w:kern w:val="3"/>
          <w:sz w:val="28"/>
          <w:szCs w:val="28"/>
        </w:rPr>
      </w:pPr>
      <w:r w:rsidRPr="00CC7883">
        <w:rPr>
          <w:rFonts w:ascii="Times New Roman" w:eastAsia="NSimSun" w:hAnsi="Times New Roman" w:cs="Times New Roman"/>
          <w:bCs/>
          <w:color w:val="000000" w:themeColor="text1"/>
          <w:kern w:val="3"/>
          <w:sz w:val="28"/>
          <w:szCs w:val="28"/>
        </w:rPr>
        <w:t xml:space="preserve">У пагонах мікроклонів третього (агроперліт) та четвертого (вермикуліт) варіантів цей показник також збільшувався порівняно з контролем на 12,5–84,5 %, але поступався варіантам </w:t>
      </w:r>
      <w:r>
        <w:rPr>
          <w:rFonts w:ascii="Times New Roman" w:eastAsia="NSimSun" w:hAnsi="Times New Roman" w:cs="Times New Roman"/>
          <w:bCs/>
          <w:color w:val="000000" w:themeColor="text1"/>
          <w:kern w:val="3"/>
          <w:sz w:val="28"/>
          <w:szCs w:val="28"/>
        </w:rPr>
        <w:t>і</w:t>
      </w:r>
      <w:r w:rsidRPr="00CC7883">
        <w:rPr>
          <w:rFonts w:ascii="Times New Roman" w:eastAsia="NSimSun" w:hAnsi="Times New Roman" w:cs="Times New Roman"/>
          <w:bCs/>
          <w:color w:val="000000" w:themeColor="text1"/>
          <w:kern w:val="3"/>
          <w:sz w:val="28"/>
          <w:szCs w:val="28"/>
        </w:rPr>
        <w:t>з застосуванням с</w:t>
      </w:r>
      <w:r w:rsidR="0097164D">
        <w:rPr>
          <w:rFonts w:ascii="Times New Roman" w:eastAsia="NSimSun" w:hAnsi="Times New Roman" w:cs="Times New Roman"/>
          <w:bCs/>
          <w:color w:val="000000" w:themeColor="text1"/>
          <w:kern w:val="3"/>
          <w:sz w:val="28"/>
          <w:szCs w:val="28"/>
        </w:rPr>
        <w:t>уміші агроперліту і вермикуліту</w:t>
      </w:r>
      <w:r w:rsidRPr="00CC7883">
        <w:rPr>
          <w:rFonts w:ascii="Times New Roman" w:eastAsia="NSimSun" w:hAnsi="Times New Roman" w:cs="Times New Roman"/>
          <w:bCs/>
          <w:color w:val="000000" w:themeColor="text1"/>
          <w:kern w:val="3"/>
          <w:sz w:val="28"/>
          <w:szCs w:val="28"/>
        </w:rPr>
        <w:t xml:space="preserve"> </w:t>
      </w:r>
      <w:r w:rsidR="0097164D">
        <w:rPr>
          <w:rFonts w:ascii="Times New Roman" w:eastAsia="NSimSun" w:hAnsi="Times New Roman" w:cs="Times New Roman"/>
          <w:bCs/>
          <w:color w:val="000000" w:themeColor="text1"/>
          <w:kern w:val="3"/>
          <w:sz w:val="28"/>
          <w:szCs w:val="28"/>
        </w:rPr>
        <w:t>в</w:t>
      </w:r>
      <w:r w:rsidRPr="00CC7883">
        <w:rPr>
          <w:rFonts w:ascii="Times New Roman" w:eastAsia="NSimSun" w:hAnsi="Times New Roman" w:cs="Times New Roman"/>
          <w:bCs/>
          <w:color w:val="000000" w:themeColor="text1"/>
          <w:kern w:val="3"/>
          <w:sz w:val="28"/>
          <w:szCs w:val="28"/>
        </w:rPr>
        <w:t xml:space="preserve"> середньому на 2,3–22,7 %.</w:t>
      </w:r>
    </w:p>
    <w:p w:rsidR="00223829" w:rsidRDefault="00223829" w:rsidP="005E11E7">
      <w:pPr>
        <w:widowControl w:val="0"/>
        <w:spacing w:after="0" w:line="360" w:lineRule="auto"/>
        <w:ind w:firstLine="709"/>
        <w:rPr>
          <w:rFonts w:ascii="Times New Roman" w:eastAsia="NSimSun" w:hAnsi="Times New Roman" w:cs="Times New Roman"/>
          <w:bCs/>
          <w:color w:val="000000" w:themeColor="text1"/>
          <w:kern w:val="3"/>
          <w:sz w:val="28"/>
          <w:szCs w:val="28"/>
        </w:rPr>
      </w:pPr>
    </w:p>
    <w:p w:rsidR="005A3F7D" w:rsidRPr="00CC7883" w:rsidRDefault="005A3F7D" w:rsidP="005E11E7">
      <w:pPr>
        <w:widowControl w:val="0"/>
        <w:spacing w:after="0" w:line="360" w:lineRule="auto"/>
        <w:ind w:firstLine="709"/>
        <w:rPr>
          <w:rFonts w:ascii="Times New Roman" w:eastAsia="NSimSun" w:hAnsi="Times New Roman" w:cs="Times New Roman"/>
          <w:b/>
          <w:bCs/>
          <w:color w:val="000000" w:themeColor="text1"/>
          <w:kern w:val="3"/>
          <w:sz w:val="28"/>
          <w:szCs w:val="28"/>
        </w:rPr>
      </w:pPr>
      <w:bookmarkStart w:id="80" w:name="_Toc220058947"/>
      <w:r w:rsidRPr="00CC7883">
        <w:rPr>
          <w:rFonts w:ascii="Times New Roman" w:eastAsia="NSimSun" w:hAnsi="Times New Roman" w:cs="Times New Roman"/>
          <w:b/>
          <w:bCs/>
          <w:color w:val="000000" w:themeColor="text1"/>
          <w:kern w:val="3"/>
          <w:sz w:val="28"/>
          <w:szCs w:val="28"/>
        </w:rPr>
        <w:t>5.2. Коренева система</w:t>
      </w:r>
      <w:bookmarkEnd w:id="80"/>
    </w:p>
    <w:p w:rsidR="005A3F7D" w:rsidRPr="00CC7883" w:rsidRDefault="005A3F7D" w:rsidP="00047411">
      <w:pPr>
        <w:widowControl w:val="0"/>
        <w:autoSpaceDN w:val="0"/>
        <w:spacing w:after="0" w:line="360" w:lineRule="auto"/>
        <w:ind w:firstLine="708"/>
        <w:jc w:val="both"/>
        <w:textAlignment w:val="baseline"/>
        <w:rPr>
          <w:rFonts w:ascii="Times New Roman" w:eastAsia="NSimSun" w:hAnsi="Times New Roman" w:cs="Times New Roman"/>
          <w:b/>
          <w:bCs/>
          <w:color w:val="000000" w:themeColor="text1"/>
          <w:kern w:val="3"/>
          <w:sz w:val="28"/>
          <w:szCs w:val="28"/>
        </w:rPr>
      </w:pPr>
    </w:p>
    <w:p w:rsidR="005A3F7D" w:rsidRPr="00CC7883" w:rsidRDefault="005A3F7D" w:rsidP="00047411">
      <w:pPr>
        <w:widowControl w:val="0"/>
        <w:autoSpaceDN w:val="0"/>
        <w:spacing w:after="0" w:line="360" w:lineRule="auto"/>
        <w:ind w:firstLine="709"/>
        <w:jc w:val="both"/>
        <w:textAlignment w:val="baseline"/>
        <w:outlineLvl w:val="2"/>
        <w:rPr>
          <w:rFonts w:ascii="Times New Roman" w:eastAsia="NSimSun" w:hAnsi="Times New Roman" w:cs="Times New Roman"/>
          <w:b/>
          <w:bCs/>
          <w:color w:val="000000" w:themeColor="text1"/>
          <w:kern w:val="3"/>
          <w:sz w:val="28"/>
          <w:szCs w:val="28"/>
        </w:rPr>
      </w:pPr>
      <w:bookmarkStart w:id="81" w:name="_Toc220058948"/>
      <w:r w:rsidRPr="00CC7883">
        <w:rPr>
          <w:rFonts w:ascii="Times New Roman" w:eastAsia="NSimSun" w:hAnsi="Times New Roman" w:cs="Times New Roman"/>
          <w:b/>
          <w:bCs/>
          <w:color w:val="000000" w:themeColor="text1"/>
          <w:kern w:val="3"/>
          <w:sz w:val="28"/>
          <w:szCs w:val="28"/>
        </w:rPr>
        <w:t>5.2.1. Водний режим та вміст сухих речовин</w:t>
      </w:r>
      <w:bookmarkEnd w:id="81"/>
    </w:p>
    <w:p w:rsidR="005A3F7D" w:rsidRPr="00CC7883" w:rsidRDefault="005A3F7D" w:rsidP="00047411">
      <w:pPr>
        <w:widowControl w:val="0"/>
        <w:autoSpaceDN w:val="0"/>
        <w:spacing w:after="0" w:line="360" w:lineRule="auto"/>
        <w:jc w:val="both"/>
        <w:textAlignment w:val="baseline"/>
        <w:rPr>
          <w:rFonts w:ascii="Times New Roman" w:eastAsia="NSimSun" w:hAnsi="Times New Roman" w:cs="Times New Roman"/>
          <w:b/>
          <w:bCs/>
          <w:color w:val="000000" w:themeColor="text1"/>
          <w:kern w:val="3"/>
          <w:sz w:val="28"/>
          <w:szCs w:val="28"/>
        </w:rPr>
      </w:pPr>
    </w:p>
    <w:p w:rsidR="005A3F7D" w:rsidRPr="00CC7883" w:rsidRDefault="005A3F7D"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Надходження води в корені через біологічні мембрани здійснюється завдяки таким процесам</w:t>
      </w:r>
      <w:r w:rsidR="006F6AC2">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як осмос, дифузія і активний транспорт. Завдяки кореневим волоскам водний розчин просочується в клітинні пори кореня і далі з клітини у клітину потрапляє в судини, де вода з розчиненими речовинами піднімається в стебло. Відповідно, чим більше кількість води проходить через корені, тим більше поживних речовин потрапляє через ксилему у тканини рослин, що впливає на активність розвитку самої рослини. Тому вміст води і сухих речовин у коренях мікроклонів є важливим показником [</w:t>
      </w:r>
      <w:r w:rsidR="00B9668A" w:rsidRPr="00CC7883">
        <w:rPr>
          <w:rFonts w:ascii="Times New Roman" w:eastAsia="NSimSun" w:hAnsi="Times New Roman" w:cs="Times New Roman"/>
          <w:color w:val="000000" w:themeColor="text1"/>
          <w:kern w:val="3"/>
          <w:sz w:val="28"/>
          <w:szCs w:val="28"/>
        </w:rPr>
        <w:t>42</w:t>
      </w:r>
      <w:r w:rsidRPr="00CC7883">
        <w:rPr>
          <w:rFonts w:ascii="Times New Roman" w:eastAsia="NSimSun" w:hAnsi="Times New Roman" w:cs="Times New Roman"/>
          <w:color w:val="000000" w:themeColor="text1"/>
          <w:kern w:val="3"/>
          <w:sz w:val="28"/>
          <w:szCs w:val="28"/>
        </w:rPr>
        <w:t>].</w:t>
      </w:r>
    </w:p>
    <w:p w:rsidR="005A3F7D" w:rsidRDefault="005A3F7D" w:rsidP="00047411">
      <w:pPr>
        <w:widowControl w:val="0"/>
        <w:autoSpaceDN w:val="0"/>
        <w:spacing w:after="0" w:line="360" w:lineRule="auto"/>
        <w:ind w:firstLine="708"/>
        <w:jc w:val="both"/>
        <w:textAlignment w:val="baseline"/>
        <w:rPr>
          <w:rFonts w:ascii="Times New Roman" w:eastAsia="NSimSun" w:hAnsi="Times New Roman" w:cs="Times New Roman"/>
          <w:color w:val="000000" w:themeColor="text1"/>
          <w:kern w:val="3"/>
          <w:sz w:val="28"/>
          <w:szCs w:val="28"/>
        </w:rPr>
      </w:pPr>
      <w:r w:rsidRPr="00CC7883">
        <w:rPr>
          <w:rFonts w:ascii="Times New Roman" w:hAnsi="Times New Roman" w:cs="Times New Roman"/>
          <w:bCs/>
          <w:i/>
          <w:iCs/>
          <w:color w:val="000000" w:themeColor="text1"/>
          <w:sz w:val="28"/>
          <w:szCs w:val="28"/>
        </w:rPr>
        <w:t>Поживні середовища</w:t>
      </w:r>
      <w:r w:rsidRPr="00CC7883">
        <w:rPr>
          <w:rFonts w:ascii="Times New Roman" w:hAnsi="Times New Roman" w:cs="Times New Roman"/>
          <w:bCs/>
          <w:color w:val="000000" w:themeColor="text1"/>
          <w:sz w:val="28"/>
          <w:szCs w:val="28"/>
        </w:rPr>
        <w:t>.</w:t>
      </w:r>
      <w:r w:rsidR="00540576" w:rsidRPr="00CC7883">
        <w:rPr>
          <w:rFonts w:ascii="Times New Roman" w:hAnsi="Times New Roman" w:cs="Times New Roman"/>
          <w:bCs/>
          <w:color w:val="000000" w:themeColor="text1"/>
          <w:sz w:val="28"/>
          <w:szCs w:val="28"/>
        </w:rPr>
        <w:t xml:space="preserve"> </w:t>
      </w:r>
      <w:r w:rsidRPr="00CC7883">
        <w:rPr>
          <w:rFonts w:ascii="Times New Roman" w:eastAsia="NSimSun" w:hAnsi="Times New Roman" w:cs="Times New Roman"/>
          <w:i/>
          <w:iCs/>
          <w:color w:val="000000" w:themeColor="text1"/>
          <w:kern w:val="3"/>
          <w:sz w:val="28"/>
          <w:szCs w:val="28"/>
          <w:u w:val="single"/>
        </w:rPr>
        <w:t>Загальне обводнення</w:t>
      </w:r>
      <w:r w:rsidRPr="00CC7883">
        <w:rPr>
          <w:rFonts w:ascii="Times New Roman" w:eastAsia="NSimSun" w:hAnsi="Times New Roman" w:cs="Times New Roman"/>
          <w:i/>
          <w:iCs/>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Після 60 діб культивування у тканинах коренів рослин </w:t>
      </w:r>
      <w:r w:rsidR="001221F9" w:rsidRPr="00CC7883">
        <w:rPr>
          <w:rFonts w:ascii="Times New Roman" w:hAnsi="Times New Roman" w:cs="Times New Roman"/>
          <w:i/>
          <w:iCs/>
          <w:color w:val="000000" w:themeColor="text1"/>
          <w:sz w:val="28"/>
          <w:szCs w:val="28"/>
        </w:rPr>
        <w:t>in vitro</w:t>
      </w:r>
      <w:r w:rsidRPr="00CC7883">
        <w:rPr>
          <w:rFonts w:ascii="Times New Roman" w:eastAsia="NSimSun" w:hAnsi="Times New Roman" w:cs="Times New Roman"/>
          <w:color w:val="000000" w:themeColor="text1"/>
          <w:kern w:val="3"/>
          <w:sz w:val="28"/>
          <w:szCs w:val="28"/>
        </w:rPr>
        <w:t xml:space="preserve"> проводили визначення вмісту загальної,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color w:val="000000" w:themeColor="text1"/>
          <w:kern w:val="3"/>
          <w:sz w:val="28"/>
          <w:szCs w:val="28"/>
        </w:rPr>
        <w:t xml:space="preserve"> води та сухих речовин. Встановлено, що найбільше загальної води було у тканинах коренів контрольних варіантів та варіантів, де застосовували препарати Радіфарм і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NSimSun" w:hAnsi="Times New Roman" w:cs="Times New Roman"/>
          <w:color w:val="000000" w:themeColor="text1"/>
          <w:kern w:val="3"/>
          <w:sz w:val="28"/>
          <w:szCs w:val="28"/>
        </w:rPr>
        <w:t xml:space="preserve">. Так, обводнення тканин коренів у цих варіантах для підщепних сортів дорівнювало 94,5–95,2 % і </w:t>
      </w:r>
      <w:r w:rsidRPr="00CC7883">
        <w:rPr>
          <w:rFonts w:ascii="Times New Roman" w:eastAsia="NSimSun" w:hAnsi="Times New Roman" w:cs="Times New Roman"/>
          <w:color w:val="000000" w:themeColor="text1"/>
          <w:kern w:val="3"/>
          <w:sz w:val="28"/>
          <w:szCs w:val="28"/>
        </w:rPr>
        <w:lastRenderedPageBreak/>
        <w:t>95,8–96,0 % – контролі, 96,4–97,4 % і 96,1–97,9 % – третій–шостий варіанти. У тканинах коренів мікроклонів винограду, які культивували на поживних середовищах із додаванням мінеральних субстратів</w:t>
      </w:r>
      <w:r w:rsidR="000B7945">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цей показник зменшувався на 0,4–3,5 %, 2,2–4,5 % і дорівнював 91,1–93,2 %, 93,8–95,5 %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5.9).</w:t>
      </w:r>
    </w:p>
    <w:p w:rsidR="00223829" w:rsidRPr="00CC7883" w:rsidRDefault="00223829" w:rsidP="00223829">
      <w:pPr>
        <w:widowControl w:val="0"/>
        <w:autoSpaceDN w:val="0"/>
        <w:spacing w:after="0" w:line="360" w:lineRule="auto"/>
        <w:ind w:firstLine="708"/>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Для мікроклонів технічних сортів показник загального вмісту води контролів дорівнював у середньому 95,0–95,4 % і 93,6–94,0 %, для варіантів з БАП – 93,5–95,8 % і 92,4–95,8 % та для варіантів з</w:t>
      </w:r>
      <w:r>
        <w:rPr>
          <w:rFonts w:ascii="Times New Roman" w:eastAsia="NSimSun" w:hAnsi="Times New Roman" w:cs="Times New Roman"/>
          <w:color w:val="000000" w:themeColor="text1"/>
          <w:kern w:val="3"/>
          <w:sz w:val="28"/>
          <w:szCs w:val="28"/>
        </w:rPr>
        <w:t>і</w:t>
      </w:r>
      <w:r w:rsidRPr="00CC7883">
        <w:rPr>
          <w:rFonts w:ascii="Times New Roman" w:eastAsia="NSimSun" w:hAnsi="Times New Roman" w:cs="Times New Roman"/>
          <w:color w:val="000000" w:themeColor="text1"/>
          <w:kern w:val="3"/>
          <w:sz w:val="28"/>
          <w:szCs w:val="28"/>
        </w:rPr>
        <w:t xml:space="preserve"> структурованими поживними середовищами – 86,5–91,4 % і 90,0–91,8 %. </w:t>
      </w:r>
      <w:r w:rsidRPr="00223829">
        <w:rPr>
          <w:rFonts w:ascii="Times New Roman" w:eastAsia="NSimSun" w:hAnsi="Times New Roman" w:cs="Times New Roman"/>
          <w:color w:val="000000" w:themeColor="text1"/>
          <w:kern w:val="3"/>
          <w:sz w:val="28"/>
          <w:szCs w:val="28"/>
        </w:rPr>
        <w:t>Порівн</w:t>
      </w:r>
      <w:r>
        <w:rPr>
          <w:rFonts w:ascii="Times New Roman" w:eastAsia="NSimSun" w:hAnsi="Times New Roman" w:cs="Times New Roman"/>
          <w:color w:val="000000" w:themeColor="text1"/>
          <w:kern w:val="3"/>
          <w:sz w:val="28"/>
          <w:szCs w:val="28"/>
        </w:rPr>
        <w:t>яно</w:t>
      </w:r>
      <w:r w:rsidRPr="00CC7883">
        <w:rPr>
          <w:rFonts w:ascii="Times New Roman" w:eastAsia="NSimSun" w:hAnsi="Times New Roman" w:cs="Times New Roman"/>
          <w:color w:val="000000" w:themeColor="text1"/>
          <w:kern w:val="3"/>
          <w:sz w:val="28"/>
          <w:szCs w:val="28"/>
        </w:rPr>
        <w:t xml:space="preserve"> з контролем на структурованих поживних середовищах цей показник зменшувався на 2,2–4,5 %.</w:t>
      </w:r>
    </w:p>
    <w:p w:rsidR="00223829" w:rsidRPr="00CC7883" w:rsidRDefault="00223829" w:rsidP="00223829">
      <w:pPr>
        <w:widowControl w:val="0"/>
        <w:autoSpaceDN w:val="0"/>
        <w:spacing w:after="0" w:line="360" w:lineRule="auto"/>
        <w:ind w:firstLine="708"/>
        <w:jc w:val="both"/>
        <w:rPr>
          <w:rFonts w:ascii="Times New Roman" w:eastAsia="NSimSun" w:hAnsi="Times New Roman" w:cs="Times New Roman"/>
          <w:color w:val="000000" w:themeColor="text1"/>
          <w:kern w:val="3"/>
        </w:rPr>
      </w:pPr>
      <w:r w:rsidRPr="00CC7883">
        <w:rPr>
          <w:rFonts w:ascii="Times New Roman" w:eastAsia="NSimSun" w:hAnsi="Times New Roman" w:cs="Times New Roman"/>
          <w:i/>
          <w:iCs/>
          <w:color w:val="000000" w:themeColor="text1"/>
          <w:kern w:val="3"/>
          <w:sz w:val="28"/>
          <w:szCs w:val="28"/>
          <w:u w:val="single"/>
        </w:rPr>
        <w:t xml:space="preserve">Вміст </w:t>
      </w:r>
      <w:r w:rsidRPr="00C87671">
        <w:rPr>
          <w:rFonts w:ascii="Times New Roman" w:hAnsi="Times New Roman" w:cs="Times New Roman"/>
          <w:i/>
          <w:iCs/>
          <w:color w:val="000000" w:themeColor="text1"/>
          <w:sz w:val="28"/>
          <w:szCs w:val="28"/>
          <w:u w:val="single"/>
        </w:rPr>
        <w:t>легкоутримуваної</w:t>
      </w:r>
      <w:r w:rsidRPr="00CC7883">
        <w:rPr>
          <w:rFonts w:ascii="Times New Roman" w:eastAsia="NSimSun" w:hAnsi="Times New Roman" w:cs="Times New Roman"/>
          <w:i/>
          <w:iCs/>
          <w:color w:val="000000" w:themeColor="text1"/>
          <w:kern w:val="3"/>
          <w:sz w:val="28"/>
          <w:szCs w:val="28"/>
          <w:u w:val="single"/>
        </w:rPr>
        <w:t xml:space="preserve"> води</w:t>
      </w:r>
      <w:r w:rsidRPr="00CC7883">
        <w:rPr>
          <w:rFonts w:ascii="Times New Roman" w:eastAsia="NSimSun" w:hAnsi="Times New Roman" w:cs="Times New Roman"/>
          <w:i/>
          <w:iCs/>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Найбільший показник вмісту </w:t>
      </w:r>
      <w:r w:rsidRPr="00CC7883">
        <w:rPr>
          <w:rFonts w:ascii="Times New Roman" w:hAnsi="Times New Roman" w:cs="Times New Roman"/>
          <w:color w:val="000000" w:themeColor="text1"/>
          <w:sz w:val="28"/>
          <w:szCs w:val="28"/>
        </w:rPr>
        <w:t>легко</w:t>
      </w:r>
      <w:r>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трим</w:t>
      </w:r>
      <w:r>
        <w:rPr>
          <w:rFonts w:ascii="Times New Roman" w:hAnsi="Times New Roman" w:cs="Times New Roman"/>
          <w:color w:val="000000" w:themeColor="text1"/>
          <w:sz w:val="28"/>
          <w:szCs w:val="28"/>
        </w:rPr>
        <w:t>уван</w:t>
      </w:r>
      <w:r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color w:val="000000" w:themeColor="text1"/>
          <w:kern w:val="3"/>
          <w:sz w:val="28"/>
          <w:szCs w:val="28"/>
        </w:rPr>
        <w:t xml:space="preserve"> води був у тканинах коренів мікроклонів винограду контрольних та третього–шостого варіантів (</w:t>
      </w:r>
      <w:r w:rsidRPr="00CC7883">
        <w:rPr>
          <w:rFonts w:ascii="Times New Roman" w:eastAsia="NSimSun" w:hAnsi="Times New Roman" w:cs="Times New Roman"/>
          <w:color w:val="000000" w:themeColor="text1"/>
          <w:kern w:val="3"/>
          <w:sz w:val="28"/>
          <w:szCs w:val="28"/>
          <w:lang w:eastAsia="zh-CN" w:bidi="hi-IN"/>
        </w:rPr>
        <w:t>рис.</w:t>
      </w:r>
      <w:r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 xml:space="preserve">5.10). </w:t>
      </w:r>
    </w:p>
    <w:p w:rsidR="00223829" w:rsidRDefault="00223829" w:rsidP="00223829">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Для мікроклональних рослин цих варіантів вміст </w:t>
      </w:r>
      <w:r w:rsidRPr="00CC7883">
        <w:rPr>
          <w:rFonts w:ascii="Times New Roman" w:hAnsi="Times New Roman" w:cs="Times New Roman"/>
          <w:color w:val="000000" w:themeColor="text1"/>
          <w:sz w:val="28"/>
          <w:szCs w:val="28"/>
        </w:rPr>
        <w:t>легко</w:t>
      </w:r>
      <w:r>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трим</w:t>
      </w:r>
      <w:r>
        <w:rPr>
          <w:rFonts w:ascii="Times New Roman" w:hAnsi="Times New Roman" w:cs="Times New Roman"/>
          <w:color w:val="000000" w:themeColor="text1"/>
          <w:sz w:val="28"/>
          <w:szCs w:val="28"/>
        </w:rPr>
        <w:t>уван</w:t>
      </w:r>
      <w:r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color w:val="000000" w:themeColor="text1"/>
          <w:kern w:val="3"/>
          <w:sz w:val="28"/>
          <w:szCs w:val="28"/>
        </w:rPr>
        <w:t xml:space="preserve"> води дорівнював 44,0–45,4 % (контроль 1 та 2), 45,0–47,3 % (Радіфарм) та 43,5–45,6 % (Clonex gel) для сорту «Добриня», 45,8–46,5 %, 45,5–47,8 % і 43,6–45,8 % для сорту «Гарант», 44,1–45,0 %, 45,9–48,4 % і 42,6–46,5 % – для сорту «Ярило», 44,4–46,6 %, 44,7–47,5 % і 42,3–45,7 % – для сорту «Загрей».</w:t>
      </w:r>
    </w:p>
    <w:p w:rsidR="00223829" w:rsidRDefault="00223829" w:rsidP="00223829">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У коренях мікроклонів, що культивували на структурованих поживних середовищах</w:t>
      </w:r>
      <w:r>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цей показник зменшувався відносно вищевказаних варіантів на</w:t>
      </w:r>
      <w:r>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7,3–9,1 % (порівняно з контролями) та на 7,9–8,8 % (порівняно з третім – шостим варіантами). Вміст </w:t>
      </w:r>
      <w:r w:rsidRPr="00CC7883">
        <w:rPr>
          <w:rFonts w:ascii="Times New Roman" w:hAnsi="Times New Roman" w:cs="Times New Roman"/>
          <w:color w:val="000000" w:themeColor="text1"/>
          <w:sz w:val="28"/>
          <w:szCs w:val="28"/>
        </w:rPr>
        <w:t>легко</w:t>
      </w:r>
      <w:r>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трим</w:t>
      </w:r>
      <w:r>
        <w:rPr>
          <w:rFonts w:ascii="Times New Roman" w:hAnsi="Times New Roman" w:cs="Times New Roman"/>
          <w:color w:val="000000" w:themeColor="text1"/>
          <w:sz w:val="28"/>
          <w:szCs w:val="28"/>
        </w:rPr>
        <w:t>уван</w:t>
      </w:r>
      <w:r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color w:val="000000" w:themeColor="text1"/>
          <w:kern w:val="3"/>
          <w:sz w:val="28"/>
          <w:szCs w:val="28"/>
        </w:rPr>
        <w:t xml:space="preserve"> води у тканинах коренів цих варіантів дорівнював </w:t>
      </w:r>
      <w:r>
        <w:rPr>
          <w:rFonts w:ascii="Times New Roman" w:eastAsia="NSimSun" w:hAnsi="Times New Roman" w:cs="Times New Roman"/>
          <w:color w:val="000000" w:themeColor="text1"/>
          <w:kern w:val="3"/>
          <w:sz w:val="28"/>
          <w:szCs w:val="28"/>
        </w:rPr>
        <w:t>у</w:t>
      </w:r>
      <w:r w:rsidRPr="00CC7883">
        <w:rPr>
          <w:rFonts w:ascii="Times New Roman" w:eastAsia="NSimSun" w:hAnsi="Times New Roman" w:cs="Times New Roman"/>
          <w:color w:val="000000" w:themeColor="text1"/>
          <w:kern w:val="3"/>
          <w:sz w:val="28"/>
          <w:szCs w:val="28"/>
        </w:rPr>
        <w:t xml:space="preserve"> середньому 32,3–41,9 %.</w:t>
      </w:r>
    </w:p>
    <w:p w:rsidR="00223829" w:rsidRPr="00223829" w:rsidRDefault="00223829" w:rsidP="00223829">
      <w:pPr>
        <w:widowControl w:val="0"/>
        <w:autoSpaceDN w:val="0"/>
        <w:spacing w:after="0" w:line="360" w:lineRule="auto"/>
        <w:ind w:firstLine="709"/>
        <w:jc w:val="both"/>
        <w:rPr>
          <w:rFonts w:ascii="Times New Roman" w:eastAsia="NSimSun" w:hAnsi="Times New Roman" w:cs="Times New Roman"/>
          <w:color w:val="000000" w:themeColor="text1"/>
          <w:kern w:val="3"/>
        </w:rPr>
      </w:pPr>
      <w:r w:rsidRPr="00223829">
        <w:rPr>
          <w:rFonts w:ascii="Times New Roman" w:eastAsia="NSimSun" w:hAnsi="Times New Roman" w:cs="Times New Roman"/>
          <w:i/>
          <w:iCs/>
          <w:color w:val="000000" w:themeColor="text1"/>
          <w:sz w:val="28"/>
          <w:szCs w:val="28"/>
          <w:u w:val="single"/>
          <w:lang w:eastAsia="zh-CN" w:bidi="hi-IN"/>
        </w:rPr>
        <w:t>Вміст сухих речовин</w:t>
      </w:r>
      <w:r w:rsidRPr="00223829">
        <w:rPr>
          <w:rFonts w:ascii="Times New Roman" w:eastAsia="NSimSun" w:hAnsi="Times New Roman" w:cs="Times New Roman"/>
          <w:i/>
          <w:iCs/>
          <w:color w:val="000000" w:themeColor="text1"/>
          <w:sz w:val="28"/>
          <w:szCs w:val="28"/>
          <w:lang w:eastAsia="zh-CN" w:bidi="hi-IN"/>
        </w:rPr>
        <w:t xml:space="preserve">. </w:t>
      </w:r>
      <w:r w:rsidRPr="00223829">
        <w:rPr>
          <w:rFonts w:ascii="Times New Roman" w:hAnsi="Times New Roman" w:cs="Times New Roman"/>
          <w:color w:val="000000" w:themeColor="text1"/>
          <w:sz w:val="28"/>
          <w:szCs w:val="28"/>
        </w:rPr>
        <w:t xml:space="preserve">Сухі речовини у тканинах коренів мікроклонів винограду накопичувались у різній кількості залежно від типу поживного середовища. У мікроклонів третього–шостого варіантів (порівняно з контролем) вміст сухих речовин у тканинах коренів </w:t>
      </w:r>
      <w:r w:rsidRPr="00223829">
        <w:rPr>
          <w:rStyle w:val="af2"/>
          <w:rFonts w:ascii="Times New Roman" w:eastAsiaTheme="majorEastAsia" w:hAnsi="Times New Roman" w:cs="Times New Roman"/>
          <w:b w:val="0"/>
          <w:color w:val="000000" w:themeColor="text1"/>
          <w:sz w:val="28"/>
        </w:rPr>
        <w:t>зменшувався на</w:t>
      </w:r>
      <w:r w:rsidRPr="00223829">
        <w:rPr>
          <w:rFonts w:ascii="Times New Roman" w:hAnsi="Times New Roman" w:cs="Times New Roman"/>
          <w:color w:val="000000" w:themeColor="text1"/>
          <w:sz w:val="28"/>
          <w:szCs w:val="28"/>
        </w:rPr>
        <w:t xml:space="preserve"> 1,5–2,2 % і 0,3–2,0 % для сортів «Добриня» та «Гарант» відповідно.</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lastRenderedPageBreak/>
        <w:drawing>
          <wp:inline distT="0" distB="0" distL="0" distR="0">
            <wp:extent cx="5418199" cy="1733797"/>
            <wp:effectExtent l="19050" t="0" r="11051" b="0"/>
            <wp:docPr id="1555197717"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5"/>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«Добриня»</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drawing>
          <wp:inline distT="0" distB="0" distL="0" distR="0">
            <wp:extent cx="5439410" cy="1543792"/>
            <wp:effectExtent l="19050" t="0" r="27940" b="0"/>
            <wp:docPr id="1406587012"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6"/>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«Гарант»</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drawing>
          <wp:inline distT="0" distB="0" distL="0" distR="0">
            <wp:extent cx="5450774" cy="1650670"/>
            <wp:effectExtent l="19050" t="0" r="16576" b="6680"/>
            <wp:docPr id="1515553871"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7"/>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«Ярило»</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drawing>
          <wp:inline distT="0" distB="0" distL="0" distR="0">
            <wp:extent cx="5439410" cy="1662546"/>
            <wp:effectExtent l="19050" t="0" r="27940" b="0"/>
            <wp:docPr id="348110164"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8"/>
              </a:graphicData>
            </a:graphic>
          </wp:inline>
        </w:drawing>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eastAsia="NSimSun" w:hAnsi="Times New Roman" w:cs="Times New Roman"/>
          <w:color w:val="000000" w:themeColor="text1"/>
          <w:kern w:val="3"/>
          <w:sz w:val="28"/>
          <w:szCs w:val="28"/>
        </w:rPr>
        <w:t>«Загрей»</w:t>
      </w:r>
    </w:p>
    <w:p w:rsidR="00223829"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 xml:space="preserve">Рис. 5.9. Загальний вміст води і сухих речовин у тканинах коренів мікроклонів винограду </w:t>
      </w:r>
      <w:r w:rsidRPr="00CC7883">
        <w:rPr>
          <w:rFonts w:ascii="Times New Roman" w:eastAsia="NSimSun" w:hAnsi="Times New Roman" w:cs="Times New Roman"/>
          <w:bCs/>
          <w:color w:val="000000" w:themeColor="text1"/>
          <w:kern w:val="3"/>
          <w:sz w:val="28"/>
          <w:szCs w:val="28"/>
        </w:rPr>
        <w:t>на різних типах поживних середовищ</w:t>
      </w:r>
      <w:r w:rsidRPr="00CC7883">
        <w:rPr>
          <w:rFonts w:ascii="Times New Roman" w:eastAsia="NSimSun" w:hAnsi="Times New Roman" w:cs="Times New Roman"/>
          <w:color w:val="000000" w:themeColor="text1"/>
          <w:kern w:val="3"/>
          <w:sz w:val="28"/>
          <w:szCs w:val="28"/>
        </w:rPr>
        <w:t xml:space="preserve"> </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t>(середнє за 2019–2022 рр.)</w:t>
      </w:r>
    </w:p>
    <w:p w:rsidR="00062161" w:rsidRPr="00CC7883" w:rsidRDefault="00062161"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rPr>
      </w:pPr>
      <w:r w:rsidRPr="00CC7883">
        <w:rPr>
          <w:rFonts w:ascii="Times New Roman" w:hAnsi="Times New Roman" w:cs="Times New Roman"/>
          <w:noProof/>
          <w:color w:val="000000" w:themeColor="text1"/>
          <w:lang w:val="ru-RU" w:eastAsia="ru-RU"/>
        </w:rPr>
        <w:drawing>
          <wp:inline distT="0" distB="0" distL="0" distR="0">
            <wp:extent cx="5915025" cy="2843530"/>
            <wp:effectExtent l="19050" t="0" r="9525" b="0"/>
            <wp:docPr id="24" name="Диаграмма 2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A9487016-547E-EB39-95BA-A6B8EF85D52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9"/>
              </a:graphicData>
            </a:graphic>
          </wp:inline>
        </w:drawing>
      </w:r>
    </w:p>
    <w:p w:rsidR="005A3F7D" w:rsidRPr="00CC7883" w:rsidRDefault="005A3F7D" w:rsidP="00047411">
      <w:pPr>
        <w:widowControl w:val="0"/>
        <w:spacing w:after="0" w:line="360" w:lineRule="auto"/>
        <w:jc w:val="center"/>
        <w:rPr>
          <w:rFonts w:ascii="Times New Roman" w:eastAsia="NSimSun" w:hAnsi="Times New Roman" w:cs="Times New Roman"/>
          <w:color w:val="000000" w:themeColor="text1"/>
          <w:sz w:val="28"/>
          <w:szCs w:val="28"/>
          <w:lang w:eastAsia="zh-CN" w:bidi="hi-IN"/>
        </w:rPr>
      </w:pPr>
      <w:bookmarkStart w:id="82" w:name="_Hlk164512376"/>
      <w:r w:rsidRPr="00CC7883">
        <w:rPr>
          <w:rFonts w:ascii="Times New Roman" w:eastAsia="NSimSun" w:hAnsi="Times New Roman" w:cs="Times New Roman"/>
          <w:color w:val="000000" w:themeColor="text1"/>
          <w:sz w:val="28"/>
          <w:szCs w:val="28"/>
          <w:lang w:eastAsia="zh-CN" w:bidi="hi-IN"/>
        </w:rPr>
        <w:t xml:space="preserve">Рис. 5.10. 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color w:val="000000" w:themeColor="text1"/>
          <w:sz w:val="28"/>
          <w:szCs w:val="28"/>
          <w:lang w:eastAsia="zh-CN" w:bidi="hi-IN"/>
        </w:rPr>
        <w:t xml:space="preserve"> води у тканинах коренів мікроклонів винограду на різних типах поживних середовищ (середнє за 2019–</w:t>
      </w:r>
      <w:r w:rsidRPr="00CC7883">
        <w:rPr>
          <w:rFonts w:ascii="Times New Roman" w:eastAsia="NSimSun" w:hAnsi="Times New Roman" w:cs="Times New Roman"/>
          <w:color w:val="000000" w:themeColor="text1"/>
          <w:kern w:val="3"/>
          <w:sz w:val="28"/>
          <w:szCs w:val="28"/>
        </w:rPr>
        <w:t>2022</w:t>
      </w:r>
      <w:r w:rsidRPr="00CC7883">
        <w:rPr>
          <w:rFonts w:ascii="Times New Roman" w:eastAsia="NSimSun" w:hAnsi="Times New Roman" w:cs="Times New Roman"/>
          <w:color w:val="000000" w:themeColor="text1"/>
          <w:sz w:val="28"/>
          <w:szCs w:val="28"/>
          <w:lang w:eastAsia="zh-CN" w:bidi="hi-IN"/>
        </w:rPr>
        <w:t xml:space="preserve"> рр.)</w:t>
      </w:r>
      <w:bookmarkEnd w:id="82"/>
    </w:p>
    <w:p w:rsidR="005A3F7D" w:rsidRPr="00CC7883" w:rsidRDefault="005A3F7D" w:rsidP="00047411">
      <w:pPr>
        <w:widowControl w:val="0"/>
        <w:autoSpaceDN w:val="0"/>
        <w:spacing w:after="0" w:line="360" w:lineRule="auto"/>
        <w:jc w:val="both"/>
        <w:rPr>
          <w:rFonts w:ascii="Times New Roman" w:eastAsia="NSimSun" w:hAnsi="Times New Roman" w:cs="Times New Roman"/>
          <w:color w:val="000000" w:themeColor="text1"/>
          <w:kern w:val="3"/>
          <w:sz w:val="28"/>
          <w:szCs w:val="28"/>
        </w:rPr>
      </w:pPr>
    </w:p>
    <w:p w:rsidR="005A3F7D" w:rsidRPr="00CC7883" w:rsidRDefault="005A3F7D" w:rsidP="00047411">
      <w:pPr>
        <w:pStyle w:val="ae"/>
        <w:widowControl w:val="0"/>
        <w:spacing w:before="0" w:beforeAutospacing="0" w:after="0" w:afterAutospacing="0" w:line="360" w:lineRule="auto"/>
        <w:ind w:firstLine="708"/>
        <w:jc w:val="both"/>
        <w:rPr>
          <w:color w:val="000000" w:themeColor="text1"/>
          <w:sz w:val="28"/>
          <w:szCs w:val="28"/>
        </w:rPr>
      </w:pPr>
      <w:r w:rsidRPr="00CC7883">
        <w:rPr>
          <w:color w:val="000000" w:themeColor="text1"/>
          <w:sz w:val="28"/>
          <w:szCs w:val="28"/>
        </w:rPr>
        <w:t xml:space="preserve">У мікроклонів сьомого–дванадцятого варіантів він навпаки </w:t>
      </w:r>
      <w:r w:rsidRPr="00CC7883">
        <w:rPr>
          <w:rStyle w:val="af2"/>
          <w:rFonts w:eastAsiaTheme="majorEastAsia"/>
          <w:b w:val="0"/>
          <w:color w:val="000000" w:themeColor="text1"/>
          <w:sz w:val="28"/>
        </w:rPr>
        <w:t>збільшувався</w:t>
      </w:r>
      <w:r w:rsidRPr="00CC7883">
        <w:rPr>
          <w:color w:val="000000" w:themeColor="text1"/>
          <w:sz w:val="28"/>
          <w:szCs w:val="28"/>
        </w:rPr>
        <w:t xml:space="preserve"> (порівняно з контролем) на 2,0–3,5 % і 0,4–2,0 % для сортів «Добриня» та «Гарант», а для сортів «Ярило» та «Загрей» – на 3,6–4,5 % і 2,2–3,9 %. У контрольних варіантах він дорівнював 4,8–5,5 % і 4,0–4,2 %, у третіх–шостих варіантах – 2,6–3,6 % і 2,1–3,9 %, а у сьомих–дванадцятих – 6,8–8,9 % і 4,5–6,2 %.</w:t>
      </w:r>
    </w:p>
    <w:p w:rsidR="005A3F7D" w:rsidRPr="00CC7883" w:rsidRDefault="005A3F7D" w:rsidP="00047411">
      <w:pPr>
        <w:pStyle w:val="ae"/>
        <w:widowControl w:val="0"/>
        <w:spacing w:before="0" w:beforeAutospacing="0" w:after="0" w:afterAutospacing="0" w:line="360" w:lineRule="auto"/>
        <w:ind w:firstLine="709"/>
        <w:jc w:val="both"/>
        <w:rPr>
          <w:rFonts w:eastAsia="NSimSun"/>
          <w:color w:val="000000" w:themeColor="text1"/>
          <w:sz w:val="28"/>
          <w:szCs w:val="28"/>
          <w:lang w:eastAsia="zh-CN" w:bidi="hi-IN"/>
        </w:rPr>
      </w:pPr>
      <w:r w:rsidRPr="00CC7883">
        <w:rPr>
          <w:color w:val="000000" w:themeColor="text1"/>
          <w:sz w:val="28"/>
          <w:szCs w:val="28"/>
        </w:rPr>
        <w:t xml:space="preserve">Рослини </w:t>
      </w:r>
      <w:r w:rsidRPr="00CC7883">
        <w:rPr>
          <w:i/>
          <w:color w:val="000000" w:themeColor="text1"/>
          <w:sz w:val="28"/>
          <w:szCs w:val="28"/>
        </w:rPr>
        <w:t xml:space="preserve">in vitro </w:t>
      </w:r>
      <w:r w:rsidRPr="00CC7883">
        <w:rPr>
          <w:color w:val="000000" w:themeColor="text1"/>
          <w:sz w:val="28"/>
          <w:szCs w:val="28"/>
        </w:rPr>
        <w:t xml:space="preserve">технічних сортів, які культивували на стандартному поживному середовищі MS, накопичували 4,6–5,0 % і 6,0–6,4 % сухих речовин у тканинах коренів («Ярило» і «Загрей»), на поживних середовищах із коренеутворюючими препаратами – 4,2–6,5 % і 4,2–7,6 %, а на середовищах із підвищеним вмістом мінеральних компонентів – 8,3–9,4 % і 8,2–10,0 % </w:t>
      </w:r>
      <w:r w:rsidRPr="00CC7883">
        <w:rPr>
          <w:rFonts w:eastAsia="NSimSun"/>
          <w:color w:val="000000" w:themeColor="text1"/>
          <w:sz w:val="28"/>
          <w:szCs w:val="28"/>
          <w:lang w:eastAsia="zh-CN" w:bidi="hi-IN"/>
        </w:rPr>
        <w:t>(</w:t>
      </w:r>
      <w:r w:rsidR="00356530" w:rsidRPr="00CC7883">
        <w:rPr>
          <w:rFonts w:eastAsia="NSimSun"/>
          <w:color w:val="000000" w:themeColor="text1"/>
          <w:kern w:val="3"/>
          <w:sz w:val="28"/>
          <w:szCs w:val="28"/>
          <w:lang w:eastAsia="zh-CN" w:bidi="hi-IN"/>
        </w:rPr>
        <w:t>рис.</w:t>
      </w:r>
      <w:r w:rsidR="00356530" w:rsidRPr="00CC7883">
        <w:rPr>
          <w:rFonts w:eastAsia="NSimSun"/>
          <w:bCs/>
          <w:color w:val="000000" w:themeColor="text1"/>
          <w:kern w:val="3"/>
          <w:sz w:val="28"/>
          <w:szCs w:val="28"/>
          <w:lang w:eastAsia="zh-CN" w:bidi="hi-IN"/>
        </w:rPr>
        <w:t xml:space="preserve"> </w:t>
      </w:r>
      <w:r w:rsidRPr="00CC7883">
        <w:rPr>
          <w:rFonts w:eastAsia="NSimSun"/>
          <w:color w:val="000000" w:themeColor="text1"/>
          <w:sz w:val="28"/>
          <w:szCs w:val="28"/>
          <w:lang w:eastAsia="zh-CN" w:bidi="hi-IN"/>
        </w:rPr>
        <w:t>5.9).</w:t>
      </w:r>
    </w:p>
    <w:p w:rsidR="005A3F7D" w:rsidRPr="00CC7883" w:rsidRDefault="005A3F7D" w:rsidP="00326E17">
      <w:pPr>
        <w:widowControl w:val="0"/>
        <w:autoSpaceDN w:val="0"/>
        <w:spacing w:after="0" w:line="360" w:lineRule="auto"/>
        <w:ind w:firstLine="709"/>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bCs/>
          <w:i/>
          <w:iCs/>
          <w:color w:val="000000" w:themeColor="text1"/>
          <w:kern w:val="3"/>
          <w:sz w:val="28"/>
          <w:szCs w:val="28"/>
        </w:rPr>
        <w:t>Поживні субстрати</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i/>
          <w:iCs/>
          <w:color w:val="000000" w:themeColor="text1"/>
          <w:kern w:val="3"/>
          <w:sz w:val="28"/>
          <w:szCs w:val="28"/>
          <w:u w:val="single"/>
        </w:rPr>
        <w:t>Загальне обводнення</w:t>
      </w:r>
      <w:r w:rsidRPr="00CC7883">
        <w:rPr>
          <w:rFonts w:ascii="Times New Roman" w:eastAsia="NSimSun" w:hAnsi="Times New Roman" w:cs="Times New Roman"/>
          <w:i/>
          <w:iCs/>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У ході аналізу показника загального обводнення коренів мікроклонів винограду сортів «Добриня», «Гарант», «Ярило» та «Загрей», які культивували на мінеральних субстратах та агаризованих поживних середовищах</w:t>
      </w:r>
      <w:r w:rsidR="00395F54">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було виявлено істотну відмінність. </w:t>
      </w:r>
      <w:r w:rsidRPr="00CC7883">
        <w:rPr>
          <w:rFonts w:ascii="Times New Roman" w:eastAsia="NSimSun" w:hAnsi="Times New Roman" w:cs="Times New Roman"/>
          <w:color w:val="000000" w:themeColor="text1"/>
          <w:kern w:val="3"/>
          <w:sz w:val="28"/>
          <w:szCs w:val="28"/>
        </w:rPr>
        <w:lastRenderedPageBreak/>
        <w:t>У мікроклонів, які культивували на поживних середовищах MS (перший, другий варіанти)</w:t>
      </w:r>
      <w:r w:rsidR="00395F54">
        <w:rPr>
          <w:rFonts w:ascii="Times New Roman" w:eastAsia="NSimSun" w:hAnsi="Times New Roman" w:cs="Times New Roman"/>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 показники загального обводнення тканин коренів були найвищими: у підщепних сортів вони дорівнювали 96,3–97,7</w:t>
      </w:r>
      <w:r w:rsidR="00CE15EB">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у технічних сортів – 91,5–94,3</w:t>
      </w:r>
      <w:r w:rsidR="00CE15EB">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5.11).</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drawing>
          <wp:inline distT="0" distB="0" distL="0" distR="0">
            <wp:extent cx="5134461" cy="1389413"/>
            <wp:effectExtent l="19050" t="0" r="28089" b="1237"/>
            <wp:docPr id="25" name="Диаграмма 2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33D58F89-C49C-FE1B-E8D4-CB0C65ED3E8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0"/>
              </a:graphicData>
            </a:graphic>
          </wp:inline>
        </w:drawing>
      </w:r>
    </w:p>
    <w:p w:rsidR="005A3F7D" w:rsidRPr="00CE79D9"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E79D9">
        <w:rPr>
          <w:rFonts w:ascii="Times New Roman" w:eastAsia="NSimSun" w:hAnsi="Times New Roman" w:cs="Times New Roman"/>
          <w:color w:val="000000" w:themeColor="text1"/>
          <w:kern w:val="3"/>
          <w:sz w:val="28"/>
          <w:szCs w:val="28"/>
        </w:rPr>
        <w:t>«Добриня»</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drawing>
          <wp:inline distT="0" distB="0" distL="0" distR="0">
            <wp:extent cx="5167102" cy="1306286"/>
            <wp:effectExtent l="19050" t="0" r="14498" b="8164"/>
            <wp:docPr id="26" name="Диаграмма 2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D9E5F74D-0F84-8C19-7950-AEA247C7787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1"/>
              </a:graphicData>
            </a:graphic>
          </wp:inline>
        </w:drawing>
      </w:r>
    </w:p>
    <w:p w:rsidR="005A3F7D" w:rsidRPr="00CE79D9"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E79D9">
        <w:rPr>
          <w:rFonts w:ascii="Times New Roman" w:eastAsia="NSimSun" w:hAnsi="Times New Roman" w:cs="Times New Roman"/>
          <w:color w:val="000000" w:themeColor="text1"/>
          <w:kern w:val="3"/>
          <w:sz w:val="28"/>
          <w:szCs w:val="28"/>
        </w:rPr>
        <w:t>«Гарант»</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drawing>
          <wp:inline distT="0" distB="0" distL="0" distR="0">
            <wp:extent cx="5213267" cy="1389413"/>
            <wp:effectExtent l="19050" t="0" r="25483" b="1237"/>
            <wp:docPr id="27" name="Диаграмма 2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36D2C2F0-1277-9D1C-1255-F10C8D016EC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2"/>
              </a:graphicData>
            </a:graphic>
          </wp:inline>
        </w:drawing>
      </w:r>
    </w:p>
    <w:p w:rsidR="005A3F7D" w:rsidRPr="00CE79D9"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E79D9">
        <w:rPr>
          <w:rFonts w:ascii="Times New Roman" w:eastAsia="NSimSun" w:hAnsi="Times New Roman" w:cs="Times New Roman"/>
          <w:color w:val="000000" w:themeColor="text1"/>
          <w:kern w:val="3"/>
          <w:sz w:val="28"/>
          <w:szCs w:val="28"/>
        </w:rPr>
        <w:t>«Ярило»</w:t>
      </w:r>
    </w:p>
    <w:p w:rsidR="005A3F7D" w:rsidRPr="00CC7883"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C7883">
        <w:rPr>
          <w:rFonts w:ascii="Times New Roman" w:hAnsi="Times New Roman" w:cs="Times New Roman"/>
          <w:noProof/>
          <w:color w:val="000000" w:themeColor="text1"/>
          <w:lang w:val="ru-RU" w:eastAsia="ru-RU"/>
        </w:rPr>
        <w:drawing>
          <wp:inline distT="0" distB="0" distL="0" distR="0">
            <wp:extent cx="5189516" cy="1401288"/>
            <wp:effectExtent l="19050" t="0" r="11134" b="8412"/>
            <wp:docPr id="28" name="Диаграмма 2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528E401B-5FB9-1573-6464-58C501131FF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3"/>
              </a:graphicData>
            </a:graphic>
          </wp:inline>
        </w:drawing>
      </w:r>
    </w:p>
    <w:p w:rsidR="005A3F7D" w:rsidRPr="00CE79D9" w:rsidRDefault="005A3F7D" w:rsidP="00047411">
      <w:pPr>
        <w:widowControl w:val="0"/>
        <w:autoSpaceDN w:val="0"/>
        <w:spacing w:after="0" w:line="360" w:lineRule="auto"/>
        <w:jc w:val="center"/>
        <w:rPr>
          <w:rFonts w:ascii="Times New Roman" w:eastAsia="NSimSun" w:hAnsi="Times New Roman" w:cs="Times New Roman"/>
          <w:color w:val="000000" w:themeColor="text1"/>
          <w:kern w:val="3"/>
          <w:sz w:val="28"/>
          <w:szCs w:val="28"/>
        </w:rPr>
      </w:pPr>
      <w:r w:rsidRPr="00CE79D9">
        <w:rPr>
          <w:rFonts w:ascii="Times New Roman" w:eastAsia="NSimSun" w:hAnsi="Times New Roman" w:cs="Times New Roman"/>
          <w:color w:val="000000" w:themeColor="text1"/>
          <w:kern w:val="3"/>
          <w:sz w:val="28"/>
          <w:szCs w:val="28"/>
        </w:rPr>
        <w:t>«Загрей»</w:t>
      </w:r>
    </w:p>
    <w:p w:rsidR="005A3F7D" w:rsidRPr="00CE79D9" w:rsidRDefault="005A3F7D" w:rsidP="00CE79D9">
      <w:pPr>
        <w:widowControl w:val="0"/>
        <w:autoSpaceDN w:val="0"/>
        <w:spacing w:after="0" w:line="360" w:lineRule="auto"/>
        <w:jc w:val="both"/>
        <w:rPr>
          <w:rFonts w:ascii="Times New Roman" w:eastAsia="NSimSun" w:hAnsi="Times New Roman" w:cs="Times New Roman"/>
          <w:color w:val="000000" w:themeColor="text1"/>
          <w:spacing w:val="-4"/>
          <w:kern w:val="3"/>
          <w:sz w:val="28"/>
          <w:szCs w:val="28"/>
        </w:rPr>
      </w:pPr>
      <w:r w:rsidRPr="00CE79D9">
        <w:rPr>
          <w:rFonts w:ascii="Times New Roman" w:eastAsia="NSimSun" w:hAnsi="Times New Roman" w:cs="Times New Roman"/>
          <w:color w:val="000000" w:themeColor="text1"/>
          <w:spacing w:val="-4"/>
          <w:kern w:val="3"/>
          <w:sz w:val="28"/>
          <w:szCs w:val="28"/>
        </w:rPr>
        <w:t xml:space="preserve">Рис. 5.11. Загальний вміст води і сухих речовин у тканинах коренів мікроклонів винограду </w:t>
      </w:r>
      <w:r w:rsidRPr="00CE79D9">
        <w:rPr>
          <w:rFonts w:ascii="Times New Roman" w:eastAsia="NSimSun" w:hAnsi="Times New Roman" w:cs="Times New Roman"/>
          <w:bCs/>
          <w:color w:val="000000" w:themeColor="text1"/>
          <w:spacing w:val="-4"/>
          <w:kern w:val="3"/>
          <w:sz w:val="28"/>
          <w:szCs w:val="28"/>
        </w:rPr>
        <w:t>на різних типах мінеральних субстратів</w:t>
      </w:r>
      <w:r w:rsidRPr="00CE79D9">
        <w:rPr>
          <w:rFonts w:ascii="Times New Roman" w:eastAsia="NSimSun" w:hAnsi="Times New Roman" w:cs="Times New Roman"/>
          <w:color w:val="000000" w:themeColor="text1"/>
          <w:spacing w:val="-4"/>
          <w:kern w:val="3"/>
          <w:sz w:val="28"/>
          <w:szCs w:val="28"/>
        </w:rPr>
        <w:t xml:space="preserve"> (середнє за 2019–2022 рр.)</w:t>
      </w:r>
    </w:p>
    <w:p w:rsidR="00B77FAA" w:rsidRPr="00CC7883" w:rsidRDefault="00B77FAA" w:rsidP="00B77FAA">
      <w:pPr>
        <w:widowControl w:val="0"/>
        <w:autoSpaceDN w:val="0"/>
        <w:spacing w:after="0" w:line="360" w:lineRule="auto"/>
        <w:ind w:firstLine="708"/>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color w:val="000000" w:themeColor="text1"/>
          <w:kern w:val="3"/>
          <w:sz w:val="28"/>
          <w:szCs w:val="28"/>
        </w:rPr>
        <w:lastRenderedPageBreak/>
        <w:t xml:space="preserve">Після культивування мікроклонів винограду підщепних сортів на мінеральному субстраті агроперліт показник загального обводнення </w:t>
      </w:r>
      <w:r>
        <w:rPr>
          <w:rFonts w:ascii="Times New Roman" w:eastAsia="NSimSun" w:hAnsi="Times New Roman" w:cs="Times New Roman"/>
          <w:color w:val="000000" w:themeColor="text1"/>
          <w:kern w:val="3"/>
          <w:sz w:val="28"/>
          <w:szCs w:val="28"/>
        </w:rPr>
        <w:t xml:space="preserve">у </w:t>
      </w:r>
      <w:r w:rsidRPr="00CC7883">
        <w:rPr>
          <w:rFonts w:ascii="Times New Roman" w:eastAsia="NSimSun" w:hAnsi="Times New Roman" w:cs="Times New Roman"/>
          <w:color w:val="000000" w:themeColor="text1"/>
          <w:kern w:val="3"/>
          <w:sz w:val="28"/>
          <w:szCs w:val="28"/>
        </w:rPr>
        <w:t xml:space="preserve">тканинах коренів дорівнював 92,7–93,8 %, після культивування мікроклонів на мінеральному субстраті вермикуліт та суміші агроперліту і вермикуліту він дорівнював 89,4–92,2 % та 88,0–90,0 % відповідно. </w:t>
      </w:r>
      <w:r>
        <w:rPr>
          <w:rFonts w:ascii="Times New Roman" w:eastAsia="NSimSun" w:hAnsi="Times New Roman" w:cs="Times New Roman"/>
          <w:color w:val="000000" w:themeColor="text1"/>
          <w:kern w:val="3"/>
          <w:sz w:val="28"/>
          <w:szCs w:val="28"/>
        </w:rPr>
        <w:t>Порівняно</w:t>
      </w:r>
      <w:r w:rsidRPr="00CC7883">
        <w:rPr>
          <w:rFonts w:ascii="Times New Roman" w:eastAsia="NSimSun" w:hAnsi="Times New Roman" w:cs="Times New Roman"/>
          <w:color w:val="000000" w:themeColor="text1"/>
          <w:kern w:val="3"/>
          <w:sz w:val="28"/>
          <w:szCs w:val="28"/>
        </w:rPr>
        <w:t xml:space="preserve"> з контролем він зменшувався у середньому на 2,1–9,1 %.</w:t>
      </w:r>
    </w:p>
    <w:p w:rsidR="00F33DA1" w:rsidRPr="00CC7883" w:rsidRDefault="00F33DA1" w:rsidP="00047411">
      <w:pPr>
        <w:widowControl w:val="0"/>
        <w:autoSpaceDN w:val="0"/>
        <w:spacing w:after="0" w:line="360" w:lineRule="auto"/>
        <w:ind w:firstLine="708"/>
        <w:jc w:val="both"/>
        <w:rPr>
          <w:rFonts w:ascii="Times New Roman" w:eastAsia="NSimSun" w:hAnsi="Times New Roman" w:cs="Times New Roman"/>
          <w:color w:val="000000" w:themeColor="text1"/>
          <w:kern w:val="3"/>
          <w:sz w:val="28"/>
          <w:szCs w:val="28"/>
        </w:rPr>
      </w:pPr>
      <w:r w:rsidRPr="00C87671">
        <w:rPr>
          <w:rFonts w:ascii="Times New Roman" w:eastAsia="NSimSun" w:hAnsi="Times New Roman" w:cs="Times New Roman"/>
          <w:i/>
          <w:iCs/>
          <w:color w:val="000000" w:themeColor="text1"/>
          <w:kern w:val="3"/>
          <w:sz w:val="28"/>
          <w:szCs w:val="28"/>
          <w:u w:val="single"/>
        </w:rPr>
        <w:t xml:space="preserve">Вміст </w:t>
      </w:r>
      <w:r w:rsidR="00C87671" w:rsidRPr="00C87671">
        <w:rPr>
          <w:rFonts w:ascii="Times New Roman" w:hAnsi="Times New Roman" w:cs="Times New Roman"/>
          <w:i/>
          <w:iCs/>
          <w:color w:val="000000" w:themeColor="text1"/>
          <w:sz w:val="28"/>
          <w:szCs w:val="28"/>
          <w:u w:val="single"/>
        </w:rPr>
        <w:t>легкоутримуваної</w:t>
      </w:r>
      <w:r w:rsidRPr="00C87671">
        <w:rPr>
          <w:rFonts w:ascii="Times New Roman" w:eastAsia="NSimSun" w:hAnsi="Times New Roman" w:cs="Times New Roman"/>
          <w:i/>
          <w:iCs/>
          <w:color w:val="000000" w:themeColor="text1"/>
          <w:kern w:val="3"/>
          <w:sz w:val="28"/>
          <w:szCs w:val="28"/>
          <w:u w:val="single"/>
        </w:rPr>
        <w:t xml:space="preserve"> води</w:t>
      </w:r>
      <w:r w:rsidRPr="00CC7883">
        <w:rPr>
          <w:rFonts w:ascii="Times New Roman" w:eastAsia="NSimSun" w:hAnsi="Times New Roman" w:cs="Times New Roman"/>
          <w:i/>
          <w:iCs/>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Аналіз вмісту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color w:val="000000" w:themeColor="text1"/>
          <w:kern w:val="3"/>
          <w:sz w:val="28"/>
          <w:szCs w:val="28"/>
        </w:rPr>
        <w:t xml:space="preserve"> води в тканинах коренів мікроклональних рослин підщепних сортів винограду показав статистично значуще збільшення цього показника у рослин, які культивували на субстраті агроперліт + вермикуліт (п’ятий варіант). У рослин третього дослідного варіанту (агроперліт) 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color w:val="000000" w:themeColor="text1"/>
          <w:kern w:val="3"/>
          <w:sz w:val="28"/>
          <w:szCs w:val="28"/>
        </w:rPr>
        <w:t xml:space="preserve"> води змінювався в межах 41,4–53,8 %.</w:t>
      </w:r>
      <w:r w:rsidR="005941BE">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color w:val="000000" w:themeColor="text1"/>
          <w:kern w:val="3"/>
          <w:sz w:val="28"/>
          <w:szCs w:val="28"/>
        </w:rPr>
        <w:t xml:space="preserve">У рослин четвертого дослідного варіанту (вермикуліт) цей показник дорівнював 58,4–62,4 %, у рослин п’ятого дослідного варіанту він варіював від 63,6 % до 67,9 %. </w:t>
      </w:r>
    </w:p>
    <w:p w:rsidR="00062161" w:rsidRPr="00CC7883" w:rsidRDefault="00CE4564" w:rsidP="00F0180C">
      <w:pPr>
        <w:widowControl w:val="0"/>
        <w:autoSpaceDN w:val="0"/>
        <w:spacing w:after="0" w:line="360" w:lineRule="auto"/>
        <w:ind w:firstLine="708"/>
        <w:jc w:val="both"/>
        <w:rPr>
          <w:rFonts w:ascii="Times New Roman" w:eastAsia="NSimSun" w:hAnsi="Times New Roman" w:cs="Times New Roman"/>
          <w:color w:val="000000" w:themeColor="text1"/>
          <w:kern w:val="3"/>
          <w:sz w:val="28"/>
          <w:szCs w:val="28"/>
        </w:rPr>
      </w:pPr>
      <w:r w:rsidRPr="00CC7883">
        <w:rPr>
          <w:rFonts w:ascii="Times New Roman" w:eastAsia="NSimSun" w:hAnsi="Times New Roman" w:cs="Times New Roman" w:hint="cs"/>
          <w:color w:val="000000" w:themeColor="text1"/>
          <w:kern w:val="3"/>
          <w:sz w:val="28"/>
          <w:szCs w:val="28"/>
        </w:rPr>
        <w:t>Отримані</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hint="cs"/>
          <w:color w:val="000000" w:themeColor="text1"/>
          <w:kern w:val="3"/>
          <w:sz w:val="28"/>
          <w:szCs w:val="28"/>
        </w:rPr>
        <w:t>результати</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hint="cs"/>
          <w:color w:val="000000" w:themeColor="text1"/>
          <w:kern w:val="3"/>
          <w:sz w:val="28"/>
          <w:szCs w:val="28"/>
        </w:rPr>
        <w:t>в</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hint="cs"/>
          <w:color w:val="000000" w:themeColor="text1"/>
          <w:kern w:val="3"/>
          <w:sz w:val="28"/>
          <w:szCs w:val="28"/>
        </w:rPr>
        <w:t>середньому</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hint="cs"/>
          <w:color w:val="000000" w:themeColor="text1"/>
          <w:kern w:val="3"/>
          <w:sz w:val="28"/>
          <w:szCs w:val="28"/>
        </w:rPr>
        <w:t>перевищували</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hint="cs"/>
          <w:color w:val="000000" w:themeColor="text1"/>
          <w:kern w:val="3"/>
          <w:sz w:val="28"/>
          <w:szCs w:val="28"/>
        </w:rPr>
        <w:t>показники</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hint="cs"/>
          <w:color w:val="000000" w:themeColor="text1"/>
          <w:kern w:val="3"/>
          <w:sz w:val="28"/>
          <w:szCs w:val="28"/>
        </w:rPr>
        <w:t>контролю</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hint="cs"/>
          <w:color w:val="000000" w:themeColor="text1"/>
          <w:kern w:val="3"/>
          <w:sz w:val="28"/>
          <w:szCs w:val="28"/>
        </w:rPr>
        <w:t>на</w:t>
      </w:r>
      <w:r w:rsidRPr="00CC7883">
        <w:rPr>
          <w:rFonts w:ascii="Times New Roman" w:eastAsia="NSimSun" w:hAnsi="Times New Roman" w:cs="Times New Roman"/>
          <w:color w:val="000000" w:themeColor="text1"/>
          <w:kern w:val="3"/>
          <w:sz w:val="28"/>
          <w:szCs w:val="28"/>
        </w:rPr>
        <w:t xml:space="preserve"> 13,0</w:t>
      </w:r>
      <w:r w:rsidRPr="00CC7883">
        <w:rPr>
          <w:rFonts w:ascii="Times New Roman" w:eastAsia="NSimSun" w:hAnsi="Times New Roman" w:cs="Times New Roman" w:hint="cs"/>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97,7 %, </w:t>
      </w:r>
      <w:r w:rsidRPr="00CC7883">
        <w:rPr>
          <w:rFonts w:ascii="Times New Roman" w:eastAsia="NSimSun" w:hAnsi="Times New Roman" w:cs="Times New Roman" w:hint="cs"/>
          <w:color w:val="000000" w:themeColor="text1"/>
          <w:kern w:val="3"/>
          <w:sz w:val="28"/>
          <w:szCs w:val="28"/>
        </w:rPr>
        <w:t>де</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hint="cs"/>
          <w:color w:val="000000" w:themeColor="text1"/>
          <w:kern w:val="3"/>
          <w:sz w:val="28"/>
          <w:szCs w:val="28"/>
        </w:rPr>
        <w:t>вміст</w:t>
      </w:r>
      <w:r w:rsidRPr="00CC7883">
        <w:rPr>
          <w:rFonts w:ascii="Times New Roman" w:eastAsia="NSimSun" w:hAnsi="Times New Roman" w:cs="Times New Roman"/>
          <w:color w:val="000000" w:themeColor="text1"/>
          <w:kern w:val="3"/>
          <w:sz w:val="28"/>
          <w:szCs w:val="28"/>
        </w:rPr>
        <w:t xml:space="preserve">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hint="cs"/>
          <w:color w:val="000000" w:themeColor="text1"/>
          <w:kern w:val="3"/>
          <w:sz w:val="28"/>
          <w:szCs w:val="28"/>
        </w:rPr>
        <w:t>води</w:t>
      </w:r>
      <w:r w:rsidRPr="00CC7883">
        <w:rPr>
          <w:rFonts w:ascii="Times New Roman" w:eastAsia="NSimSun" w:hAnsi="Times New Roman" w:cs="Times New Roman"/>
          <w:color w:val="000000" w:themeColor="text1"/>
          <w:kern w:val="3"/>
          <w:sz w:val="28"/>
          <w:szCs w:val="28"/>
        </w:rPr>
        <w:t xml:space="preserve"> </w:t>
      </w:r>
      <w:r w:rsidRPr="00CC7883">
        <w:rPr>
          <w:rFonts w:ascii="Times New Roman" w:eastAsia="NSimSun" w:hAnsi="Times New Roman" w:cs="Times New Roman" w:hint="cs"/>
          <w:color w:val="000000" w:themeColor="text1"/>
          <w:kern w:val="3"/>
          <w:sz w:val="28"/>
          <w:szCs w:val="28"/>
        </w:rPr>
        <w:t>дорівнював</w:t>
      </w:r>
      <w:r w:rsidRPr="00CC7883">
        <w:rPr>
          <w:rFonts w:ascii="Times New Roman" w:eastAsia="NSimSun" w:hAnsi="Times New Roman" w:cs="Times New Roman"/>
          <w:color w:val="000000" w:themeColor="text1"/>
          <w:kern w:val="3"/>
          <w:sz w:val="28"/>
          <w:szCs w:val="28"/>
        </w:rPr>
        <w:t xml:space="preserve"> 34,4</w:t>
      </w:r>
      <w:r w:rsidRPr="00CC7883">
        <w:rPr>
          <w:rFonts w:ascii="Times New Roman" w:eastAsia="NSimSun" w:hAnsi="Times New Roman" w:cs="Times New Roman" w:hint="cs"/>
          <w:color w:val="000000" w:themeColor="text1"/>
          <w:kern w:val="3"/>
          <w:sz w:val="28"/>
          <w:szCs w:val="28"/>
        </w:rPr>
        <w:t>–</w:t>
      </w:r>
      <w:r w:rsidRPr="00CC7883">
        <w:rPr>
          <w:rFonts w:ascii="Times New Roman" w:eastAsia="NSimSun" w:hAnsi="Times New Roman" w:cs="Times New Roman"/>
          <w:color w:val="000000" w:themeColor="text1"/>
          <w:kern w:val="3"/>
          <w:sz w:val="28"/>
          <w:szCs w:val="28"/>
        </w:rPr>
        <w:t xml:space="preserve">54,9 % </w:t>
      </w:r>
      <w:r w:rsidRPr="00CC7883">
        <w:rPr>
          <w:rFonts w:ascii="Times New Roman" w:eastAsia="NSimSun" w:hAnsi="Times New Roman" w:cs="Times New Roman" w:hint="cs"/>
          <w:color w:val="000000" w:themeColor="text1"/>
          <w:kern w:val="3"/>
          <w:sz w:val="28"/>
          <w:szCs w:val="28"/>
        </w:rPr>
        <w:t>та</w:t>
      </w:r>
      <w:r w:rsidRPr="00CC7883">
        <w:rPr>
          <w:rFonts w:ascii="Times New Roman" w:eastAsia="NSimSun" w:hAnsi="Times New Roman" w:cs="Times New Roman"/>
          <w:color w:val="000000" w:themeColor="text1"/>
          <w:kern w:val="3"/>
          <w:sz w:val="28"/>
          <w:szCs w:val="28"/>
        </w:rPr>
        <w:t xml:space="preserve"> 30,0</w:t>
      </w:r>
      <w:r w:rsidRPr="00CC7883">
        <w:rPr>
          <w:rFonts w:ascii="Times New Roman" w:eastAsia="NSimSun" w:hAnsi="Times New Roman" w:cs="Times New Roman" w:hint="cs"/>
          <w:color w:val="000000" w:themeColor="text1"/>
          <w:kern w:val="3"/>
          <w:sz w:val="28"/>
          <w:szCs w:val="28"/>
        </w:rPr>
        <w:t>–</w:t>
      </w:r>
      <w:r w:rsidRPr="00CC7883">
        <w:rPr>
          <w:rFonts w:ascii="Times New Roman" w:eastAsia="NSimSun" w:hAnsi="Times New Roman" w:cs="Times New Roman"/>
          <w:color w:val="000000" w:themeColor="text1"/>
          <w:kern w:val="3"/>
          <w:sz w:val="28"/>
          <w:szCs w:val="28"/>
        </w:rPr>
        <w:t>48,6 %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kern w:val="3"/>
          <w:sz w:val="28"/>
          <w:szCs w:val="28"/>
        </w:rPr>
        <w:t>5.12).</w:t>
      </w:r>
    </w:p>
    <w:p w:rsidR="005A3F7D" w:rsidRPr="00CC7883" w:rsidRDefault="005A3F7D" w:rsidP="00047411">
      <w:pPr>
        <w:widowControl w:val="0"/>
        <w:spacing w:after="0" w:line="360" w:lineRule="auto"/>
        <w:jc w:val="both"/>
        <w:rPr>
          <w:rFonts w:ascii="Times New Roman" w:eastAsia="NSimSun" w:hAnsi="Times New Roman" w:cs="Times New Roman"/>
          <w:color w:val="000000" w:themeColor="text1"/>
          <w:sz w:val="28"/>
          <w:szCs w:val="28"/>
          <w:lang w:eastAsia="zh-CN" w:bidi="hi-IN"/>
        </w:rPr>
      </w:pPr>
      <w:r w:rsidRPr="00CC7883">
        <w:rPr>
          <w:rFonts w:ascii="Times New Roman" w:hAnsi="Times New Roman" w:cs="Times New Roman"/>
          <w:noProof/>
          <w:color w:val="000000" w:themeColor="text1"/>
          <w:lang w:val="ru-RU" w:eastAsia="ru-RU"/>
        </w:rPr>
        <w:drawing>
          <wp:inline distT="0" distB="0" distL="0" distR="0">
            <wp:extent cx="5916262" cy="3170712"/>
            <wp:effectExtent l="19050" t="0" r="27338" b="0"/>
            <wp:docPr id="29" name="Диаграмма 2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43F7151D-DF15-0383-A617-EBE85FBD09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4"/>
              </a:graphicData>
            </a:graphic>
          </wp:inline>
        </w:drawing>
      </w:r>
    </w:p>
    <w:p w:rsidR="005A3F7D" w:rsidRPr="00CC7883" w:rsidRDefault="005A3F7D" w:rsidP="00047411">
      <w:pPr>
        <w:widowControl w:val="0"/>
        <w:spacing w:after="0" w:line="360" w:lineRule="auto"/>
        <w:jc w:val="center"/>
        <w:rPr>
          <w:rFonts w:ascii="Times New Roman" w:eastAsia="NSimSun" w:hAnsi="Times New Roman" w:cs="Times New Roman"/>
          <w:color w:val="000000" w:themeColor="text1"/>
          <w:sz w:val="28"/>
          <w:szCs w:val="28"/>
          <w:lang w:eastAsia="zh-CN" w:bidi="hi-IN"/>
        </w:rPr>
      </w:pPr>
      <w:r w:rsidRPr="00CC7883">
        <w:rPr>
          <w:rFonts w:ascii="Times New Roman" w:eastAsia="NSimSun" w:hAnsi="Times New Roman" w:cs="Times New Roman"/>
          <w:color w:val="000000" w:themeColor="text1"/>
          <w:sz w:val="28"/>
          <w:szCs w:val="28"/>
          <w:lang w:eastAsia="zh-CN" w:bidi="hi-IN"/>
        </w:rPr>
        <w:t xml:space="preserve">Рис. 5.12. 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color w:val="000000" w:themeColor="text1"/>
          <w:sz w:val="28"/>
          <w:szCs w:val="28"/>
          <w:lang w:eastAsia="zh-CN" w:bidi="hi-IN"/>
        </w:rPr>
        <w:t xml:space="preserve"> води у тканинах коренів мікроклонів винограду </w:t>
      </w:r>
      <w:r w:rsidRPr="00CC7883">
        <w:rPr>
          <w:rFonts w:ascii="Times New Roman" w:eastAsia="NSimSun" w:hAnsi="Times New Roman" w:cs="Times New Roman"/>
          <w:bCs/>
          <w:color w:val="000000" w:themeColor="text1"/>
          <w:kern w:val="3"/>
          <w:sz w:val="28"/>
          <w:szCs w:val="28"/>
        </w:rPr>
        <w:t xml:space="preserve">на різних типах поживних субстратів </w:t>
      </w:r>
      <w:r w:rsidRPr="00CC7883">
        <w:rPr>
          <w:rFonts w:ascii="Times New Roman" w:eastAsia="NSimSun" w:hAnsi="Times New Roman" w:cs="Times New Roman"/>
          <w:color w:val="000000" w:themeColor="text1"/>
          <w:sz w:val="28"/>
          <w:szCs w:val="28"/>
          <w:lang w:eastAsia="zh-CN" w:bidi="hi-IN"/>
        </w:rPr>
        <w:t>(середнє за 2019–</w:t>
      </w:r>
      <w:r w:rsidRPr="00CC7883">
        <w:rPr>
          <w:rFonts w:ascii="Times New Roman" w:eastAsia="NSimSun" w:hAnsi="Times New Roman" w:cs="Times New Roman"/>
          <w:color w:val="000000" w:themeColor="text1"/>
          <w:kern w:val="3"/>
          <w:sz w:val="28"/>
          <w:szCs w:val="28"/>
        </w:rPr>
        <w:t>2022</w:t>
      </w:r>
      <w:r w:rsidRPr="00CC7883">
        <w:rPr>
          <w:rFonts w:ascii="Times New Roman" w:eastAsia="NSimSun" w:hAnsi="Times New Roman" w:cs="Times New Roman"/>
          <w:color w:val="000000" w:themeColor="text1"/>
          <w:sz w:val="28"/>
          <w:szCs w:val="28"/>
          <w:lang w:eastAsia="zh-CN" w:bidi="hi-IN"/>
        </w:rPr>
        <w:t xml:space="preserve"> рр.)</w:t>
      </w:r>
    </w:p>
    <w:p w:rsidR="005A3F7D" w:rsidRPr="00CC7883" w:rsidRDefault="005A3F7D" w:rsidP="00047411">
      <w:pPr>
        <w:widowControl w:val="0"/>
        <w:spacing w:after="0" w:line="360" w:lineRule="auto"/>
        <w:ind w:firstLine="709"/>
        <w:jc w:val="both"/>
        <w:rPr>
          <w:rFonts w:ascii="Times New Roman" w:eastAsia="NSimSun" w:hAnsi="Times New Roman" w:cs="Times New Roman"/>
          <w:color w:val="000000" w:themeColor="text1"/>
          <w:sz w:val="28"/>
          <w:szCs w:val="28"/>
          <w:lang w:eastAsia="zh-CN" w:bidi="hi-IN"/>
        </w:rPr>
      </w:pPr>
      <w:r w:rsidRPr="00CC7883">
        <w:rPr>
          <w:rFonts w:ascii="Times New Roman" w:eastAsia="NSimSun" w:hAnsi="Times New Roman" w:cs="Times New Roman"/>
          <w:color w:val="000000" w:themeColor="text1"/>
          <w:sz w:val="28"/>
          <w:szCs w:val="28"/>
          <w:lang w:eastAsia="zh-CN" w:bidi="hi-IN"/>
        </w:rPr>
        <w:lastRenderedPageBreak/>
        <w:t xml:space="preserve">Аналіз вмісту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NSimSun" w:hAnsi="Times New Roman" w:cs="Times New Roman"/>
          <w:color w:val="000000" w:themeColor="text1"/>
          <w:kern w:val="3"/>
          <w:sz w:val="28"/>
          <w:szCs w:val="28"/>
        </w:rPr>
        <w:t xml:space="preserve"> води в тканинах коренів мікроклональних рослин технічних сортів винограду показав </w:t>
      </w:r>
      <w:r w:rsidRPr="00CC7883">
        <w:rPr>
          <w:rFonts w:ascii="Times New Roman" w:eastAsia="NSimSun" w:hAnsi="Times New Roman" w:cs="Times New Roman"/>
          <w:color w:val="000000" w:themeColor="text1"/>
          <w:sz w:val="28"/>
          <w:szCs w:val="28"/>
          <w:lang w:eastAsia="zh-CN" w:bidi="hi-IN"/>
        </w:rPr>
        <w:t xml:space="preserve">подібну тенденцію щодо збільшення цього показника в тканинах коренів. </w:t>
      </w:r>
    </w:p>
    <w:p w:rsidR="005A3F7D" w:rsidRPr="00CC7883" w:rsidRDefault="005A3F7D" w:rsidP="00047411">
      <w:pPr>
        <w:widowControl w:val="0"/>
        <w:spacing w:after="0" w:line="360" w:lineRule="auto"/>
        <w:ind w:firstLine="709"/>
        <w:jc w:val="both"/>
        <w:rPr>
          <w:rFonts w:ascii="Times New Roman" w:eastAsia="NSimSun" w:hAnsi="Times New Roman" w:cs="Times New Roman"/>
          <w:color w:val="000000" w:themeColor="text1"/>
          <w:sz w:val="28"/>
          <w:szCs w:val="28"/>
          <w:lang w:eastAsia="zh-CN" w:bidi="hi-IN"/>
        </w:rPr>
      </w:pPr>
      <w:r w:rsidRPr="00CC7883">
        <w:rPr>
          <w:rFonts w:ascii="Times New Roman" w:eastAsia="NSimSun" w:hAnsi="Times New Roman" w:cs="Times New Roman"/>
          <w:i/>
          <w:iCs/>
          <w:color w:val="000000" w:themeColor="text1"/>
          <w:sz w:val="28"/>
          <w:szCs w:val="28"/>
          <w:u w:val="single"/>
          <w:lang w:eastAsia="zh-CN" w:bidi="hi-IN"/>
        </w:rPr>
        <w:t>Вміст сухих речовин</w:t>
      </w:r>
      <w:r w:rsidRPr="00CC7883">
        <w:rPr>
          <w:rFonts w:ascii="Times New Roman" w:eastAsia="NSimSun" w:hAnsi="Times New Roman" w:cs="Times New Roman"/>
          <w:i/>
          <w:iCs/>
          <w:color w:val="000000" w:themeColor="text1"/>
          <w:sz w:val="28"/>
          <w:szCs w:val="28"/>
          <w:lang w:eastAsia="zh-CN" w:bidi="hi-IN"/>
        </w:rPr>
        <w:t xml:space="preserve">. </w:t>
      </w:r>
      <w:r w:rsidRPr="00CC7883">
        <w:rPr>
          <w:rFonts w:ascii="Times New Roman" w:eastAsia="NSimSun" w:hAnsi="Times New Roman" w:cs="Times New Roman"/>
          <w:color w:val="000000" w:themeColor="text1"/>
          <w:sz w:val="28"/>
          <w:szCs w:val="28"/>
          <w:lang w:eastAsia="zh-CN" w:bidi="hi-IN"/>
        </w:rPr>
        <w:t>Визначення вмісту сухих речовин показало, що у мікроклонів дослідних варіантів сортів «Добриня» та «Гарант» цей показник (порівняно з контрольними варіантами) збільшувався у 2,1–4,8 раз</w:t>
      </w:r>
      <w:r w:rsidR="000F7714">
        <w:rPr>
          <w:rFonts w:ascii="Times New Roman" w:eastAsia="NSimSun" w:hAnsi="Times New Roman" w:cs="Times New Roman"/>
          <w:color w:val="000000" w:themeColor="text1"/>
          <w:sz w:val="28"/>
          <w:szCs w:val="28"/>
          <w:lang w:eastAsia="zh-CN" w:bidi="hi-IN"/>
        </w:rPr>
        <w:t>а</w:t>
      </w:r>
      <w:r w:rsidRPr="00CC7883">
        <w:rPr>
          <w:rFonts w:ascii="Times New Roman" w:eastAsia="NSimSun" w:hAnsi="Times New Roman" w:cs="Times New Roman"/>
          <w:color w:val="000000" w:themeColor="text1"/>
          <w:sz w:val="28"/>
          <w:szCs w:val="28"/>
          <w:lang w:eastAsia="zh-CN" w:bidi="hi-IN"/>
        </w:rPr>
        <w:t>; у мікроклонів сортів «Ярило» і «Загрей» – відповідно у 1,1–1,3 раз</w:t>
      </w:r>
      <w:r w:rsidR="000F7714">
        <w:rPr>
          <w:rFonts w:ascii="Times New Roman" w:eastAsia="NSimSun" w:hAnsi="Times New Roman" w:cs="Times New Roman"/>
          <w:color w:val="000000" w:themeColor="text1"/>
          <w:sz w:val="28"/>
          <w:szCs w:val="28"/>
          <w:lang w:eastAsia="zh-CN" w:bidi="hi-IN"/>
        </w:rPr>
        <w:t>а</w:t>
      </w:r>
      <w:r w:rsidRPr="00CC7883">
        <w:rPr>
          <w:rFonts w:ascii="Times New Roman" w:eastAsia="NSimSun" w:hAnsi="Times New Roman" w:cs="Times New Roman"/>
          <w:color w:val="000000" w:themeColor="text1"/>
          <w:sz w:val="28"/>
          <w:szCs w:val="28"/>
          <w:lang w:eastAsia="zh-CN" w:bidi="hi-IN"/>
        </w:rPr>
        <w:t>. У третьому варіанті, де мікроклони культивували на агроперліті, вміст сухих речовин у коренях дорівнював 6,2–7,3 % для підщепних сортів та 8,1–8,8 % для технічних сортів. У мікроклонів четвертого варіанту, які культивували на вермикуліті, цей показник дорівнював 7,8–10,6 % та 8,7 %. Для мікроклонів п’ятого варіанту, які культивували на суміші агроперліту і вермикуліту, вміст сухих речовин у коренях дорівнював 10,0–11,2 % та 8,9–9,1 %, що було найбільшим серед усіх варіантів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eastAsia="NSimSun" w:hAnsi="Times New Roman" w:cs="Times New Roman"/>
          <w:color w:val="000000" w:themeColor="text1"/>
          <w:sz w:val="28"/>
          <w:szCs w:val="28"/>
          <w:lang w:eastAsia="zh-CN" w:bidi="hi-IN"/>
        </w:rPr>
        <w:t>5.11).</w:t>
      </w:r>
    </w:p>
    <w:p w:rsidR="005A3F7D" w:rsidRPr="00CC7883" w:rsidRDefault="005A3F7D" w:rsidP="00047411">
      <w:pPr>
        <w:pStyle w:val="Standard"/>
        <w:widowControl w:val="0"/>
        <w:suppressAutoHyphens w:val="0"/>
        <w:spacing w:line="360" w:lineRule="auto"/>
        <w:ind w:firstLine="708"/>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За матеріалами розділу «Фізіолого-біохімічні показники мікроклонів винограду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н</w:t>
      </w:r>
      <w:r w:rsidR="000B5B1A" w:rsidRPr="00CC7883">
        <w:rPr>
          <w:rFonts w:ascii="Times New Roman" w:hAnsi="Times New Roman" w:cs="Times New Roman"/>
          <w:color w:val="000000" w:themeColor="text1"/>
          <w:sz w:val="28"/>
          <w:szCs w:val="28"/>
        </w:rPr>
        <w:t>адруковано 9</w:t>
      </w:r>
      <w:r w:rsidR="00B9668A" w:rsidRPr="00CC7883">
        <w:rPr>
          <w:rFonts w:ascii="Times New Roman" w:hAnsi="Times New Roman" w:cs="Times New Roman"/>
          <w:color w:val="000000" w:themeColor="text1"/>
          <w:sz w:val="28"/>
          <w:szCs w:val="28"/>
        </w:rPr>
        <w:t xml:space="preserve"> наукових прац</w:t>
      </w:r>
      <w:r w:rsidR="00834E9E">
        <w:rPr>
          <w:rFonts w:ascii="Times New Roman" w:hAnsi="Times New Roman" w:cs="Times New Roman"/>
          <w:color w:val="000000" w:themeColor="text1"/>
          <w:sz w:val="28"/>
          <w:szCs w:val="28"/>
        </w:rPr>
        <w:t>ь</w:t>
      </w:r>
      <w:r w:rsidR="00B9668A" w:rsidRPr="00CC7883">
        <w:rPr>
          <w:rFonts w:ascii="Times New Roman" w:hAnsi="Times New Roman" w:cs="Times New Roman"/>
          <w:color w:val="000000" w:themeColor="text1"/>
          <w:sz w:val="28"/>
          <w:szCs w:val="28"/>
        </w:rPr>
        <w:t xml:space="preserve"> [26</w:t>
      </w:r>
      <w:r w:rsidR="004B0CE8" w:rsidRPr="00F62136">
        <w:rPr>
          <w:rFonts w:ascii="Times New Roman" w:hAnsi="Times New Roman" w:cs="Times New Roman"/>
          <w:color w:val="000000" w:themeColor="text1"/>
          <w:sz w:val="28"/>
          <w:szCs w:val="28"/>
          <w:lang w:val="ru-RU"/>
        </w:rPr>
        <w:t>,</w:t>
      </w:r>
      <w:r w:rsidR="00B9668A" w:rsidRPr="00CC7883">
        <w:rPr>
          <w:rFonts w:ascii="Times New Roman" w:hAnsi="Times New Roman" w:cs="Times New Roman"/>
          <w:color w:val="000000" w:themeColor="text1"/>
          <w:sz w:val="28"/>
          <w:szCs w:val="28"/>
        </w:rPr>
        <w:t xml:space="preserve"> 25</w:t>
      </w:r>
      <w:r w:rsidR="004B0CE8" w:rsidRPr="00F62136">
        <w:rPr>
          <w:rFonts w:ascii="Times New Roman" w:hAnsi="Times New Roman" w:cs="Times New Roman"/>
          <w:color w:val="000000" w:themeColor="text1"/>
          <w:sz w:val="28"/>
          <w:szCs w:val="28"/>
          <w:lang w:val="ru-RU"/>
        </w:rPr>
        <w:t>,</w:t>
      </w:r>
      <w:r w:rsidR="00B9668A" w:rsidRPr="00CC7883">
        <w:rPr>
          <w:rFonts w:ascii="Times New Roman" w:hAnsi="Times New Roman" w:cs="Times New Roman"/>
          <w:color w:val="000000" w:themeColor="text1"/>
          <w:sz w:val="28"/>
          <w:szCs w:val="28"/>
        </w:rPr>
        <w:t xml:space="preserve"> 21</w:t>
      </w:r>
      <w:r w:rsidR="004B0CE8" w:rsidRPr="00F62136">
        <w:rPr>
          <w:rFonts w:ascii="Times New Roman" w:hAnsi="Times New Roman" w:cs="Times New Roman"/>
          <w:color w:val="000000" w:themeColor="text1"/>
          <w:sz w:val="28"/>
          <w:szCs w:val="28"/>
          <w:lang w:val="ru-RU"/>
        </w:rPr>
        <w:t>,</w:t>
      </w:r>
      <w:r w:rsidR="00B9668A" w:rsidRPr="00CC7883">
        <w:rPr>
          <w:rFonts w:ascii="Times New Roman" w:hAnsi="Times New Roman" w:cs="Times New Roman"/>
          <w:color w:val="000000" w:themeColor="text1"/>
          <w:sz w:val="28"/>
          <w:szCs w:val="28"/>
        </w:rPr>
        <w:t xml:space="preserve"> 29</w:t>
      </w:r>
      <w:r w:rsidR="004B0CE8" w:rsidRPr="00F62136">
        <w:rPr>
          <w:rFonts w:ascii="Times New Roman" w:hAnsi="Times New Roman" w:cs="Times New Roman"/>
          <w:color w:val="000000" w:themeColor="text1"/>
          <w:sz w:val="28"/>
          <w:szCs w:val="28"/>
          <w:lang w:val="ru-RU"/>
        </w:rPr>
        <w:t>,</w:t>
      </w:r>
      <w:r w:rsidR="00B9668A" w:rsidRPr="00CC7883">
        <w:rPr>
          <w:rFonts w:ascii="Times New Roman" w:hAnsi="Times New Roman" w:cs="Times New Roman"/>
          <w:color w:val="000000" w:themeColor="text1"/>
          <w:sz w:val="28"/>
          <w:szCs w:val="28"/>
        </w:rPr>
        <w:t xml:space="preserve"> 22</w:t>
      </w:r>
      <w:r w:rsidR="004B0CE8" w:rsidRPr="00F62136">
        <w:rPr>
          <w:rFonts w:ascii="Times New Roman" w:hAnsi="Times New Roman" w:cs="Times New Roman"/>
          <w:color w:val="000000" w:themeColor="text1"/>
          <w:sz w:val="28"/>
          <w:szCs w:val="28"/>
          <w:lang w:val="ru-RU"/>
        </w:rPr>
        <w:t>,</w:t>
      </w:r>
      <w:r w:rsidR="00B9668A" w:rsidRPr="00CC7883">
        <w:rPr>
          <w:rFonts w:ascii="Times New Roman" w:hAnsi="Times New Roman" w:cs="Times New Roman"/>
          <w:color w:val="000000" w:themeColor="text1"/>
          <w:sz w:val="28"/>
          <w:szCs w:val="28"/>
        </w:rPr>
        <w:t xml:space="preserve"> 2</w:t>
      </w:r>
      <w:r w:rsidR="00552985" w:rsidRPr="00CC7883">
        <w:rPr>
          <w:rFonts w:ascii="Times New Roman" w:hAnsi="Times New Roman" w:cs="Times New Roman"/>
          <w:color w:val="000000" w:themeColor="text1"/>
          <w:sz w:val="28"/>
          <w:szCs w:val="28"/>
        </w:rPr>
        <w:t>6</w:t>
      </w:r>
      <w:r w:rsidR="002D22A1" w:rsidRPr="00CC7883">
        <w:rPr>
          <w:rFonts w:ascii="Times New Roman" w:hAnsi="Times New Roman" w:cs="Times New Roman"/>
          <w:color w:val="000000" w:themeColor="text1"/>
          <w:sz w:val="28"/>
          <w:szCs w:val="28"/>
        </w:rPr>
        <w:t>8</w:t>
      </w:r>
      <w:r w:rsidR="004B0CE8" w:rsidRPr="00F62136">
        <w:rPr>
          <w:rFonts w:ascii="Times New Roman" w:hAnsi="Times New Roman" w:cs="Times New Roman"/>
          <w:color w:val="000000" w:themeColor="text1"/>
          <w:sz w:val="28"/>
          <w:szCs w:val="28"/>
          <w:lang w:val="ru-RU"/>
        </w:rPr>
        <w:t>,</w:t>
      </w:r>
      <w:r w:rsidR="00B9668A" w:rsidRPr="00CC7883">
        <w:rPr>
          <w:rFonts w:ascii="Times New Roman" w:hAnsi="Times New Roman" w:cs="Times New Roman"/>
          <w:color w:val="000000" w:themeColor="text1"/>
          <w:sz w:val="28"/>
          <w:szCs w:val="28"/>
        </w:rPr>
        <w:t xml:space="preserve"> 19</w:t>
      </w:r>
      <w:r w:rsidR="004B0CE8" w:rsidRPr="00F62136">
        <w:rPr>
          <w:rFonts w:ascii="Times New Roman" w:hAnsi="Times New Roman" w:cs="Times New Roman"/>
          <w:color w:val="000000" w:themeColor="text1"/>
          <w:sz w:val="28"/>
          <w:szCs w:val="28"/>
          <w:lang w:val="ru-RU"/>
        </w:rPr>
        <w:t>,</w:t>
      </w:r>
      <w:r w:rsidRPr="00CC7883">
        <w:rPr>
          <w:rFonts w:ascii="Times New Roman" w:hAnsi="Times New Roman" w:cs="Times New Roman"/>
          <w:color w:val="000000" w:themeColor="text1"/>
          <w:sz w:val="28"/>
          <w:szCs w:val="28"/>
        </w:rPr>
        <w:t xml:space="preserve"> 2</w:t>
      </w:r>
      <w:r w:rsidR="00B9668A" w:rsidRPr="00CC7883">
        <w:rPr>
          <w:rFonts w:ascii="Times New Roman" w:hAnsi="Times New Roman" w:cs="Times New Roman"/>
          <w:color w:val="000000" w:themeColor="text1"/>
          <w:sz w:val="28"/>
          <w:szCs w:val="28"/>
        </w:rPr>
        <w:t>4</w:t>
      </w:r>
      <w:r w:rsidR="004B0CE8" w:rsidRPr="00F62136">
        <w:rPr>
          <w:rFonts w:ascii="Times New Roman" w:hAnsi="Times New Roman" w:cs="Times New Roman"/>
          <w:color w:val="000000" w:themeColor="text1"/>
          <w:sz w:val="28"/>
          <w:szCs w:val="28"/>
          <w:lang w:val="ru-RU"/>
        </w:rPr>
        <w:t>,</w:t>
      </w:r>
      <w:r w:rsidR="00552985" w:rsidRPr="00CC7883">
        <w:rPr>
          <w:rFonts w:ascii="Times New Roman" w:hAnsi="Times New Roman" w:cs="Times New Roman"/>
          <w:color w:val="000000" w:themeColor="text1"/>
          <w:sz w:val="28"/>
          <w:szCs w:val="28"/>
        </w:rPr>
        <w:t xml:space="preserve"> 2</w:t>
      </w:r>
      <w:r w:rsidR="002D22A1" w:rsidRPr="00CC7883">
        <w:rPr>
          <w:rFonts w:ascii="Times New Roman" w:hAnsi="Times New Roman" w:cs="Times New Roman"/>
          <w:color w:val="000000" w:themeColor="text1"/>
          <w:sz w:val="28"/>
          <w:szCs w:val="28"/>
        </w:rPr>
        <w:t>70</w:t>
      </w:r>
      <w:r w:rsidRPr="00CC7883">
        <w:rPr>
          <w:rFonts w:ascii="Times New Roman" w:hAnsi="Times New Roman" w:cs="Times New Roman"/>
          <w:color w:val="000000" w:themeColor="text1"/>
          <w:sz w:val="28"/>
          <w:szCs w:val="28"/>
        </w:rPr>
        <w:t>].</w:t>
      </w:r>
    </w:p>
    <w:p w:rsidR="005A3F7D" w:rsidRPr="00CC7883" w:rsidRDefault="005A3F7D" w:rsidP="00047411">
      <w:pPr>
        <w:widowControl w:val="0"/>
        <w:rPr>
          <w:rFonts w:ascii="Times New Roman" w:eastAsia="NSimSun" w:hAnsi="Times New Roman" w:cs="Times New Roman"/>
          <w:color w:val="000000" w:themeColor="text1"/>
          <w:kern w:val="3"/>
          <w:sz w:val="28"/>
          <w:szCs w:val="28"/>
        </w:rPr>
      </w:pPr>
    </w:p>
    <w:p w:rsidR="005A3F7D" w:rsidRPr="00CC7883" w:rsidRDefault="005A3F7D" w:rsidP="00047411">
      <w:pPr>
        <w:pStyle w:val="Standard"/>
        <w:widowControl w:val="0"/>
        <w:suppressAutoHyphens w:val="0"/>
        <w:spacing w:line="360" w:lineRule="auto"/>
        <w:ind w:firstLine="709"/>
        <w:jc w:val="both"/>
        <w:outlineLvl w:val="1"/>
        <w:rPr>
          <w:rFonts w:ascii="Times New Roman" w:hAnsi="Times New Roman" w:cs="Times New Roman"/>
          <w:b/>
          <w:bCs/>
          <w:color w:val="000000" w:themeColor="text1"/>
          <w:sz w:val="28"/>
          <w:szCs w:val="28"/>
        </w:rPr>
      </w:pPr>
      <w:bookmarkStart w:id="83" w:name="_Toc220058949"/>
      <w:r w:rsidRPr="00CC7883">
        <w:rPr>
          <w:rFonts w:ascii="Times New Roman" w:hAnsi="Times New Roman" w:cs="Times New Roman"/>
          <w:b/>
          <w:bCs/>
          <w:color w:val="000000" w:themeColor="text1"/>
          <w:sz w:val="28"/>
          <w:szCs w:val="28"/>
        </w:rPr>
        <w:t>Висновки до розділу 5</w:t>
      </w:r>
      <w:bookmarkEnd w:id="83"/>
    </w:p>
    <w:p w:rsidR="005A3F7D" w:rsidRPr="00CC7883" w:rsidRDefault="005A3F7D" w:rsidP="00047411">
      <w:pPr>
        <w:widowControl w:val="0"/>
        <w:spacing w:after="0" w:line="360" w:lineRule="auto"/>
        <w:jc w:val="both"/>
        <w:rPr>
          <w:rFonts w:ascii="Times New Roman" w:eastAsia="Times New Roman" w:hAnsi="Times New Roman" w:cs="Times New Roman"/>
          <w:color w:val="000000" w:themeColor="text1"/>
          <w:sz w:val="28"/>
          <w:szCs w:val="28"/>
          <w:lang w:eastAsia="ru-RU"/>
        </w:rPr>
      </w:pPr>
    </w:p>
    <w:p w:rsidR="005A3F7D" w:rsidRPr="00CC7883" w:rsidRDefault="005A3F7D" w:rsidP="00047411">
      <w:pPr>
        <w:widowControl w:val="0"/>
        <w:numPr>
          <w:ilvl w:val="0"/>
          <w:numId w:val="21"/>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Аналіз результатів дослідження впливу модифікованих поживних середовищ, субстратів на основні фізіолого-біохімічних показників приросту та кореневої системи мікроклонів винограду показав, що вони залежали від складу поживного середовища, наявності структуроутворю</w:t>
      </w:r>
      <w:r w:rsidR="00473FB7">
        <w:rPr>
          <w:rFonts w:ascii="Times New Roman" w:eastAsia="Times New Roman" w:hAnsi="Times New Roman" w:cs="Times New Roman"/>
          <w:color w:val="000000" w:themeColor="text1"/>
          <w:sz w:val="28"/>
          <w:szCs w:val="28"/>
          <w:lang w:eastAsia="ru-RU"/>
        </w:rPr>
        <w:t>вальн</w:t>
      </w:r>
      <w:r w:rsidRPr="00CC7883">
        <w:rPr>
          <w:rFonts w:ascii="Times New Roman" w:eastAsia="Times New Roman" w:hAnsi="Times New Roman" w:cs="Times New Roman"/>
          <w:color w:val="000000" w:themeColor="text1"/>
          <w:sz w:val="28"/>
          <w:szCs w:val="28"/>
          <w:lang w:eastAsia="ru-RU"/>
        </w:rPr>
        <w:t>их або біологічно активних компонентів та типу мінеральних субстратів.</w:t>
      </w:r>
    </w:p>
    <w:p w:rsidR="005A3F7D" w:rsidRPr="00CC7883" w:rsidRDefault="005A3F7D" w:rsidP="00047411">
      <w:pPr>
        <w:widowControl w:val="0"/>
        <w:numPr>
          <w:ilvl w:val="0"/>
          <w:numId w:val="21"/>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Після культивування мікроклонів винограду на різних типах поживних середовищ було встановлено, що найбільшим показником обводнення тканин приросту характеризувалися мікроклони винограду у контрольних варіантах (MS + 0,3 мг/л ІОК + 0,2 мг/л 6-БАП та MS + 0,6 мг/л ІОК + 0,5 мг/л 6-БАП) та варіантах із додаванням БАП –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Times New Roman" w:hAnsi="Times New Roman" w:cs="Times New Roman"/>
          <w:color w:val="000000" w:themeColor="text1"/>
          <w:sz w:val="28"/>
          <w:szCs w:val="28"/>
          <w:lang w:eastAsia="ru-RU"/>
        </w:rPr>
        <w:t xml:space="preserve"> і Радіфарм (третій–шостий </w:t>
      </w:r>
      <w:r w:rsidRPr="00CC7883">
        <w:rPr>
          <w:rFonts w:ascii="Times New Roman" w:eastAsia="Times New Roman" w:hAnsi="Times New Roman" w:cs="Times New Roman"/>
          <w:color w:val="000000" w:themeColor="text1"/>
          <w:sz w:val="28"/>
          <w:szCs w:val="28"/>
          <w:lang w:eastAsia="ru-RU"/>
        </w:rPr>
        <w:lastRenderedPageBreak/>
        <w:t>варіанти): 91,5–93,2 % («Добриня»), 91,2–91,9 % («Гарант»), 91,8–93,8 % («Ярило») та 90,9–92,1 % («Загрей»).</w:t>
      </w:r>
    </w:p>
    <w:p w:rsidR="005A3F7D" w:rsidRPr="00CC7883" w:rsidRDefault="005A3F7D" w:rsidP="00047411">
      <w:pPr>
        <w:widowControl w:val="0"/>
        <w:spacing w:after="0" w:line="360" w:lineRule="auto"/>
        <w:ind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На структурованих поживних середовищах (із агроперлітом, вермикулітом або їх сумішшю – сьомий–дванадцятий варіанти) загальний вміст води у тканинах приросту мікроклонів винограду зменшувався до 84,2–86,8 % у мікроклонів сорту «Добриня», 85,5–88,2 % – сорту «Гарант», 86,6–89,1 % – сорту «Ярило» та 85,1–87,9 % – сорту «Загрей» або зменшувався відносно контролю на 4,8–8,8 % у підщепних та на 4,7–6,8 % – у технічних сортів.</w:t>
      </w:r>
    </w:p>
    <w:p w:rsidR="005A3F7D" w:rsidRPr="00CC7883" w:rsidRDefault="005A3F7D" w:rsidP="00047411">
      <w:pPr>
        <w:widowControl w:val="0"/>
        <w:spacing w:after="0" w:line="360" w:lineRule="auto"/>
        <w:ind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Порівняння варіантів за фітогормональним складом показало, що достовірної різниці за показником загального обводнення між поживними середовищами з нижчим (0,3 мг/л ІОК, 0,2 мг/л 6-БАП) та вищим (0,6 мг/л ІОК, 0,5 мг/л 6-БАП) рівнем фітогормонів не встановлено.</w:t>
      </w:r>
    </w:p>
    <w:p w:rsidR="005A3F7D" w:rsidRPr="00CC7883" w:rsidRDefault="005A3F7D" w:rsidP="00047411">
      <w:pPr>
        <w:widowControl w:val="0"/>
        <w:spacing w:after="0" w:line="360" w:lineRule="auto"/>
        <w:ind w:firstLine="708"/>
        <w:jc w:val="both"/>
        <w:rPr>
          <w:rFonts w:ascii="Times New Roman" w:eastAsia="Times New Roman" w:hAnsi="Times New Roman" w:cs="Times New Roman"/>
          <w:color w:val="000000" w:themeColor="text1"/>
          <w:sz w:val="28"/>
          <w:szCs w:val="28"/>
          <w:lang w:eastAsia="ru-RU"/>
        </w:rPr>
      </w:pPr>
      <w:bookmarkStart w:id="84" w:name="_Hlk220504730"/>
      <w:r w:rsidRPr="00CC7883">
        <w:rPr>
          <w:rFonts w:ascii="Times New Roman" w:eastAsia="Times New Roman" w:hAnsi="Times New Roman" w:cs="Times New Roman"/>
          <w:color w:val="000000" w:themeColor="text1"/>
          <w:sz w:val="28"/>
          <w:szCs w:val="28"/>
          <w:lang w:eastAsia="ru-RU"/>
        </w:rPr>
        <w:t>Культивування мікроклонів винограду на мінеральних поживних субстратах також сприя</w:t>
      </w:r>
      <w:r w:rsidR="008B317D">
        <w:rPr>
          <w:rFonts w:ascii="Times New Roman" w:eastAsia="Times New Roman" w:hAnsi="Times New Roman" w:cs="Times New Roman"/>
          <w:color w:val="000000" w:themeColor="text1"/>
          <w:sz w:val="28"/>
          <w:szCs w:val="28"/>
          <w:lang w:eastAsia="ru-RU"/>
        </w:rPr>
        <w:t>ло</w:t>
      </w:r>
      <w:r w:rsidRPr="00CC7883">
        <w:rPr>
          <w:rFonts w:ascii="Times New Roman" w:eastAsia="Times New Roman" w:hAnsi="Times New Roman" w:cs="Times New Roman"/>
          <w:color w:val="000000" w:themeColor="text1"/>
          <w:sz w:val="28"/>
          <w:szCs w:val="28"/>
          <w:lang w:eastAsia="ru-RU"/>
        </w:rPr>
        <w:t xml:space="preserve"> зниженню показника загального вмісту води у тканинах приросту</w:t>
      </w:r>
      <w:bookmarkEnd w:id="84"/>
      <w:r w:rsidRPr="00CC7883">
        <w:rPr>
          <w:rFonts w:ascii="Times New Roman" w:eastAsia="Times New Roman" w:hAnsi="Times New Roman" w:cs="Times New Roman"/>
          <w:color w:val="000000" w:themeColor="text1"/>
          <w:sz w:val="28"/>
          <w:szCs w:val="28"/>
          <w:lang w:eastAsia="ru-RU"/>
        </w:rPr>
        <w:t>: на агроперліті – 87,0–88,9 %, на вермикуліті – 86,4–88,5</w:t>
      </w:r>
      <w:r w:rsidR="004B7F24">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 xml:space="preserve">%, а на суміші агроперліт + вермикуліт – 85,0–86,4 %, що було менше за контрольні значення на </w:t>
      </w:r>
      <w:bookmarkStart w:id="85" w:name="_Hlk220504760"/>
      <w:r w:rsidRPr="00CC7883">
        <w:rPr>
          <w:rFonts w:ascii="Times New Roman" w:eastAsia="Times New Roman" w:hAnsi="Times New Roman" w:cs="Times New Roman"/>
          <w:color w:val="000000" w:themeColor="text1"/>
          <w:sz w:val="28"/>
          <w:szCs w:val="28"/>
          <w:lang w:eastAsia="ru-RU"/>
        </w:rPr>
        <w:t>3,5</w:t>
      </w:r>
      <w:bookmarkEnd w:id="85"/>
      <w:r w:rsidRPr="00CC7883">
        <w:rPr>
          <w:rFonts w:ascii="Times New Roman" w:eastAsia="Times New Roman" w:hAnsi="Times New Roman" w:cs="Times New Roman"/>
          <w:color w:val="000000" w:themeColor="text1"/>
          <w:sz w:val="28"/>
          <w:szCs w:val="28"/>
          <w:lang w:eastAsia="ru-RU"/>
        </w:rPr>
        <w:t>–7,6 % у підщепних і на 5,2–</w:t>
      </w:r>
      <w:bookmarkStart w:id="86" w:name="_Hlk220504767"/>
      <w:r w:rsidRPr="00CC7883">
        <w:rPr>
          <w:rFonts w:ascii="Times New Roman" w:eastAsia="Times New Roman" w:hAnsi="Times New Roman" w:cs="Times New Roman"/>
          <w:color w:val="000000" w:themeColor="text1"/>
          <w:sz w:val="28"/>
          <w:szCs w:val="28"/>
          <w:lang w:eastAsia="ru-RU"/>
        </w:rPr>
        <w:t>8,5 %</w:t>
      </w:r>
      <w:bookmarkEnd w:id="86"/>
      <w:r w:rsidRPr="00CC7883">
        <w:rPr>
          <w:rFonts w:ascii="Times New Roman" w:eastAsia="Times New Roman" w:hAnsi="Times New Roman" w:cs="Times New Roman"/>
          <w:color w:val="000000" w:themeColor="text1"/>
          <w:sz w:val="28"/>
          <w:szCs w:val="28"/>
          <w:lang w:eastAsia="ru-RU"/>
        </w:rPr>
        <w:t xml:space="preserve"> у технічних сортів.</w:t>
      </w:r>
    </w:p>
    <w:p w:rsidR="005A3F7D" w:rsidRPr="00CC7883" w:rsidRDefault="005A3F7D" w:rsidP="00047411">
      <w:pPr>
        <w:widowControl w:val="0"/>
        <w:numPr>
          <w:ilvl w:val="0"/>
          <w:numId w:val="21"/>
        </w:numPr>
        <w:spacing w:after="0" w:line="360" w:lineRule="auto"/>
        <w:ind w:left="0" w:firstLine="0"/>
        <w:jc w:val="both"/>
        <w:rPr>
          <w:rFonts w:ascii="Times New Roman" w:eastAsia="Times New Roman" w:hAnsi="Times New Roman" w:cs="Times New Roman"/>
          <w:color w:val="000000" w:themeColor="text1"/>
          <w:sz w:val="28"/>
          <w:szCs w:val="28"/>
          <w:lang w:eastAsia="ru-RU"/>
        </w:rPr>
      </w:pPr>
      <w:bookmarkStart w:id="87" w:name="_Hlk220504796"/>
      <w:r w:rsidRPr="00CC7883">
        <w:rPr>
          <w:rFonts w:ascii="Times New Roman" w:eastAsia="Times New Roman" w:hAnsi="Times New Roman" w:cs="Times New Roman"/>
          <w:color w:val="000000" w:themeColor="text1"/>
          <w:sz w:val="28"/>
          <w:szCs w:val="28"/>
          <w:lang w:eastAsia="ru-RU"/>
        </w:rPr>
        <w:t xml:space="preserve">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Times New Roman" w:hAnsi="Times New Roman" w:cs="Times New Roman"/>
          <w:color w:val="000000" w:themeColor="text1"/>
          <w:sz w:val="28"/>
          <w:szCs w:val="28"/>
          <w:lang w:eastAsia="ru-RU"/>
        </w:rPr>
        <w:t xml:space="preserve"> води </w:t>
      </w:r>
      <w:bookmarkEnd w:id="87"/>
      <w:r w:rsidRPr="00CC7883">
        <w:rPr>
          <w:rFonts w:ascii="Times New Roman" w:eastAsia="Times New Roman" w:hAnsi="Times New Roman" w:cs="Times New Roman"/>
          <w:color w:val="000000" w:themeColor="text1"/>
          <w:sz w:val="28"/>
          <w:szCs w:val="28"/>
          <w:lang w:eastAsia="ru-RU"/>
        </w:rPr>
        <w:t xml:space="preserve">у контрольних і дослідних варіантах із БАП (перший–шостий варіанти) знаходився у межах 39,5–45,4 %, без достовірної різниці між ними. У рослин, що культивували на структурованих поживних середовищах, цей показник знижувався на 2,5–5,7 % у сортів «Добриня» і «Гарант» та на 2,2–5,1 % у сортів «Ярило» і «Загрей». Мікроклони винограду, які культивували на структурованих поживних середовищах з агроперлітом, вермикулітом або їх сумішшю (сьомий–дванадцятий варіанти), втрачали в середньому за 60 </w:t>
      </w:r>
      <w:r w:rsidRPr="00CC7883">
        <w:rPr>
          <w:rFonts w:ascii="Times New Roman" w:eastAsia="NSimSun" w:hAnsi="Times New Roman" w:cs="Times New Roman"/>
          <w:color w:val="000000" w:themeColor="text1"/>
          <w:kern w:val="3"/>
          <w:sz w:val="28"/>
          <w:szCs w:val="28"/>
        </w:rPr>
        <w:t>хв</w:t>
      </w:r>
      <w:r w:rsidRPr="00CC7883">
        <w:rPr>
          <w:rFonts w:ascii="Times New Roman" w:eastAsia="Times New Roman" w:hAnsi="Times New Roman" w:cs="Times New Roman"/>
          <w:color w:val="000000" w:themeColor="text1"/>
          <w:sz w:val="28"/>
          <w:szCs w:val="28"/>
          <w:lang w:eastAsia="ru-RU"/>
        </w:rPr>
        <w:t xml:space="preserve"> тільки 0,004–0,054 г води («Добриня», «Гарант») і 0,005–0,034 г («Ярило», «Загрей»), що було менше за контрольні значення на 18,1–56,0 %. Мікроклони винограду на поживних середовищах із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Times New Roman" w:hAnsi="Times New Roman" w:cs="Times New Roman"/>
          <w:color w:val="000000" w:themeColor="text1"/>
          <w:sz w:val="28"/>
          <w:szCs w:val="28"/>
          <w:lang w:eastAsia="ru-RU"/>
        </w:rPr>
        <w:t xml:space="preserve"> та Радіфарм (третій–шостий варіанти) </w:t>
      </w:r>
      <w:r w:rsidRPr="00CC7883">
        <w:rPr>
          <w:rFonts w:ascii="Times New Roman" w:eastAsia="Times New Roman" w:hAnsi="Times New Roman" w:cs="Times New Roman"/>
          <w:color w:val="000000" w:themeColor="text1"/>
          <w:sz w:val="28"/>
          <w:szCs w:val="28"/>
          <w:lang w:eastAsia="ru-RU"/>
        </w:rPr>
        <w:lastRenderedPageBreak/>
        <w:t>втрачали 0,006–0,078 г води, що відповідало рівню контролю.</w:t>
      </w:r>
    </w:p>
    <w:p w:rsidR="005A3F7D" w:rsidRPr="00CC7883" w:rsidRDefault="005A3F7D" w:rsidP="00047411">
      <w:pPr>
        <w:widowControl w:val="0"/>
        <w:spacing w:after="0" w:line="360" w:lineRule="auto"/>
        <w:ind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Порівняльна оцінка варіантів досліду, які відрізнялися за вмістом фітогормонів</w:t>
      </w:r>
      <w:r w:rsidR="00B51A63">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показала, що рослини, вирощені на поживних середовищах із меншими концентраціями ІОК і 6-БАП (0,3 і 0,2 мг/л відповідно), мали вищу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Fonts w:ascii="Times New Roman" w:eastAsia="Times New Roman" w:hAnsi="Times New Roman" w:cs="Times New Roman"/>
          <w:color w:val="000000" w:themeColor="text1"/>
          <w:sz w:val="28"/>
          <w:szCs w:val="28"/>
          <w:lang w:eastAsia="ru-RU"/>
        </w:rPr>
        <w:t xml:space="preserve">у здатність. </w:t>
      </w:r>
    </w:p>
    <w:p w:rsidR="005A3F7D" w:rsidRPr="00CC7883" w:rsidRDefault="005A3F7D" w:rsidP="00047411">
      <w:pPr>
        <w:widowControl w:val="0"/>
        <w:spacing w:after="0" w:line="360" w:lineRule="auto"/>
        <w:ind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Times New Roman" w:hAnsi="Times New Roman" w:cs="Times New Roman"/>
          <w:color w:val="000000" w:themeColor="text1"/>
          <w:sz w:val="28"/>
          <w:szCs w:val="28"/>
          <w:lang w:eastAsia="ru-RU"/>
        </w:rPr>
        <w:t xml:space="preserve"> води у тканинах мікроклонів винограду, які культивували на мінеральних поживних субстратах, також був нижчим від контрольних значень, що свідчить про вищий ступінь фізіологічної зрілості тканин та</w:t>
      </w:r>
      <w:r w:rsidR="001B0EFA">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w:t>
      </w:r>
      <w:r w:rsidR="001B7D0D">
        <w:rPr>
          <w:rFonts w:ascii="Times New Roman" w:eastAsia="Times New Roman" w:hAnsi="Times New Roman" w:cs="Times New Roman"/>
          <w:color w:val="000000" w:themeColor="text1"/>
          <w:sz w:val="28"/>
          <w:szCs w:val="28"/>
          <w:lang w:eastAsia="ru-RU"/>
        </w:rPr>
        <w:t>у результаті</w:t>
      </w:r>
      <w:r w:rsidRPr="00CC7883">
        <w:rPr>
          <w:rFonts w:ascii="Times New Roman" w:eastAsia="Times New Roman" w:hAnsi="Times New Roman" w:cs="Times New Roman"/>
          <w:color w:val="000000" w:themeColor="text1"/>
          <w:sz w:val="28"/>
          <w:szCs w:val="28"/>
          <w:lang w:eastAsia="ru-RU"/>
        </w:rPr>
        <w:t xml:space="preserve">, підвищення адаптаційної здатності рослин до умов поза культурою </w:t>
      </w:r>
      <w:r w:rsidR="001221F9"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На агроперліті цей показник зменшувався на 2,9–4,1</w:t>
      </w:r>
      <w:r w:rsidR="00EA4B1F" w:rsidRPr="00CC7883">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 xml:space="preserve">%, на вермикуліті – на 6,3–7,2 %, на суміші субстратів – на 7,4–7,8 % для підщепних сортів та на 1,8–7,3 % для технічних сортів. </w:t>
      </w:r>
      <w:bookmarkStart w:id="88" w:name="_Hlk220504964"/>
      <w:r w:rsidRPr="00CC7883">
        <w:rPr>
          <w:rFonts w:ascii="Times New Roman" w:eastAsia="Times New Roman" w:hAnsi="Times New Roman" w:cs="Times New Roman"/>
          <w:color w:val="000000" w:themeColor="text1"/>
          <w:sz w:val="28"/>
          <w:szCs w:val="28"/>
          <w:lang w:eastAsia="ru-RU"/>
        </w:rPr>
        <w:t>Відповідно</w:t>
      </w:r>
      <w:r w:rsidR="001942E3">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Fonts w:ascii="Times New Roman" w:eastAsia="Times New Roman" w:hAnsi="Times New Roman" w:cs="Times New Roman"/>
          <w:color w:val="000000" w:themeColor="text1"/>
          <w:sz w:val="28"/>
          <w:szCs w:val="28"/>
          <w:lang w:eastAsia="ru-RU"/>
        </w:rPr>
        <w:t>а здатність мікроклонів, які культивували на мінеральних поживних субстратах</w:t>
      </w:r>
      <w:r w:rsidR="001B0EFA">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була вищою</w:t>
      </w:r>
      <w:r w:rsidR="001B0EFA">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ніж у контролях. Після 60 </w:t>
      </w:r>
      <w:r w:rsidRPr="00CC7883">
        <w:rPr>
          <w:rFonts w:ascii="Times New Roman" w:eastAsia="NSimSun" w:hAnsi="Times New Roman" w:cs="Times New Roman"/>
          <w:color w:val="000000" w:themeColor="text1"/>
          <w:kern w:val="3"/>
          <w:sz w:val="28"/>
          <w:szCs w:val="28"/>
        </w:rPr>
        <w:t>хв</w:t>
      </w:r>
      <w:r w:rsidRPr="00CC7883">
        <w:rPr>
          <w:rFonts w:ascii="Times New Roman" w:eastAsia="Times New Roman" w:hAnsi="Times New Roman" w:cs="Times New Roman"/>
          <w:color w:val="000000" w:themeColor="text1"/>
          <w:sz w:val="28"/>
          <w:szCs w:val="28"/>
          <w:lang w:eastAsia="ru-RU"/>
        </w:rPr>
        <w:t xml:space="preserve"> підсушування кількість випаровуваної води зменшувалась в 1,1–2,4 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(підщепні сорти) і в 1,4–2,2 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(технічні сорти).</w:t>
      </w:r>
    </w:p>
    <w:bookmarkEnd w:id="88"/>
    <w:p w:rsidR="005A3F7D" w:rsidRPr="00CC7883" w:rsidRDefault="005A3F7D" w:rsidP="00047411">
      <w:pPr>
        <w:widowControl w:val="0"/>
        <w:numPr>
          <w:ilvl w:val="0"/>
          <w:numId w:val="21"/>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Визначення вмісту сухих речовин у вегетативній </w:t>
      </w:r>
      <w:r w:rsidR="00DF247A" w:rsidRPr="00CC7883">
        <w:rPr>
          <w:rFonts w:ascii="Times New Roman" w:eastAsia="NSimSun" w:hAnsi="Times New Roman" w:cs="Times New Roman"/>
          <w:color w:val="000000" w:themeColor="text1"/>
          <w:kern w:val="3"/>
          <w:sz w:val="28"/>
          <w:szCs w:val="28"/>
        </w:rPr>
        <w:t>надземній</w:t>
      </w:r>
      <w:r w:rsidR="001816A3" w:rsidRPr="00CC7883">
        <w:rPr>
          <w:rFonts w:ascii="Times New Roman" w:eastAsia="NSimSun" w:hAnsi="Times New Roman" w:cs="Times New Roman"/>
          <w:color w:val="000000" w:themeColor="text1"/>
          <w:kern w:val="3"/>
          <w:sz w:val="28"/>
          <w:szCs w:val="28"/>
        </w:rPr>
        <w:t xml:space="preserve"> </w:t>
      </w:r>
      <w:r w:rsidRPr="00CC7883">
        <w:rPr>
          <w:rFonts w:ascii="Times New Roman" w:eastAsia="Times New Roman" w:hAnsi="Times New Roman" w:cs="Times New Roman"/>
          <w:color w:val="000000" w:themeColor="text1"/>
          <w:sz w:val="28"/>
          <w:szCs w:val="28"/>
          <w:lang w:eastAsia="ru-RU"/>
        </w:rPr>
        <w:t xml:space="preserve">масі мікроклонів винограду показало, що у контрольних варіантах (MS + 0,3 мг/л ІОК + 0,2 мг/л 6-БАП; MS + 0,6 мг/л ІОК + 0,5 мг/л 6-БАП) цей показник був найменшим і дорівнював 6,4–7,1 % для сорту «Добриня», 7,2–7,9 % для сорту «Гарант», 5,9–6,6 % для сорту «Ярило», 7,3–8,4 % для сорту «Загрей». На поживних середовищах MS із додаванням препаратів Радіфарм і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Times New Roman" w:hAnsi="Times New Roman" w:cs="Times New Roman"/>
          <w:color w:val="000000" w:themeColor="text1"/>
          <w:sz w:val="28"/>
          <w:szCs w:val="28"/>
          <w:lang w:eastAsia="ru-RU"/>
        </w:rPr>
        <w:t xml:space="preserve"> вміст сухих речовин збільшувався порівняно з контролем, але різниця була не суттєвою. Найбільші значення цього показника були характерні для мікроклонів винограду, що культивували на структурованих поживних середовищах (агроперліт, вермикуліт, агроперліт + вермикуліт) із меншим вмістом фітогормонів (ІОК – 0,3 мг/л, 6-БАП – 0,2 мг/л). У рослин цих варіантів кількість сухих речовин перевищувала контроль на 7,7–8,8 % («Добриня»), 5,5–6,6 % («Гарант»), 5,5–6,7 % («Ярило») та 5,5–6,5 % («Загрей») і дорівнювала в середньому 13,4–15,8 % у підщепних та 12,1–</w:t>
      </w:r>
      <w:r w:rsidRPr="00CC7883">
        <w:rPr>
          <w:rFonts w:ascii="Times New Roman" w:eastAsia="Times New Roman" w:hAnsi="Times New Roman" w:cs="Times New Roman"/>
          <w:color w:val="000000" w:themeColor="text1"/>
          <w:sz w:val="28"/>
          <w:szCs w:val="28"/>
          <w:lang w:eastAsia="ru-RU"/>
        </w:rPr>
        <w:lastRenderedPageBreak/>
        <w:t>14,9</w:t>
      </w:r>
      <w:r w:rsidR="00EA4B1F" w:rsidRPr="00CC7883">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 у технічних сортів.</w:t>
      </w:r>
    </w:p>
    <w:p w:rsidR="005A3F7D" w:rsidRPr="00CC7883" w:rsidRDefault="005A3F7D" w:rsidP="00047411">
      <w:pPr>
        <w:widowControl w:val="0"/>
        <w:spacing w:after="0" w:line="360" w:lineRule="auto"/>
        <w:ind w:firstLine="708"/>
        <w:jc w:val="both"/>
        <w:rPr>
          <w:rFonts w:ascii="Times New Roman" w:eastAsia="Times New Roman" w:hAnsi="Times New Roman" w:cs="Times New Roman"/>
          <w:color w:val="000000" w:themeColor="text1"/>
          <w:sz w:val="28"/>
          <w:szCs w:val="28"/>
          <w:lang w:eastAsia="ru-RU"/>
        </w:rPr>
      </w:pPr>
      <w:bookmarkStart w:id="89" w:name="_Hlk220505047"/>
      <w:r w:rsidRPr="00CC7883">
        <w:rPr>
          <w:rFonts w:ascii="Times New Roman" w:eastAsia="Times New Roman" w:hAnsi="Times New Roman" w:cs="Times New Roman"/>
          <w:color w:val="000000" w:themeColor="text1"/>
          <w:sz w:val="28"/>
          <w:szCs w:val="28"/>
          <w:lang w:eastAsia="ru-RU"/>
        </w:rPr>
        <w:t>Кількість сухих речовин у мікроклонах, вирощених на мінеральних субстратах, збільшувалась</w:t>
      </w:r>
      <w:bookmarkEnd w:id="89"/>
      <w:r w:rsidRPr="00CC7883">
        <w:rPr>
          <w:rFonts w:ascii="Times New Roman" w:eastAsia="Times New Roman" w:hAnsi="Times New Roman" w:cs="Times New Roman"/>
          <w:color w:val="000000" w:themeColor="text1"/>
          <w:sz w:val="28"/>
          <w:szCs w:val="28"/>
          <w:lang w:eastAsia="ru-RU"/>
        </w:rPr>
        <w:t xml:space="preserve"> від 11,1–13,6 % (агроперліт і вермикуліт) до 13,6–15,0</w:t>
      </w:r>
      <w:r w:rsidR="0033308C" w:rsidRPr="00CC7883">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 xml:space="preserve">% (агроперліт + вермикуліт), перевищуючи контрольні значення на </w:t>
      </w:r>
      <w:bookmarkStart w:id="90" w:name="_Hlk220505071"/>
      <w:r w:rsidRPr="00CC7883">
        <w:rPr>
          <w:rFonts w:ascii="Times New Roman" w:eastAsia="Times New Roman" w:hAnsi="Times New Roman" w:cs="Times New Roman"/>
          <w:color w:val="000000" w:themeColor="text1"/>
          <w:sz w:val="28"/>
          <w:szCs w:val="28"/>
          <w:lang w:eastAsia="ru-RU"/>
        </w:rPr>
        <w:t>3,5–8,5</w:t>
      </w:r>
      <w:r w:rsidR="0033308C" w:rsidRPr="00CC7883">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w:t>
      </w:r>
      <w:bookmarkEnd w:id="90"/>
      <w:r w:rsidRPr="00CC7883">
        <w:rPr>
          <w:rFonts w:ascii="Times New Roman" w:eastAsia="Times New Roman" w:hAnsi="Times New Roman" w:cs="Times New Roman"/>
          <w:color w:val="000000" w:themeColor="text1"/>
          <w:sz w:val="28"/>
          <w:szCs w:val="28"/>
          <w:lang w:eastAsia="ru-RU"/>
        </w:rPr>
        <w:t>. Це вказує на активніший перебіг метаболічних процесів та краще формування структурно-функціональної стабільності тканин.</w:t>
      </w:r>
    </w:p>
    <w:p w:rsidR="005A3F7D" w:rsidRPr="00CC7883" w:rsidRDefault="005A3F7D" w:rsidP="00047411">
      <w:pPr>
        <w:widowControl w:val="0"/>
        <w:numPr>
          <w:ilvl w:val="0"/>
          <w:numId w:val="21"/>
        </w:numPr>
        <w:spacing w:after="0" w:line="360" w:lineRule="auto"/>
        <w:ind w:left="0" w:firstLine="0"/>
        <w:contextualSpacing/>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Найбільше значення показника інтенсивності транспірації вегетативної </w:t>
      </w:r>
      <w:r w:rsidR="008255F5" w:rsidRPr="00CC7883">
        <w:rPr>
          <w:rFonts w:ascii="Times New Roman" w:eastAsia="NSimSun" w:hAnsi="Times New Roman" w:cs="Times New Roman"/>
          <w:color w:val="000000" w:themeColor="text1"/>
          <w:kern w:val="3"/>
          <w:sz w:val="28"/>
          <w:szCs w:val="28"/>
        </w:rPr>
        <w:t>надземної</w:t>
      </w:r>
      <w:r w:rsidR="007073CE" w:rsidRPr="00CC7883">
        <w:rPr>
          <w:rFonts w:ascii="Times New Roman" w:eastAsia="NSimSun" w:hAnsi="Times New Roman" w:cs="Times New Roman"/>
          <w:color w:val="000000" w:themeColor="text1"/>
          <w:kern w:val="3"/>
          <w:sz w:val="28"/>
          <w:szCs w:val="28"/>
        </w:rPr>
        <w:t xml:space="preserve"> </w:t>
      </w:r>
      <w:r w:rsidRPr="00CC7883">
        <w:rPr>
          <w:rFonts w:ascii="Times New Roman" w:eastAsia="Times New Roman" w:hAnsi="Times New Roman" w:cs="Times New Roman"/>
          <w:color w:val="000000" w:themeColor="text1"/>
          <w:sz w:val="28"/>
          <w:szCs w:val="28"/>
          <w:lang w:eastAsia="ru-RU"/>
        </w:rPr>
        <w:t xml:space="preserve">маси мікроклонів винограду було встановлено у контрольних варіантах, де через 5 і 10 </w:t>
      </w:r>
      <w:r w:rsidRPr="00CC7883">
        <w:rPr>
          <w:rFonts w:ascii="Times New Roman" w:eastAsia="NSimSun" w:hAnsi="Times New Roman" w:cs="Times New Roman"/>
          <w:color w:val="000000" w:themeColor="text1"/>
          <w:kern w:val="3"/>
          <w:sz w:val="28"/>
          <w:szCs w:val="28"/>
        </w:rPr>
        <w:t>хв</w:t>
      </w:r>
      <w:r w:rsidRPr="00CC7883">
        <w:rPr>
          <w:rFonts w:ascii="Times New Roman" w:eastAsia="Times New Roman" w:hAnsi="Times New Roman" w:cs="Times New Roman"/>
          <w:color w:val="000000" w:themeColor="text1"/>
          <w:sz w:val="28"/>
          <w:szCs w:val="28"/>
          <w:lang w:eastAsia="ru-RU"/>
        </w:rPr>
        <w:t xml:space="preserve"> він дорівнював відповідно 1,9–2,8 і 5,5–10,0</w:t>
      </w:r>
      <w:r w:rsidR="0069327F">
        <w:rPr>
          <w:rFonts w:ascii="Times New Roman" w:eastAsia="Times New Roman" w:hAnsi="Times New Roman" w:cs="Times New Roman"/>
          <w:color w:val="000000" w:themeColor="text1"/>
          <w:sz w:val="28"/>
          <w:szCs w:val="28"/>
          <w:lang w:eastAsia="ru-RU"/>
        </w:rPr>
        <w:t> </w:t>
      </w:r>
      <w:r w:rsidRPr="00CC7883">
        <w:rPr>
          <w:rFonts w:ascii="Times New Roman" w:eastAsia="Andale Sans UI" w:hAnsi="Times New Roman" w:cs="Times New Roman"/>
          <w:color w:val="000000" w:themeColor="text1"/>
          <w:sz w:val="28"/>
          <w:szCs w:val="28"/>
        </w:rPr>
        <w:t>г</w:t>
      </w:r>
      <w:r w:rsidR="0041063B">
        <w:rPr>
          <w:rFonts w:ascii="Times New Roman" w:eastAsia="Andale Sans UI" w:hAnsi="Times New Roman" w:cs="Times New Roman"/>
          <w:color w:val="000000" w:themeColor="text1"/>
          <w:sz w:val="28"/>
          <w:szCs w:val="28"/>
        </w:rPr>
        <w:t>/</w:t>
      </w:r>
      <w:r w:rsidRPr="00CC7883">
        <w:rPr>
          <w:rFonts w:ascii="Times New Roman" w:eastAsia="Andale Sans UI" w:hAnsi="Times New Roman" w:cs="Times New Roman"/>
          <w:color w:val="000000" w:themeColor="text1"/>
          <w:sz w:val="28"/>
          <w:szCs w:val="28"/>
        </w:rPr>
        <w:t>(м</w:t>
      </w:r>
      <w:r w:rsidRPr="00CC7883">
        <w:rPr>
          <w:rFonts w:ascii="Times New Roman" w:eastAsia="Andale Sans UI" w:hAnsi="Times New Roman" w:cs="Times New Roman"/>
          <w:color w:val="000000" w:themeColor="text1"/>
          <w:sz w:val="28"/>
          <w:szCs w:val="28"/>
          <w:vertAlign w:val="superscript"/>
        </w:rPr>
        <w:t>2</w:t>
      </w:r>
      <w:r w:rsidRPr="00CC7883">
        <w:rPr>
          <w:rFonts w:ascii="Times New Roman" w:eastAsia="Andale Sans UI" w:hAnsi="Times New Roman" w:cs="Times New Roman"/>
          <w:color w:val="000000" w:themeColor="text1"/>
          <w:sz w:val="28"/>
          <w:szCs w:val="28"/>
        </w:rPr>
        <w:t xml:space="preserve">×год). Додавання до поживних середовищ біологічно активних препаратів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Andale Sans UI" w:hAnsi="Times New Roman" w:cs="Times New Roman"/>
          <w:color w:val="000000" w:themeColor="text1"/>
          <w:sz w:val="28"/>
          <w:szCs w:val="28"/>
        </w:rPr>
        <w:t xml:space="preserve"> і Радіфарм спричиняло зниження інтенсивності транспірації вегетативної </w:t>
      </w:r>
      <w:r w:rsidR="008255F5" w:rsidRPr="00CC7883">
        <w:rPr>
          <w:rFonts w:ascii="Times New Roman" w:eastAsia="NSimSun" w:hAnsi="Times New Roman" w:cs="Times New Roman"/>
          <w:color w:val="000000" w:themeColor="text1"/>
          <w:kern w:val="3"/>
          <w:sz w:val="28"/>
          <w:szCs w:val="28"/>
        </w:rPr>
        <w:t>надземної</w:t>
      </w:r>
      <w:r w:rsidR="007073CE" w:rsidRPr="00CC7883">
        <w:rPr>
          <w:rFonts w:ascii="Times New Roman" w:eastAsia="NSimSun" w:hAnsi="Times New Roman" w:cs="Times New Roman"/>
          <w:color w:val="000000" w:themeColor="text1"/>
          <w:kern w:val="3"/>
          <w:sz w:val="28"/>
          <w:szCs w:val="28"/>
        </w:rPr>
        <w:t xml:space="preserve"> </w:t>
      </w:r>
      <w:r w:rsidRPr="00CC7883">
        <w:rPr>
          <w:rFonts w:ascii="Times New Roman" w:eastAsia="Andale Sans UI" w:hAnsi="Times New Roman" w:cs="Times New Roman"/>
          <w:color w:val="000000" w:themeColor="text1"/>
          <w:sz w:val="28"/>
          <w:szCs w:val="28"/>
        </w:rPr>
        <w:t xml:space="preserve">маси у мікроклонів усіх досліджуваних сортів відносно контролю. Через 5 </w:t>
      </w:r>
      <w:r w:rsidRPr="00CC7883">
        <w:rPr>
          <w:rFonts w:ascii="Times New Roman" w:eastAsia="NSimSun" w:hAnsi="Times New Roman" w:cs="Times New Roman"/>
          <w:color w:val="000000" w:themeColor="text1"/>
          <w:kern w:val="3"/>
          <w:sz w:val="28"/>
          <w:szCs w:val="28"/>
        </w:rPr>
        <w:t>хв</w:t>
      </w:r>
      <w:r w:rsidRPr="00CC7883">
        <w:rPr>
          <w:rFonts w:ascii="Times New Roman" w:eastAsia="Andale Sans UI" w:hAnsi="Times New Roman" w:cs="Times New Roman"/>
          <w:color w:val="000000" w:themeColor="text1"/>
          <w:sz w:val="28"/>
          <w:szCs w:val="28"/>
        </w:rPr>
        <w:t xml:space="preserve"> вона зменшувалася на 34,3–53,3 % («Добриня»), 31,9–44,8</w:t>
      </w:r>
      <w:r w:rsidR="008723A6">
        <w:rPr>
          <w:rFonts w:ascii="Times New Roman" w:eastAsia="Andale Sans UI" w:hAnsi="Times New Roman" w:cs="Times New Roman"/>
          <w:color w:val="000000" w:themeColor="text1"/>
          <w:sz w:val="28"/>
          <w:szCs w:val="28"/>
        </w:rPr>
        <w:t xml:space="preserve"> </w:t>
      </w:r>
      <w:r w:rsidRPr="00CC7883">
        <w:rPr>
          <w:rFonts w:ascii="Times New Roman" w:eastAsia="Andale Sans UI" w:hAnsi="Times New Roman" w:cs="Times New Roman"/>
          <w:color w:val="000000" w:themeColor="text1"/>
          <w:sz w:val="28"/>
          <w:szCs w:val="28"/>
        </w:rPr>
        <w:t>% («Гарант»),</w:t>
      </w:r>
      <w:r w:rsidRPr="00CC7883">
        <w:rPr>
          <w:rFonts w:ascii="Times New Roman" w:eastAsia="Times New Roman" w:hAnsi="Times New Roman" w:cs="Times New Roman"/>
          <w:color w:val="000000" w:themeColor="text1"/>
          <w:sz w:val="28"/>
          <w:szCs w:val="28"/>
          <w:lang w:eastAsia="ru-RU"/>
        </w:rPr>
        <w:t xml:space="preserve"> 9,2–41,1 % («Ярило»), 14,9–21,4 % («Загрей»); через 10 </w:t>
      </w:r>
      <w:r w:rsidRPr="00CC7883">
        <w:rPr>
          <w:rFonts w:ascii="Times New Roman" w:eastAsia="NSimSun" w:hAnsi="Times New Roman" w:cs="Times New Roman"/>
          <w:color w:val="000000" w:themeColor="text1"/>
          <w:kern w:val="3"/>
          <w:sz w:val="28"/>
          <w:szCs w:val="28"/>
        </w:rPr>
        <w:t>хв</w:t>
      </w:r>
      <w:r w:rsidRPr="00CC7883">
        <w:rPr>
          <w:rFonts w:ascii="Times New Roman" w:eastAsia="Times New Roman" w:hAnsi="Times New Roman" w:cs="Times New Roman"/>
          <w:color w:val="000000" w:themeColor="text1"/>
          <w:sz w:val="28"/>
          <w:szCs w:val="28"/>
          <w:lang w:eastAsia="ru-RU"/>
        </w:rPr>
        <w:t xml:space="preserve"> – на 17,7–26,0 %, 26,1–30,9 %, 4,2–18,8 %, 16,8–40,2</w:t>
      </w:r>
      <w:r w:rsidR="00EA4B1F" w:rsidRPr="00CC7883">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 xml:space="preserve">%. У варіантах, де поживне середовище містило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004C5062" w:rsidRPr="00CC7883">
        <w:rPr>
          <w:rFonts w:ascii="Times New Roman" w:eastAsia="Times New Roman" w:hAnsi="Times New Roman" w:cs="Times New Roman"/>
          <w:color w:val="000000" w:themeColor="text1"/>
          <w:sz w:val="28"/>
          <w:szCs w:val="28"/>
          <w:lang w:eastAsia="ru-RU"/>
        </w:rPr>
        <w:t>і</w:t>
      </w:r>
      <w:r w:rsidRPr="00CC7883">
        <w:rPr>
          <w:rFonts w:ascii="Times New Roman" w:eastAsia="Times New Roman" w:hAnsi="Times New Roman" w:cs="Times New Roman"/>
          <w:color w:val="000000" w:themeColor="text1"/>
          <w:sz w:val="28"/>
          <w:szCs w:val="28"/>
          <w:lang w:eastAsia="ru-RU"/>
        </w:rPr>
        <w:t xml:space="preserve"> компоненти (агроперліт, вермикуліт або їх суміш), інтенсивність транспірації зменшувалася ще більше – у 1,8–2,7 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порівняно з контролем. Це свідчить, що БАП та структуровані поживні середовища сприяли зниженню інтенсивності транспірації випаровування води завдяки стимулюванню формування більш щільних тканин і стабілізації продихового апарату.</w:t>
      </w:r>
    </w:p>
    <w:p w:rsidR="005A3F7D" w:rsidRPr="00CC7883" w:rsidRDefault="005A3F7D" w:rsidP="00047411">
      <w:pPr>
        <w:widowControl w:val="0"/>
        <w:spacing w:after="0" w:line="360" w:lineRule="auto"/>
        <w:ind w:firstLine="708"/>
        <w:contextualSpacing/>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Порівняння варіантів із різним вмістом фітогормонів показало, що при нижчому їх рівні (0,3 мг/л ІОК, 0,2 мг/л 6-БАП) інтенсивність транспірації була вищою, ніж за підвищеного (0,6 мг/л ІОК, 0,5 мг/л 6-БАП): у середньому на 7,8–11,1 % (через 5 </w:t>
      </w:r>
      <w:r w:rsidRPr="00CC7883">
        <w:rPr>
          <w:rFonts w:ascii="Times New Roman" w:eastAsia="NSimSun" w:hAnsi="Times New Roman" w:cs="Times New Roman"/>
          <w:color w:val="000000" w:themeColor="text1"/>
          <w:kern w:val="3"/>
          <w:sz w:val="28"/>
          <w:szCs w:val="28"/>
        </w:rPr>
        <w:t>хв</w:t>
      </w:r>
      <w:r w:rsidRPr="00CC7883">
        <w:rPr>
          <w:rFonts w:ascii="Times New Roman" w:eastAsia="Times New Roman" w:hAnsi="Times New Roman" w:cs="Times New Roman"/>
          <w:color w:val="000000" w:themeColor="text1"/>
          <w:sz w:val="28"/>
          <w:szCs w:val="28"/>
          <w:lang w:eastAsia="ru-RU"/>
        </w:rPr>
        <w:t xml:space="preserve">) та на 9,2–29,7 % (через 10 </w:t>
      </w:r>
      <w:r w:rsidRPr="00CC7883">
        <w:rPr>
          <w:rFonts w:ascii="Times New Roman" w:eastAsia="NSimSun" w:hAnsi="Times New Roman" w:cs="Times New Roman"/>
          <w:color w:val="000000" w:themeColor="text1"/>
          <w:kern w:val="3"/>
          <w:sz w:val="28"/>
          <w:szCs w:val="28"/>
        </w:rPr>
        <w:t>хв</w:t>
      </w:r>
      <w:r w:rsidRPr="00CC7883">
        <w:rPr>
          <w:rFonts w:ascii="Times New Roman" w:eastAsia="Times New Roman" w:hAnsi="Times New Roman" w:cs="Times New Roman"/>
          <w:color w:val="000000" w:themeColor="text1"/>
          <w:sz w:val="28"/>
          <w:szCs w:val="28"/>
          <w:lang w:eastAsia="ru-RU"/>
        </w:rPr>
        <w:t xml:space="preserve">) у підщепних сортів, на 7,0–14,1 % (через 5 </w:t>
      </w:r>
      <w:r w:rsidRPr="00CC7883">
        <w:rPr>
          <w:rFonts w:ascii="Times New Roman" w:eastAsia="NSimSun" w:hAnsi="Times New Roman" w:cs="Times New Roman"/>
          <w:color w:val="000000" w:themeColor="text1"/>
          <w:kern w:val="3"/>
          <w:sz w:val="28"/>
          <w:szCs w:val="28"/>
        </w:rPr>
        <w:t>хв</w:t>
      </w:r>
      <w:r w:rsidRPr="00CC7883">
        <w:rPr>
          <w:rFonts w:ascii="Times New Roman" w:eastAsia="Times New Roman" w:hAnsi="Times New Roman" w:cs="Times New Roman"/>
          <w:color w:val="000000" w:themeColor="text1"/>
          <w:sz w:val="28"/>
          <w:szCs w:val="28"/>
          <w:lang w:eastAsia="ru-RU"/>
        </w:rPr>
        <w:t xml:space="preserve">) і 4,6–4,9 % (через 10 </w:t>
      </w:r>
      <w:r w:rsidRPr="00CC7883">
        <w:rPr>
          <w:rFonts w:ascii="Times New Roman" w:eastAsia="NSimSun" w:hAnsi="Times New Roman" w:cs="Times New Roman"/>
          <w:color w:val="000000" w:themeColor="text1"/>
          <w:kern w:val="3"/>
          <w:sz w:val="28"/>
          <w:szCs w:val="28"/>
        </w:rPr>
        <w:t>хв</w:t>
      </w:r>
      <w:r w:rsidRPr="00CC7883">
        <w:rPr>
          <w:rFonts w:ascii="Times New Roman" w:eastAsia="Times New Roman" w:hAnsi="Times New Roman" w:cs="Times New Roman"/>
          <w:color w:val="000000" w:themeColor="text1"/>
          <w:sz w:val="28"/>
          <w:szCs w:val="28"/>
          <w:lang w:eastAsia="ru-RU"/>
        </w:rPr>
        <w:t xml:space="preserve">) у технічних. Потрібна тенденція зберігалася і для мінеральних поживних субстратів: </w:t>
      </w:r>
      <w:bookmarkStart w:id="91" w:name="_Hlk220505264"/>
      <w:r w:rsidRPr="00CC7883">
        <w:rPr>
          <w:rFonts w:ascii="Times New Roman" w:eastAsia="Times New Roman" w:hAnsi="Times New Roman" w:cs="Times New Roman"/>
          <w:color w:val="000000" w:themeColor="text1"/>
          <w:sz w:val="28"/>
          <w:szCs w:val="28"/>
          <w:lang w:eastAsia="ru-RU"/>
        </w:rPr>
        <w:t xml:space="preserve">інтенсивність транспірації мікроклонів винограду, які культивували на агроперліті, вермикуліті та їх суміші, знижувалася на 9,4–47,1 % (через 5 </w:t>
      </w:r>
      <w:r w:rsidRPr="00CC7883">
        <w:rPr>
          <w:rFonts w:ascii="Times New Roman" w:eastAsia="NSimSun" w:hAnsi="Times New Roman" w:cs="Times New Roman"/>
          <w:color w:val="000000" w:themeColor="text1"/>
          <w:kern w:val="3"/>
          <w:sz w:val="28"/>
          <w:szCs w:val="28"/>
        </w:rPr>
        <w:t>хв</w:t>
      </w:r>
      <w:r w:rsidRPr="00CC7883">
        <w:rPr>
          <w:rFonts w:ascii="Times New Roman" w:eastAsia="Times New Roman" w:hAnsi="Times New Roman" w:cs="Times New Roman"/>
          <w:color w:val="000000" w:themeColor="text1"/>
          <w:sz w:val="28"/>
          <w:szCs w:val="28"/>
          <w:lang w:eastAsia="ru-RU"/>
        </w:rPr>
        <w:t xml:space="preserve">) і 4,5–45,1 % (через 10 </w:t>
      </w:r>
      <w:r w:rsidRPr="00CC7883">
        <w:rPr>
          <w:rFonts w:ascii="Times New Roman" w:eastAsia="NSimSun" w:hAnsi="Times New Roman" w:cs="Times New Roman"/>
          <w:color w:val="000000" w:themeColor="text1"/>
          <w:kern w:val="3"/>
          <w:sz w:val="28"/>
          <w:szCs w:val="28"/>
        </w:rPr>
        <w:t>хв</w:t>
      </w:r>
      <w:r w:rsidRPr="00CC7883">
        <w:rPr>
          <w:rFonts w:ascii="Times New Roman" w:eastAsia="Times New Roman" w:hAnsi="Times New Roman" w:cs="Times New Roman"/>
          <w:color w:val="000000" w:themeColor="text1"/>
          <w:sz w:val="28"/>
          <w:szCs w:val="28"/>
          <w:lang w:eastAsia="ru-RU"/>
        </w:rPr>
        <w:t xml:space="preserve">) порівняно з контролем, причому найменші значення </w:t>
      </w:r>
      <w:r w:rsidRPr="00CC7883">
        <w:rPr>
          <w:rFonts w:ascii="Times New Roman" w:eastAsia="Times New Roman" w:hAnsi="Times New Roman" w:cs="Times New Roman"/>
          <w:color w:val="000000" w:themeColor="text1"/>
          <w:sz w:val="28"/>
          <w:szCs w:val="28"/>
          <w:lang w:eastAsia="ru-RU"/>
        </w:rPr>
        <w:lastRenderedPageBreak/>
        <w:t>спостерігалися на суміші агроперліт + вермикуліт.</w:t>
      </w:r>
    </w:p>
    <w:bookmarkEnd w:id="91"/>
    <w:p w:rsidR="005A3F7D" w:rsidRPr="00CC7883" w:rsidRDefault="005A3F7D" w:rsidP="00047411">
      <w:pPr>
        <w:widowControl w:val="0"/>
        <w:numPr>
          <w:ilvl w:val="0"/>
          <w:numId w:val="21"/>
        </w:numPr>
        <w:spacing w:after="0" w:line="360" w:lineRule="auto"/>
        <w:ind w:left="0" w:firstLine="66"/>
        <w:contextualSpacing/>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У контрольних варіантах (MS + 0,3 мг/л ІОК + 0,2 мг/л 6-БАП; MS + 0,6</w:t>
      </w:r>
      <w:r w:rsidR="0033308C" w:rsidRPr="00CC7883">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 xml:space="preserve">мг/л ІОК + 0,5 мг/л 6-БАП) сумарний вміст хлорофілів у листках мікроклонів винограду дорівнював у середньому 1,68–1,81 мг/г для сорту «Добриня», 1,16–1,28 мг/г для сорту «Гарант», 1,67–1,82 мг/г для сорту «Ярило» та 1,49–1,65 мг/г вологої маси для сорту «Загрей». Додавання біологічно активних препаратів сприяло підвищенню цього показника: у варіантах із препаратом Радіфарм (третій–четвертий варіанти) сумарний вміст хлорофілів збільшувався на 2,9–19,7 %, а з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Times New Roman" w:hAnsi="Times New Roman" w:cs="Times New Roman"/>
          <w:color w:val="000000" w:themeColor="text1"/>
          <w:sz w:val="28"/>
          <w:szCs w:val="28"/>
          <w:lang w:eastAsia="ru-RU"/>
        </w:rPr>
        <w:t xml:space="preserve"> (п’ятий–шостий варіанти) – 1,5–21,2</w:t>
      </w:r>
      <w:r w:rsidR="001B07EB">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порівняно з контролем. Зокрема, у листках сорту «Добриня» він досягав 1,75–1,98 мг/г вологої маси, для сорту «Гарант» – 1,30–1,46 мг/г вологої маси, для сорту «Ярило» – 2,08–2,30 мг/г вологої маси, для сорту «Загрей» – 1,61–1,70</w:t>
      </w:r>
      <w:r w:rsidR="0033308C" w:rsidRPr="00CC7883">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мг/г вологої маси.</w:t>
      </w:r>
    </w:p>
    <w:p w:rsidR="005A3F7D" w:rsidRPr="00CC7883" w:rsidRDefault="005A3F7D" w:rsidP="00047411">
      <w:pPr>
        <w:widowControl w:val="0"/>
        <w:spacing w:after="0" w:line="360" w:lineRule="auto"/>
        <w:ind w:firstLine="708"/>
        <w:contextualSpacing/>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Максимальне накопичення хлорофілів відмічено у мікроклонів винограду, які культивували на структурованих поживних середовищах із додаванням агроперліту, вермикуліту або їх суміші (сьомий–дванадцятий варіанти). У листках їх вміст збільшувався на 18,7–48,9 % відносно контролю: для сорту «Добриня» – 2,17–3,26 мг/г вологої маси, для сорту «Гарант» – 2,04–2,46 мг/г вологої маси, для сорту «Ярило» – 2,38–3,00 мг/г вологої маси, для сорту «Загрей» – 1,91–2,17 мг/г вологої маси. Кількість каротиноїдів у мікроклонів цих варіантів також збільшувалась на 22,9–56,4 % і дорівнювала 0,36–0,66 мг/г вологої маси при 0,23–0,37 мг/г вологої маси у контролі. </w:t>
      </w:r>
    </w:p>
    <w:p w:rsidR="005A3F7D" w:rsidRPr="00CC7883" w:rsidRDefault="005A3F7D" w:rsidP="00047411">
      <w:pPr>
        <w:widowControl w:val="0"/>
        <w:spacing w:after="0" w:line="360" w:lineRule="auto"/>
        <w:ind w:firstLine="708"/>
        <w:contextualSpacing/>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У пагонах спостерігалась аналогічна тенденція, але з нижчими абсолютними значеннями. Так, сума хлорофілів у контрольних рослин дорівнювала 0,13–0,20 мг/г вологої маси, тоді як на структурованих поживних середовищах вона збільшувалася до 0,17–0,25 мг/г вологої маси у підщепних сортів («Добриня», «Гарант») та до 0,18–0,34 мг/г вологої маси у технічних сортів («Ярило», «Загрей»).</w:t>
      </w:r>
      <w:r w:rsidR="002E225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Відповідно, вміст каротиноїдів у пагонах збільшувався до 0,04–0,09 мг/г вологої маси і до 0,05–0,10 мг/г </w:t>
      </w:r>
      <w:r w:rsidRPr="00CC7883">
        <w:rPr>
          <w:rFonts w:ascii="Times New Roman" w:eastAsia="Times New Roman" w:hAnsi="Times New Roman" w:cs="Times New Roman"/>
          <w:color w:val="000000" w:themeColor="text1"/>
          <w:sz w:val="28"/>
          <w:szCs w:val="28"/>
          <w:lang w:eastAsia="ru-RU"/>
        </w:rPr>
        <w:lastRenderedPageBreak/>
        <w:t>вологої маси, що свідчить про посилення фотосинтетичної активності.</w:t>
      </w:r>
    </w:p>
    <w:p w:rsidR="005A3F7D" w:rsidRPr="00CC7883" w:rsidRDefault="005A3F7D" w:rsidP="00047411">
      <w:pPr>
        <w:widowControl w:val="0"/>
        <w:spacing w:after="0" w:line="360" w:lineRule="auto"/>
        <w:ind w:firstLine="708"/>
        <w:contextualSpacing/>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Порівняння за даним показником варіантів із різним рівнем фітогормонів показало, що підвищення концентрації ІОК і </w:t>
      </w:r>
      <w:r w:rsidR="00896867" w:rsidRPr="00CC7883">
        <w:rPr>
          <w:rFonts w:ascii="Times New Roman" w:hAnsi="Times New Roman" w:cs="Times New Roman"/>
          <w:color w:val="000000" w:themeColor="text1"/>
          <w:sz w:val="28"/>
          <w:szCs w:val="28"/>
        </w:rPr>
        <w:t>6-БАП</w:t>
      </w:r>
      <w:r w:rsidRPr="00CC7883">
        <w:rPr>
          <w:rFonts w:ascii="Times New Roman" w:eastAsia="Times New Roman" w:hAnsi="Times New Roman" w:cs="Times New Roman"/>
          <w:color w:val="000000" w:themeColor="text1"/>
          <w:sz w:val="28"/>
          <w:szCs w:val="28"/>
          <w:lang w:eastAsia="ru-RU"/>
        </w:rPr>
        <w:t xml:space="preserve"> (до 0,6 і 0,5</w:t>
      </w:r>
      <w:r w:rsidR="00EA4B1F" w:rsidRPr="00CC7883">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мг/л) не забезпечувало достовірного збільшення вмісту пігментів.</w:t>
      </w:r>
    </w:p>
    <w:p w:rsidR="005A3F7D" w:rsidRPr="00CC7883" w:rsidRDefault="005A3F7D" w:rsidP="00047411">
      <w:pPr>
        <w:widowControl w:val="0"/>
        <w:spacing w:after="0" w:line="360" w:lineRule="auto"/>
        <w:ind w:firstLine="708"/>
        <w:jc w:val="both"/>
        <w:rPr>
          <w:rFonts w:ascii="Times New Roman" w:eastAsia="Times New Roman" w:hAnsi="Times New Roman" w:cs="Times New Roman"/>
          <w:color w:val="000000" w:themeColor="text1"/>
          <w:sz w:val="28"/>
          <w:szCs w:val="28"/>
          <w:lang w:eastAsia="ru-RU"/>
        </w:rPr>
      </w:pPr>
      <w:bookmarkStart w:id="92" w:name="_Hlk220505319"/>
      <w:r w:rsidRPr="00CC7883">
        <w:rPr>
          <w:rFonts w:ascii="Times New Roman" w:eastAsia="Times New Roman" w:hAnsi="Times New Roman" w:cs="Times New Roman"/>
          <w:color w:val="000000" w:themeColor="text1"/>
          <w:sz w:val="28"/>
          <w:szCs w:val="28"/>
          <w:lang w:eastAsia="ru-RU"/>
        </w:rPr>
        <w:t>Культивування мікроклонів винограду на мінеральних поживних субстратах сприяло збільшенню вмісту фотосинтетичних пігментів у листках і пагонах порівняно з контрольними поживними середовищами. У листках сума хлорофілів збільшувалася на 4,8–76,9 %, вміст каротиноїдів – на 39,4–88,3 %, у пагонах відповідно вміст хлорофілів збільшувався на 13,0–80,8 %, а каротиноїдів – на 12,5–90,4 %.</w:t>
      </w:r>
      <w:bookmarkEnd w:id="92"/>
      <w:r w:rsidRPr="00CC7883">
        <w:rPr>
          <w:rFonts w:ascii="Times New Roman" w:eastAsia="Times New Roman" w:hAnsi="Times New Roman" w:cs="Times New Roman"/>
          <w:color w:val="000000" w:themeColor="text1"/>
          <w:sz w:val="28"/>
          <w:szCs w:val="28"/>
          <w:lang w:eastAsia="ru-RU"/>
        </w:rPr>
        <w:t xml:space="preserve"> Найбільше пігментів синтезувалося у мікроклональних рослин, які культивували на суміші агроперліту з вермикулітом, що свідчить про її позитивний вплив на фотосинтетичну активність і накопичення пігментів. </w:t>
      </w:r>
    </w:p>
    <w:p w:rsidR="005A3F7D" w:rsidRPr="00CC7883" w:rsidRDefault="005A3F7D" w:rsidP="00A40216">
      <w:pPr>
        <w:widowControl w:val="0"/>
        <w:numPr>
          <w:ilvl w:val="0"/>
          <w:numId w:val="21"/>
        </w:numPr>
        <w:spacing w:after="0" w:line="360" w:lineRule="auto"/>
        <w:ind w:left="0" w:firstLine="142"/>
        <w:contextualSpacing/>
        <w:jc w:val="both"/>
        <w:rPr>
          <w:rFonts w:ascii="Times New Roman" w:eastAsia="Times New Roman" w:hAnsi="Times New Roman" w:cs="Times New Roman"/>
          <w:color w:val="000000" w:themeColor="text1"/>
          <w:sz w:val="28"/>
          <w:szCs w:val="28"/>
          <w:lang w:eastAsia="ru-RU"/>
        </w:rPr>
      </w:pPr>
      <w:bookmarkStart w:id="93" w:name="_Hlk220503862"/>
      <w:r w:rsidRPr="00CC7883">
        <w:rPr>
          <w:rFonts w:ascii="Times New Roman" w:hAnsi="Times New Roman" w:cs="Times New Roman"/>
          <w:color w:val="000000" w:themeColor="text1"/>
          <w:sz w:val="28"/>
          <w:szCs w:val="28"/>
        </w:rPr>
        <w:t xml:space="preserve">Дослідження водного режиму та накопичення сухих речовин у коренях мікроклонів винограду показало, що ці показники суттєво залежали від складу поживного середовища та використаних поживних субстратів. </w:t>
      </w:r>
    </w:p>
    <w:p w:rsidR="005A3F7D" w:rsidRPr="00CC7883" w:rsidRDefault="005A3F7D" w:rsidP="00A40216">
      <w:pPr>
        <w:widowControl w:val="0"/>
        <w:spacing w:after="0" w:line="360" w:lineRule="auto"/>
        <w:ind w:firstLine="708"/>
        <w:contextualSpacing/>
        <w:jc w:val="both"/>
        <w:rPr>
          <w:rFonts w:ascii="Times New Roman" w:eastAsia="Times New Roman" w:hAnsi="Times New Roman" w:cs="Times New Roman"/>
          <w:color w:val="000000" w:themeColor="text1"/>
          <w:sz w:val="28"/>
          <w:szCs w:val="28"/>
          <w:lang w:eastAsia="ru-RU"/>
        </w:rPr>
      </w:pPr>
      <w:bookmarkStart w:id="94" w:name="_Hlk220504190"/>
      <w:bookmarkStart w:id="95" w:name="_Hlk220504239"/>
      <w:bookmarkEnd w:id="93"/>
      <w:r w:rsidRPr="00CC7883">
        <w:rPr>
          <w:rFonts w:ascii="Times New Roman" w:eastAsia="Times New Roman" w:hAnsi="Times New Roman" w:cs="Times New Roman"/>
          <w:color w:val="000000" w:themeColor="text1"/>
          <w:sz w:val="28"/>
          <w:szCs w:val="28"/>
          <w:lang w:eastAsia="ru-RU"/>
        </w:rPr>
        <w:t>Аналіз загального обводнення коренів мікроклонів винограду показав</w:t>
      </w:r>
      <w:bookmarkEnd w:id="94"/>
      <w:r w:rsidRPr="00CC7883">
        <w:rPr>
          <w:rFonts w:ascii="Times New Roman" w:eastAsia="Times New Roman" w:hAnsi="Times New Roman" w:cs="Times New Roman"/>
          <w:color w:val="000000" w:themeColor="text1"/>
          <w:sz w:val="28"/>
          <w:szCs w:val="28"/>
          <w:lang w:eastAsia="ru-RU"/>
        </w:rPr>
        <w:t>, що у контрольних варіантах і варіантах із застосуванням БАП воно було максимальним: для підщепних сортів – 94,5–97,9 %, для технічних – 92,4–95,8</w:t>
      </w:r>
      <w:r w:rsidR="00914529" w:rsidRPr="00CC7883">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 На структурованих поживних середовищах загальне обводнення коренів знижувалося на 0,4–4,5 %</w:t>
      </w:r>
      <w:bookmarkEnd w:id="95"/>
      <w:r w:rsidRPr="00CC7883">
        <w:rPr>
          <w:rFonts w:ascii="Times New Roman" w:eastAsia="Times New Roman" w:hAnsi="Times New Roman" w:cs="Times New Roman"/>
          <w:color w:val="000000" w:themeColor="text1"/>
          <w:sz w:val="28"/>
          <w:szCs w:val="28"/>
          <w:lang w:eastAsia="ru-RU"/>
        </w:rPr>
        <w:t>,</w:t>
      </w:r>
      <w:r w:rsidR="001B60CD">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а </w:t>
      </w:r>
      <w:bookmarkStart w:id="96" w:name="_Hlk220505386"/>
      <w:r w:rsidRPr="00CC7883">
        <w:rPr>
          <w:rFonts w:ascii="Times New Roman" w:eastAsia="Times New Roman" w:hAnsi="Times New Roman" w:cs="Times New Roman"/>
          <w:color w:val="000000" w:themeColor="text1"/>
          <w:sz w:val="28"/>
          <w:szCs w:val="28"/>
          <w:lang w:eastAsia="ru-RU"/>
        </w:rPr>
        <w:t>на мінеральних субстратах – у середньому на 2,1–9,1 %.</w:t>
      </w:r>
      <w:bookmarkEnd w:id="96"/>
    </w:p>
    <w:p w:rsidR="005A3F7D" w:rsidRPr="00CC7883" w:rsidRDefault="005A3F7D" w:rsidP="00A40216">
      <w:pPr>
        <w:widowControl w:val="0"/>
        <w:spacing w:after="0" w:line="360" w:lineRule="auto"/>
        <w:ind w:firstLine="567"/>
        <w:contextualSpacing/>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Times New Roman" w:hAnsi="Times New Roman" w:cs="Times New Roman"/>
          <w:color w:val="000000" w:themeColor="text1"/>
          <w:sz w:val="28"/>
          <w:szCs w:val="28"/>
          <w:lang w:eastAsia="ru-RU"/>
        </w:rPr>
        <w:t xml:space="preserve"> води у коренях мікроклонів винограду також змінювався залежно від умов культивування. </w:t>
      </w:r>
      <w:bookmarkStart w:id="97" w:name="_Hlk220504345"/>
      <w:r w:rsidRPr="00CC7883">
        <w:rPr>
          <w:rFonts w:ascii="Times New Roman" w:eastAsia="Times New Roman" w:hAnsi="Times New Roman" w:cs="Times New Roman"/>
          <w:color w:val="000000" w:themeColor="text1"/>
          <w:sz w:val="28"/>
          <w:szCs w:val="28"/>
          <w:lang w:eastAsia="ru-RU"/>
        </w:rPr>
        <w:t>Найбільші значення були характерні для рослин контрольних варіантів та варіантів, де застосовували БАП</w:t>
      </w:r>
      <w:bookmarkEnd w:id="97"/>
      <w:r w:rsidRPr="00CC7883">
        <w:rPr>
          <w:rFonts w:ascii="Times New Roman" w:eastAsia="Times New Roman" w:hAnsi="Times New Roman" w:cs="Times New Roman"/>
          <w:color w:val="000000" w:themeColor="text1"/>
          <w:sz w:val="28"/>
          <w:szCs w:val="28"/>
          <w:lang w:eastAsia="ru-RU"/>
        </w:rPr>
        <w:t xml:space="preserve"> (</w:t>
      </w:r>
      <w:bookmarkStart w:id="98" w:name="_Hlk220504452"/>
      <w:r w:rsidRPr="00CC7883">
        <w:rPr>
          <w:rFonts w:ascii="Times New Roman" w:eastAsia="Times New Roman" w:hAnsi="Times New Roman" w:cs="Times New Roman"/>
          <w:color w:val="000000" w:themeColor="text1"/>
          <w:sz w:val="28"/>
          <w:szCs w:val="28"/>
          <w:lang w:eastAsia="ru-RU"/>
        </w:rPr>
        <w:t>42,3–48,4 %</w:t>
      </w:r>
      <w:bookmarkEnd w:id="98"/>
      <w:r w:rsidRPr="00CC7883">
        <w:rPr>
          <w:rFonts w:ascii="Times New Roman" w:eastAsia="Times New Roman" w:hAnsi="Times New Roman" w:cs="Times New Roman"/>
          <w:color w:val="000000" w:themeColor="text1"/>
          <w:sz w:val="28"/>
          <w:szCs w:val="28"/>
          <w:lang w:eastAsia="ru-RU"/>
        </w:rPr>
        <w:t xml:space="preserve">). На структурованих поживних середовищах цей показник знижувався до 32,3–41,9 %, тоді як на мінеральних субстратах відзначалося значне підвищення кількості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Times New Roman" w:hAnsi="Times New Roman" w:cs="Times New Roman"/>
          <w:color w:val="000000" w:themeColor="text1"/>
          <w:sz w:val="28"/>
          <w:szCs w:val="28"/>
          <w:lang w:eastAsia="ru-RU"/>
        </w:rPr>
        <w:t xml:space="preserve"> води, особливо після культивування мікроклонів на суміші агроперліту з вермикулітом (</w:t>
      </w:r>
      <w:bookmarkStart w:id="99" w:name="_Hlk220505493"/>
      <w:r w:rsidRPr="00CC7883">
        <w:rPr>
          <w:rFonts w:ascii="Times New Roman" w:eastAsia="Times New Roman" w:hAnsi="Times New Roman" w:cs="Times New Roman"/>
          <w:color w:val="000000" w:themeColor="text1"/>
          <w:sz w:val="28"/>
          <w:szCs w:val="28"/>
          <w:lang w:eastAsia="ru-RU"/>
        </w:rPr>
        <w:t>52,6–67,9</w:t>
      </w:r>
      <w:r w:rsidR="00C3334D">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w:t>
      </w:r>
      <w:bookmarkEnd w:id="99"/>
      <w:r w:rsidRPr="00CC7883">
        <w:rPr>
          <w:rFonts w:ascii="Times New Roman" w:eastAsia="Times New Roman" w:hAnsi="Times New Roman" w:cs="Times New Roman"/>
          <w:color w:val="000000" w:themeColor="text1"/>
          <w:sz w:val="28"/>
          <w:szCs w:val="28"/>
          <w:lang w:eastAsia="ru-RU"/>
        </w:rPr>
        <w:t>).</w:t>
      </w:r>
    </w:p>
    <w:p w:rsidR="005A3F7D" w:rsidRPr="00CC7883" w:rsidRDefault="005A3F7D" w:rsidP="00A40216">
      <w:pPr>
        <w:widowControl w:val="0"/>
        <w:spacing w:after="0" w:line="360" w:lineRule="auto"/>
        <w:ind w:firstLine="851"/>
        <w:contextualSpacing/>
        <w:jc w:val="both"/>
        <w:rPr>
          <w:rFonts w:ascii="Times New Roman" w:hAnsi="Times New Roman" w:cs="Times New Roman"/>
          <w:color w:val="000000" w:themeColor="text1"/>
          <w:sz w:val="28"/>
          <w:szCs w:val="28"/>
        </w:rPr>
      </w:pPr>
      <w:bookmarkStart w:id="100" w:name="_Hlk220504581"/>
      <w:r w:rsidRPr="00CC7883">
        <w:rPr>
          <w:rFonts w:ascii="Times New Roman" w:eastAsia="Times New Roman" w:hAnsi="Times New Roman" w:cs="Times New Roman"/>
          <w:bCs/>
          <w:color w:val="000000" w:themeColor="text1"/>
          <w:sz w:val="28"/>
          <w:szCs w:val="28"/>
          <w:lang w:eastAsia="ru-RU"/>
        </w:rPr>
        <w:lastRenderedPageBreak/>
        <w:t xml:space="preserve">Вміст сухих речовин у коренях мікроклонів винограду також суттєво залежав від типу середовища для культивування. У рослин контрольних варіантів він дорівнював 4,0–5,5 % (підщепні сорти) та 4,6–6,4 % (технічні сорти), на поживних середовищах із коренеутворюючими препаратами – 2,1–3,9 % (підщепні сорти) та 4,2–7,6 % (технічні сорти), на структурованих поживних середовищах – відповідно 4,5–8,9 % (підщепні сорти) та 8,2–10,0 % (технічні сорти). </w:t>
      </w:r>
      <w:bookmarkEnd w:id="100"/>
      <w:r w:rsidRPr="00CC7883">
        <w:rPr>
          <w:rFonts w:ascii="Times New Roman" w:eastAsia="Times New Roman" w:hAnsi="Times New Roman" w:cs="Times New Roman"/>
          <w:bCs/>
          <w:color w:val="000000" w:themeColor="text1"/>
          <w:sz w:val="28"/>
          <w:szCs w:val="28"/>
          <w:lang w:eastAsia="ru-RU"/>
        </w:rPr>
        <w:t xml:space="preserve">Після культивування мікроклонів винограду на мінеральних субстратах так само </w:t>
      </w:r>
      <w:r w:rsidR="00440E1C" w:rsidRPr="00CC7883">
        <w:rPr>
          <w:rFonts w:ascii="Times New Roman" w:eastAsia="NSimSun" w:hAnsi="Times New Roman" w:cs="Times New Roman"/>
          <w:color w:val="000000" w:themeColor="text1"/>
          <w:kern w:val="3"/>
          <w:sz w:val="28"/>
          <w:szCs w:val="28"/>
        </w:rPr>
        <w:t>від</w:t>
      </w:r>
      <w:r w:rsidR="00440E1C">
        <w:rPr>
          <w:rFonts w:ascii="Times New Roman" w:eastAsia="NSimSun" w:hAnsi="Times New Roman" w:cs="Times New Roman"/>
          <w:color w:val="000000" w:themeColor="text1"/>
          <w:kern w:val="3"/>
          <w:sz w:val="28"/>
          <w:szCs w:val="28"/>
        </w:rPr>
        <w:t>знача</w:t>
      </w:r>
      <w:r w:rsidR="00440E1C" w:rsidRPr="00CC7883">
        <w:rPr>
          <w:rFonts w:ascii="Times New Roman" w:eastAsia="NSimSun" w:hAnsi="Times New Roman" w:cs="Times New Roman"/>
          <w:color w:val="000000" w:themeColor="text1"/>
          <w:kern w:val="3"/>
          <w:sz w:val="28"/>
          <w:szCs w:val="28"/>
        </w:rPr>
        <w:t>ли</w:t>
      </w:r>
      <w:r w:rsidRPr="00CC7883">
        <w:rPr>
          <w:rFonts w:ascii="Times New Roman" w:eastAsia="Times New Roman" w:hAnsi="Times New Roman" w:cs="Times New Roman"/>
          <w:bCs/>
          <w:color w:val="000000" w:themeColor="text1"/>
          <w:sz w:val="28"/>
          <w:szCs w:val="28"/>
          <w:lang w:eastAsia="ru-RU"/>
        </w:rPr>
        <w:t xml:space="preserve"> збільшення вмісту сухих речовин у коренях, особливо на суміші агроперліту з вермикулітом – </w:t>
      </w:r>
      <w:bookmarkStart w:id="101" w:name="_Hlk220505555"/>
      <w:r w:rsidRPr="00CC7883">
        <w:rPr>
          <w:rFonts w:ascii="Times New Roman" w:eastAsia="Times New Roman" w:hAnsi="Times New Roman" w:cs="Times New Roman"/>
          <w:bCs/>
          <w:color w:val="000000" w:themeColor="text1"/>
          <w:sz w:val="28"/>
          <w:szCs w:val="28"/>
          <w:lang w:eastAsia="ru-RU"/>
        </w:rPr>
        <w:t>10,0–11,2 % у підщепних та 8,9–9,1 % у технічних сортів</w:t>
      </w:r>
      <w:bookmarkEnd w:id="101"/>
      <w:r w:rsidRPr="00CC7883">
        <w:rPr>
          <w:rFonts w:ascii="Times New Roman" w:eastAsia="Times New Roman" w:hAnsi="Times New Roman" w:cs="Times New Roman"/>
          <w:bCs/>
          <w:color w:val="000000" w:themeColor="text1"/>
          <w:sz w:val="28"/>
          <w:szCs w:val="28"/>
          <w:lang w:eastAsia="ru-RU"/>
        </w:rPr>
        <w:t>, що свідчить про активний обмін речовин та накопичення органічних компонентів при оптимальних фізико-хімічних властивостях субстрату.</w:t>
      </w:r>
    </w:p>
    <w:p w:rsidR="005A3F7D" w:rsidRPr="00CC7883" w:rsidRDefault="005A3F7D" w:rsidP="00047411">
      <w:pPr>
        <w:pStyle w:val="Standard"/>
        <w:widowControl w:val="0"/>
        <w:suppressAutoHyphens w:val="0"/>
        <w:spacing w:line="360" w:lineRule="auto"/>
        <w:jc w:val="both"/>
        <w:rPr>
          <w:rFonts w:ascii="Times New Roman" w:hAnsi="Times New Roman" w:cs="Times New Roman"/>
          <w:color w:val="000000" w:themeColor="text1"/>
          <w:sz w:val="28"/>
          <w:szCs w:val="28"/>
        </w:rPr>
        <w:sectPr w:rsidR="005A3F7D" w:rsidRPr="00CC7883" w:rsidSect="00FB5882">
          <w:pgSz w:w="11906" w:h="16838" w:code="9"/>
          <w:pgMar w:top="1134" w:right="851" w:bottom="1134" w:left="1701" w:header="709" w:footer="680" w:gutter="0"/>
          <w:cols w:space="708"/>
          <w:docGrid w:linePitch="360"/>
        </w:sectPr>
      </w:pPr>
    </w:p>
    <w:p w:rsidR="000F7641" w:rsidRPr="00CC7883" w:rsidRDefault="000F7641" w:rsidP="00047411">
      <w:pPr>
        <w:pStyle w:val="Standard"/>
        <w:widowControl w:val="0"/>
        <w:suppressAutoHyphens w:val="0"/>
        <w:spacing w:line="360" w:lineRule="auto"/>
        <w:jc w:val="center"/>
        <w:outlineLvl w:val="0"/>
        <w:rPr>
          <w:rFonts w:ascii="Times New Roman" w:hAnsi="Times New Roman" w:cs="Times New Roman"/>
          <w:b/>
          <w:color w:val="000000" w:themeColor="text1"/>
          <w:sz w:val="28"/>
          <w:szCs w:val="28"/>
        </w:rPr>
      </w:pPr>
      <w:bookmarkStart w:id="102" w:name="_Toc220058950"/>
      <w:r w:rsidRPr="00CC7883">
        <w:rPr>
          <w:rFonts w:ascii="Times New Roman" w:hAnsi="Times New Roman" w:cs="Times New Roman"/>
          <w:b/>
          <w:color w:val="000000" w:themeColor="text1"/>
          <w:sz w:val="28"/>
          <w:szCs w:val="28"/>
        </w:rPr>
        <w:lastRenderedPageBreak/>
        <w:t>РОЗДІЛ 6</w:t>
      </w:r>
      <w:bookmarkEnd w:id="102"/>
    </w:p>
    <w:p w:rsidR="000F7641" w:rsidRPr="00CC7883" w:rsidRDefault="000F7641" w:rsidP="00047411">
      <w:pPr>
        <w:pStyle w:val="Standard"/>
        <w:widowControl w:val="0"/>
        <w:suppressAutoHyphens w:val="0"/>
        <w:spacing w:line="360" w:lineRule="auto"/>
        <w:ind w:firstLine="709"/>
        <w:jc w:val="center"/>
        <w:outlineLvl w:val="0"/>
        <w:rPr>
          <w:rFonts w:ascii="Times New Roman" w:hAnsi="Times New Roman" w:cs="Times New Roman"/>
          <w:b/>
          <w:bCs/>
          <w:i/>
          <w:caps/>
          <w:color w:val="000000" w:themeColor="text1"/>
          <w:sz w:val="28"/>
          <w:szCs w:val="28"/>
        </w:rPr>
      </w:pPr>
      <w:bookmarkStart w:id="103" w:name="_Toc220058951"/>
      <w:r w:rsidRPr="00CC7883">
        <w:rPr>
          <w:rFonts w:ascii="Times New Roman" w:hAnsi="Times New Roman" w:cs="Times New Roman"/>
          <w:b/>
          <w:bCs/>
          <w:caps/>
          <w:color w:val="000000" w:themeColor="text1"/>
          <w:sz w:val="28"/>
          <w:szCs w:val="28"/>
        </w:rPr>
        <w:t xml:space="preserve">ПОКАЗНИКИ АНАТОМІЧНОЇ БУДОВИ ПРОДИХОВОГО АПАРАТУ НИЖНЬОГО ЕПІДЕРМІСУ ЛИСТКІВ МІКРОКЛОНІВ ВИНОГРАДУ В УМОВАХ </w:t>
      </w:r>
      <w:r w:rsidRPr="00CC7883">
        <w:rPr>
          <w:rFonts w:ascii="Times New Roman" w:hAnsi="Times New Roman" w:cs="Times New Roman"/>
          <w:b/>
          <w:bCs/>
          <w:i/>
          <w:caps/>
          <w:color w:val="000000" w:themeColor="text1"/>
          <w:sz w:val="28"/>
          <w:szCs w:val="28"/>
        </w:rPr>
        <w:t>IN</w:t>
      </w:r>
      <w:r w:rsidR="00894C28" w:rsidRPr="00CC7883">
        <w:rPr>
          <w:rFonts w:ascii="Times New Roman" w:hAnsi="Times New Roman" w:cs="Times New Roman"/>
          <w:b/>
          <w:bCs/>
          <w:i/>
          <w:caps/>
          <w:color w:val="000000" w:themeColor="text1"/>
          <w:sz w:val="28"/>
          <w:szCs w:val="28"/>
        </w:rPr>
        <w:t> </w:t>
      </w:r>
      <w:r w:rsidRPr="00CC7883">
        <w:rPr>
          <w:rFonts w:ascii="Times New Roman" w:hAnsi="Times New Roman" w:cs="Times New Roman"/>
          <w:b/>
          <w:bCs/>
          <w:i/>
          <w:caps/>
          <w:color w:val="000000" w:themeColor="text1"/>
          <w:sz w:val="28"/>
          <w:szCs w:val="28"/>
        </w:rPr>
        <w:t>VITRO</w:t>
      </w:r>
      <w:r w:rsidRPr="00CC7883">
        <w:rPr>
          <w:rFonts w:ascii="Times New Roman" w:hAnsi="Times New Roman" w:cs="Times New Roman"/>
          <w:b/>
          <w:bCs/>
          <w:caps/>
          <w:color w:val="000000" w:themeColor="text1"/>
          <w:sz w:val="28"/>
          <w:szCs w:val="28"/>
        </w:rPr>
        <w:t xml:space="preserve"> ТА </w:t>
      </w:r>
      <w:r w:rsidRPr="00CC7883">
        <w:rPr>
          <w:rFonts w:ascii="Times New Roman" w:hAnsi="Times New Roman" w:cs="Times New Roman"/>
          <w:b/>
          <w:bCs/>
          <w:i/>
          <w:caps/>
          <w:color w:val="000000" w:themeColor="text1"/>
          <w:sz w:val="28"/>
          <w:szCs w:val="28"/>
        </w:rPr>
        <w:t>IN</w:t>
      </w:r>
      <w:r w:rsidR="00894C28" w:rsidRPr="00CC7883">
        <w:rPr>
          <w:rFonts w:ascii="Times New Roman" w:hAnsi="Times New Roman" w:cs="Times New Roman"/>
          <w:b/>
          <w:bCs/>
          <w:i/>
          <w:caps/>
          <w:color w:val="000000" w:themeColor="text1"/>
          <w:sz w:val="28"/>
          <w:szCs w:val="28"/>
        </w:rPr>
        <w:t> </w:t>
      </w:r>
      <w:r w:rsidRPr="00CC7883">
        <w:rPr>
          <w:rFonts w:ascii="Times New Roman" w:hAnsi="Times New Roman" w:cs="Times New Roman"/>
          <w:b/>
          <w:bCs/>
          <w:i/>
          <w:caps/>
          <w:color w:val="000000" w:themeColor="text1"/>
          <w:sz w:val="28"/>
          <w:szCs w:val="28"/>
        </w:rPr>
        <w:t>VIVO</w:t>
      </w:r>
      <w:bookmarkEnd w:id="103"/>
    </w:p>
    <w:p w:rsidR="000F7641" w:rsidRPr="00CC7883" w:rsidRDefault="000F7641" w:rsidP="00047411">
      <w:pPr>
        <w:pStyle w:val="Standard"/>
        <w:widowControl w:val="0"/>
        <w:suppressAutoHyphens w:val="0"/>
        <w:spacing w:line="360" w:lineRule="auto"/>
        <w:ind w:firstLine="709"/>
        <w:jc w:val="center"/>
        <w:rPr>
          <w:rFonts w:ascii="Times New Roman" w:hAnsi="Times New Roman" w:cs="Times New Roman"/>
          <w:color w:val="000000" w:themeColor="text1"/>
          <w:sz w:val="28"/>
          <w:szCs w:val="28"/>
        </w:rPr>
      </w:pP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 xml:space="preserve">У рамках дослідження фізіологічних особливостей мікроклонів винограду </w:t>
      </w:r>
      <w:r w:rsidR="005035F2" w:rsidRPr="00CC7883">
        <w:rPr>
          <w:rFonts w:ascii="Times New Roman" w:hAnsi="Times New Roman" w:cs="Times New Roman"/>
          <w:color w:val="000000" w:themeColor="text1"/>
          <w:sz w:val="28"/>
          <w:szCs w:val="28"/>
        </w:rPr>
        <w:t>важливу</w:t>
      </w:r>
      <w:r w:rsidR="006B21FC" w:rsidRPr="00CC7883">
        <w:rPr>
          <w:rFonts w:ascii="Times New Roman" w:hAnsi="Times New Roman" w:cs="Times New Roman"/>
          <w:color w:val="000000" w:themeColor="text1"/>
          <w:sz w:val="28"/>
          <w:szCs w:val="28"/>
        </w:rPr>
        <w:t xml:space="preserve"> </w:t>
      </w:r>
      <w:r w:rsidR="005035F2" w:rsidRPr="00CC7883">
        <w:rPr>
          <w:rFonts w:ascii="Times New Roman" w:hAnsi="Times New Roman" w:cs="Times New Roman"/>
          <w:color w:val="000000" w:themeColor="text1"/>
          <w:sz w:val="28"/>
          <w:szCs w:val="28"/>
        </w:rPr>
        <w:t>роль відіграє</w:t>
      </w:r>
      <w:r w:rsidRPr="00CC7883">
        <w:rPr>
          <w:rFonts w:ascii="Times New Roman" w:hAnsi="Times New Roman" w:cs="Times New Roman"/>
          <w:color w:val="000000" w:themeColor="text1"/>
          <w:sz w:val="28"/>
          <w:szCs w:val="28"/>
        </w:rPr>
        <w:t xml:space="preserve"> вивчення особливостей розвитку та структури продихів.</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Продихи – це мікроскопічні отвори в епідермісі листка, оточені парою замикаючих клітин. Ці клітини контролюють процес відкриття і закриття продихів, регулюючи обмін газів між рослиною та атмосферою, а також транспіраційний процес. Дослідження особливостей розвитку продихового апарату рослин відіграє ключову роль у </w:t>
      </w:r>
      <w:r w:rsidR="005035F2" w:rsidRPr="00CC7883">
        <w:rPr>
          <w:rFonts w:ascii="Times New Roman" w:hAnsi="Times New Roman" w:cs="Times New Roman"/>
          <w:color w:val="000000" w:themeColor="text1"/>
          <w:sz w:val="28"/>
          <w:szCs w:val="28"/>
        </w:rPr>
        <w:t>формуванні</w:t>
      </w:r>
      <w:r w:rsidRPr="00CC7883">
        <w:rPr>
          <w:rFonts w:ascii="Times New Roman" w:hAnsi="Times New Roman" w:cs="Times New Roman"/>
          <w:color w:val="000000" w:themeColor="text1"/>
          <w:sz w:val="28"/>
          <w:szCs w:val="28"/>
        </w:rPr>
        <w:t xml:space="preserve"> їх адаптаційного потенціалу до різних умов середовища.</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rPr>
      </w:pPr>
    </w:p>
    <w:p w:rsidR="000F7641" w:rsidRPr="00CC7883" w:rsidRDefault="000F7641" w:rsidP="00047411">
      <w:pPr>
        <w:pStyle w:val="Standard"/>
        <w:widowControl w:val="0"/>
        <w:suppressAutoHyphens w:val="0"/>
        <w:spacing w:line="360" w:lineRule="auto"/>
        <w:ind w:firstLine="709"/>
        <w:outlineLvl w:val="1"/>
        <w:rPr>
          <w:rFonts w:ascii="Times New Roman" w:hAnsi="Times New Roman" w:cs="Times New Roman"/>
          <w:b/>
          <w:bCs/>
          <w:iCs/>
          <w:color w:val="000000" w:themeColor="text1"/>
          <w:sz w:val="28"/>
          <w:szCs w:val="28"/>
        </w:rPr>
      </w:pPr>
      <w:bookmarkStart w:id="104" w:name="_Toc220058952"/>
      <w:r w:rsidRPr="00CC7883">
        <w:rPr>
          <w:rFonts w:ascii="Times New Roman" w:hAnsi="Times New Roman" w:cs="Times New Roman"/>
          <w:b/>
          <w:bCs/>
          <w:iCs/>
          <w:color w:val="000000" w:themeColor="text1"/>
          <w:sz w:val="28"/>
          <w:szCs w:val="28"/>
        </w:rPr>
        <w:t xml:space="preserve">6.1. Умови </w:t>
      </w:r>
      <w:r w:rsidRPr="00CC7883">
        <w:rPr>
          <w:rFonts w:ascii="Times New Roman" w:hAnsi="Times New Roman" w:cs="Times New Roman"/>
          <w:b/>
          <w:bCs/>
          <w:i/>
          <w:color w:val="000000" w:themeColor="text1"/>
          <w:sz w:val="28"/>
          <w:szCs w:val="28"/>
        </w:rPr>
        <w:t>in</w:t>
      </w:r>
      <w:r w:rsidR="001221F9" w:rsidRPr="00CC7883">
        <w:rPr>
          <w:rFonts w:ascii="Times New Roman" w:hAnsi="Times New Roman" w:cs="Times New Roman"/>
          <w:b/>
          <w:bCs/>
          <w:i/>
          <w:color w:val="000000" w:themeColor="text1"/>
          <w:sz w:val="28"/>
          <w:szCs w:val="28"/>
        </w:rPr>
        <w:t> </w:t>
      </w:r>
      <w:r w:rsidRPr="00CC7883">
        <w:rPr>
          <w:rFonts w:ascii="Times New Roman" w:hAnsi="Times New Roman" w:cs="Times New Roman"/>
          <w:b/>
          <w:bCs/>
          <w:i/>
          <w:color w:val="000000" w:themeColor="text1"/>
          <w:sz w:val="28"/>
          <w:szCs w:val="28"/>
        </w:rPr>
        <w:t>vitro</w:t>
      </w:r>
      <w:bookmarkEnd w:id="104"/>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i/>
          <w:color w:val="000000" w:themeColor="text1"/>
          <w:sz w:val="28"/>
          <w:szCs w:val="28"/>
        </w:rPr>
      </w:pP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rPr>
        <w:t>Поживні середовища</w:t>
      </w:r>
      <w:r w:rsidRPr="00CC7883">
        <w:rPr>
          <w:rFonts w:ascii="Times New Roman" w:hAnsi="Times New Roman" w:cs="Times New Roman"/>
          <w:color w:val="000000" w:themeColor="text1"/>
          <w:sz w:val="28"/>
          <w:szCs w:val="28"/>
        </w:rPr>
        <w:t>. У процесі проведення досліджен</w:t>
      </w:r>
      <w:r w:rsidR="00D73786">
        <w:rPr>
          <w:rFonts w:ascii="Times New Roman" w:hAnsi="Times New Roman" w:cs="Times New Roman"/>
          <w:color w:val="000000" w:themeColor="text1"/>
          <w:sz w:val="28"/>
          <w:szCs w:val="28"/>
        </w:rPr>
        <w:t>ня</w:t>
      </w:r>
      <w:r w:rsidRPr="00CC7883">
        <w:rPr>
          <w:rFonts w:ascii="Times New Roman" w:hAnsi="Times New Roman" w:cs="Times New Roman"/>
          <w:color w:val="000000" w:themeColor="text1"/>
          <w:sz w:val="28"/>
          <w:szCs w:val="28"/>
        </w:rPr>
        <w:t xml:space="preserve"> ми визначали особливості формування продихового апарату нижнього епідермісу листкової пластинки мікроклонів винограду, зокрема визначали </w:t>
      </w:r>
      <w:r w:rsidRPr="00CC7883">
        <w:rPr>
          <w:rFonts w:ascii="Times New Roman" w:hAnsi="Times New Roman" w:cs="Times New Roman"/>
          <w:i/>
          <w:color w:val="000000" w:themeColor="text1"/>
          <w:sz w:val="28"/>
          <w:szCs w:val="28"/>
        </w:rPr>
        <w:t>кількість продихів на 1</w:t>
      </w:r>
      <w:r w:rsidR="000C1AF6"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мм</w:t>
      </w:r>
      <w:r w:rsidRPr="00CC7883">
        <w:rPr>
          <w:rFonts w:ascii="Times New Roman" w:hAnsi="Times New Roman" w:cs="Times New Roman"/>
          <w:i/>
          <w:color w:val="000000" w:themeColor="text1"/>
          <w:sz w:val="28"/>
          <w:szCs w:val="28"/>
          <w:vertAlign w:val="superscript"/>
        </w:rPr>
        <w:t>2</w:t>
      </w:r>
      <w:r w:rsidRPr="00CC7883">
        <w:rPr>
          <w:rFonts w:ascii="Times New Roman" w:hAnsi="Times New Roman" w:cs="Times New Roman"/>
          <w:i/>
          <w:color w:val="000000" w:themeColor="text1"/>
          <w:sz w:val="28"/>
          <w:szCs w:val="28"/>
        </w:rPr>
        <w:t xml:space="preserve"> листкової пластинки </w:t>
      </w:r>
      <w:r w:rsidRPr="00CC7883">
        <w:rPr>
          <w:rFonts w:ascii="Times New Roman" w:hAnsi="Times New Roman" w:cs="Times New Roman"/>
          <w:color w:val="000000" w:themeColor="text1"/>
          <w:sz w:val="28"/>
          <w:szCs w:val="28"/>
        </w:rPr>
        <w:t>та</w:t>
      </w:r>
      <w:r w:rsidRPr="00CC7883">
        <w:rPr>
          <w:rFonts w:ascii="Times New Roman" w:hAnsi="Times New Roman" w:cs="Times New Roman"/>
          <w:i/>
          <w:color w:val="000000" w:themeColor="text1"/>
          <w:sz w:val="28"/>
          <w:szCs w:val="28"/>
        </w:rPr>
        <w:t xml:space="preserve"> загальну кількість продихів на листкову пластинку</w:t>
      </w:r>
      <w:r w:rsidRPr="00CC7883">
        <w:rPr>
          <w:rFonts w:ascii="Times New Roman" w:hAnsi="Times New Roman" w:cs="Times New Roman"/>
          <w:color w:val="000000" w:themeColor="text1"/>
          <w:sz w:val="28"/>
          <w:szCs w:val="28"/>
        </w:rPr>
        <w:t>. Адже відомо, що більша щільність продихів формує потенціал для ефективнішого газообміну, оскільки робота продихового апарату прямо залежить від кількості активних продихів на поверхні листка</w:t>
      </w:r>
      <w:r w:rsidR="008C42F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008C42F3">
        <w:rPr>
          <w:rFonts w:ascii="Times New Roman" w:hAnsi="Times New Roman" w:cs="Times New Roman"/>
          <w:color w:val="000000" w:themeColor="text1"/>
          <w:sz w:val="28"/>
          <w:szCs w:val="28"/>
        </w:rPr>
        <w:t>Ц</w:t>
      </w:r>
      <w:r w:rsidRPr="00CC7883">
        <w:rPr>
          <w:rFonts w:ascii="Times New Roman" w:hAnsi="Times New Roman" w:cs="Times New Roman"/>
          <w:color w:val="000000" w:themeColor="text1"/>
          <w:sz w:val="28"/>
          <w:szCs w:val="28"/>
        </w:rPr>
        <w:t xml:space="preserve">е означає, що рослина краще контролює газообмін і швидше реагує на зміну умов, що особливо важливо під час адаптації після виходу з умов </w:t>
      </w:r>
      <w:r w:rsidRPr="00CC7883">
        <w:rPr>
          <w:rFonts w:ascii="Times New Roman" w:hAnsi="Times New Roman" w:cs="Times New Roman"/>
          <w:i/>
          <w:color w:val="000000" w:themeColor="text1"/>
          <w:sz w:val="28"/>
          <w:szCs w:val="28"/>
        </w:rPr>
        <w:t>in vitro</w:t>
      </w:r>
      <w:r w:rsidR="005B59D1" w:rsidRPr="00CC7883">
        <w:rPr>
          <w:rFonts w:ascii="Times New Roman" w:hAnsi="Times New Roman" w:cs="Times New Roman"/>
          <w:color w:val="000000" w:themeColor="text1"/>
          <w:sz w:val="28"/>
          <w:szCs w:val="28"/>
        </w:rPr>
        <w:t xml:space="preserve"> [118</w:t>
      </w:r>
      <w:r w:rsidRPr="00CC7883">
        <w:rPr>
          <w:rFonts w:ascii="Times New Roman" w:hAnsi="Times New Roman" w:cs="Times New Roman"/>
          <w:color w:val="000000" w:themeColor="text1"/>
          <w:sz w:val="28"/>
          <w:szCs w:val="28"/>
        </w:rPr>
        <w:t>].</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 xml:space="preserve">Порівняння даних щодо кількості продихів на 1 мм² листкової пластинки між дослідними (третій–дванадцятий) і контрольними (перший і другий) варіантами показало, що більшість рослин, які культивували на структурованих поживних середовищах із нижчою концентрацією </w:t>
      </w:r>
      <w:r w:rsidRPr="00CC7883">
        <w:rPr>
          <w:rFonts w:ascii="Times New Roman" w:hAnsi="Times New Roman" w:cs="Times New Roman"/>
          <w:color w:val="000000" w:themeColor="text1"/>
          <w:sz w:val="28"/>
          <w:szCs w:val="28"/>
        </w:rPr>
        <w:lastRenderedPageBreak/>
        <w:t>фітогормонів (0,2 мг/л 6-БАП; 0,3 мг/л ІОК), мали більшу кількість продихів.</w:t>
      </w:r>
    </w:p>
    <w:p w:rsidR="001F7F14"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контрольних варіантах, де мікроклони винограду культивували на стандартному поживному середовищі MS, кількість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нижнього епідермісу листків становила 26,7–27,4 шт. у мікроклонів сорту «Добриня» та 30,7–32,2 шт. у сорту «Гарант», у технічних сортів цей показник був нижчим – 24,2–25,0 шт. у сорту «Ярило» та 23,0–24,0 шт. у сорту «Загрей». Загальна кількість продихів на площу листкової пластинки дорівнювала 469,3–493,8 і 499,9–643,3 шт. у підщепних та 323,8–357,5 і 292,1–314,4 шт. у технічних сортів (</w:t>
      </w:r>
      <w:r w:rsidR="00356530" w:rsidRPr="00CC7883">
        <w:rPr>
          <w:rFonts w:ascii="Times New Roman" w:hAnsi="Times New Roman" w:cs="Times New Roman"/>
          <w:color w:val="000000" w:themeColor="text1"/>
          <w:sz w:val="28"/>
          <w:szCs w:val="28"/>
        </w:rPr>
        <w:t>рис.</w:t>
      </w:r>
      <w:r w:rsidR="00356530"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6.1).</w:t>
      </w:r>
    </w:p>
    <w:p w:rsidR="00F711F0" w:rsidRPr="00CC7883" w:rsidRDefault="00F711F0"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Найбільші показники встановлені у варіантах із використанням суміші агроперліту і вермикуліту у поживному середовищі MS (одинадцятий і дванадцятий варіанти). Так, у сорту «Добриня» кількість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дорівнювала 37,0–39,0 шт., їх загальна кількість на листковій пластинці дорівнювала 762,2–900,9 шт., що було більшим порівняно з контролем відповідно на 38,7–42,2 та 62,4–82,4 %. Подібна закономірність була встановлена і для сорту «Гарант». У технічних сортів «Ярило» і «Загрей» вказані показники також перевищували контрольні значення: у сорту «Ярило» на 40,7–44,0 % за кількістю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(34,0–36,0 шт.) та на 61,1–65,9 % за загальною кількістю на листковій пластинці (537,2–576,0 шт.), у сорту «Загрей» – відповідно на 43,5–45,8 % (33,0–35,0 шт.) та на 61,6–69,2</w:t>
      </w:r>
      <w:r w:rsidR="002D181C">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(471,9–532,0 шт.).</w:t>
      </w:r>
    </w:p>
    <w:p w:rsidR="00F711F0" w:rsidRPr="00CC7883" w:rsidRDefault="00F711F0"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Застосування БАП, Радіфарм (третій і четвертий варіанти), також сприял</w:t>
      </w:r>
      <w:r w:rsidR="008C42F3">
        <w:rPr>
          <w:rFonts w:ascii="Times New Roman" w:hAnsi="Times New Roman" w:cs="Times New Roman"/>
          <w:color w:val="000000" w:themeColor="text1"/>
          <w:sz w:val="28"/>
          <w:szCs w:val="28"/>
        </w:rPr>
        <w:t>о</w:t>
      </w:r>
      <w:r w:rsidRPr="00CC7883">
        <w:rPr>
          <w:rFonts w:ascii="Times New Roman" w:hAnsi="Times New Roman" w:cs="Times New Roman"/>
          <w:color w:val="000000" w:themeColor="text1"/>
          <w:sz w:val="28"/>
          <w:szCs w:val="28"/>
        </w:rPr>
        <w:t xml:space="preserve"> збільшенню цих показників порівняно з контролем. У підщепних сортів кількість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збільшувалася до 28,5–33,8 шт. (що на 4,9–7,3 % більше контролю), а загальна кількість продихів на листковій пластинці – до 624,2–820,3 шт. (що на 27,5–49,0 % більше контролю).</w:t>
      </w:r>
    </w:p>
    <w:p w:rsidR="000C1AF6" w:rsidRPr="00CC7883" w:rsidRDefault="000C1AF6" w:rsidP="00047411">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У технічних сортів було встановлено аналогічну закономірність: за кількістю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перевага над контролем дорівнювала 7,6–8,7 %, за кількістю продихів на листковій пластинці – на 25,0–77,1 %. У варіантах </w:t>
      </w:r>
      <w:r w:rsidR="00734CC8">
        <w:rPr>
          <w:rFonts w:ascii="Times New Roman" w:hAnsi="Times New Roman" w:cs="Times New Roman"/>
          <w:color w:val="000000" w:themeColor="text1"/>
          <w:sz w:val="28"/>
          <w:szCs w:val="28"/>
        </w:rPr>
        <w:t>і</w:t>
      </w:r>
      <w:r w:rsidRPr="00CC7883">
        <w:rPr>
          <w:rFonts w:ascii="Times New Roman" w:hAnsi="Times New Roman" w:cs="Times New Roman"/>
          <w:color w:val="000000" w:themeColor="text1"/>
          <w:sz w:val="28"/>
          <w:szCs w:val="28"/>
        </w:rPr>
        <w:t xml:space="preserve">з застосуванням Clonex gel (п’ятий, шостий варіанти) ці показники були на </w:t>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lastRenderedPageBreak/>
        <w:drawing>
          <wp:inline distT="0" distB="0" distL="0" distR="0">
            <wp:extent cx="5654436" cy="1852551"/>
            <wp:effectExtent l="19050" t="0" r="22464" b="0"/>
            <wp:docPr id="1317294042"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5"/>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657166" cy="1852550"/>
            <wp:effectExtent l="19050" t="0" r="19734" b="0"/>
            <wp:docPr id="1318327248"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6"/>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І</w:t>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669041" cy="1705602"/>
            <wp:effectExtent l="19050" t="0" r="26909" b="8898"/>
            <wp:docPr id="787382976"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7"/>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669041" cy="1733798"/>
            <wp:effectExtent l="19050" t="0" r="26909" b="0"/>
            <wp:docPr id="883069632"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8"/>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ІІ</w:t>
      </w:r>
    </w:p>
    <w:p w:rsidR="000F7641" w:rsidRPr="00CC7883" w:rsidRDefault="000F7641" w:rsidP="00047411">
      <w:pPr>
        <w:pStyle w:val="Standard"/>
        <w:widowControl w:val="0"/>
        <w:suppressAutoHyphens w:val="0"/>
        <w:spacing w:line="360" w:lineRule="auto"/>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sz w:val="28"/>
          <w:szCs w:val="28"/>
        </w:rPr>
        <w:t xml:space="preserve">Рис. 6.1. Формування продихового апарату нижнього епідермісу листків мікроклонів винограду </w:t>
      </w:r>
      <w:r w:rsidRPr="00CC7883">
        <w:rPr>
          <w:rFonts w:ascii="Times New Roman" w:hAnsi="Times New Roman" w:cs="Times New Roman"/>
          <w:bCs/>
          <w:color w:val="000000" w:themeColor="text1"/>
          <w:sz w:val="28"/>
          <w:szCs w:val="28"/>
        </w:rPr>
        <w:t>на різних типах</w:t>
      </w:r>
      <w:r w:rsidR="007073CE"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bCs/>
          <w:color w:val="000000" w:themeColor="text1"/>
          <w:sz w:val="28"/>
          <w:szCs w:val="28"/>
        </w:rPr>
        <w:t>поживних середовищ</w:t>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color w:val="000000" w:themeColor="text1"/>
          <w:szCs w:val="28"/>
        </w:rPr>
        <w:t xml:space="preserve">І </w:t>
      </w: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Cs w:val="28"/>
        </w:rPr>
        <w:t xml:space="preserve"> кількість продихів на 1 мм</w:t>
      </w:r>
      <w:r w:rsidRPr="00CC7883">
        <w:rPr>
          <w:rFonts w:ascii="Times New Roman" w:hAnsi="Times New Roman" w:cs="Times New Roman"/>
          <w:color w:val="000000" w:themeColor="text1"/>
          <w:szCs w:val="28"/>
          <w:vertAlign w:val="superscript"/>
        </w:rPr>
        <w:t>2</w:t>
      </w:r>
      <w:r w:rsidRPr="00CC7883">
        <w:rPr>
          <w:rFonts w:ascii="Times New Roman" w:hAnsi="Times New Roman" w:cs="Times New Roman"/>
          <w:color w:val="000000" w:themeColor="text1"/>
          <w:szCs w:val="28"/>
        </w:rPr>
        <w:t xml:space="preserve">; ІІ </w:t>
      </w:r>
      <w:r w:rsidRPr="00CC7883">
        <w:rPr>
          <w:rFonts w:ascii="Times New Roman" w:hAnsi="Times New Roman" w:cs="Times New Roman"/>
          <w:color w:val="000000" w:themeColor="text1"/>
          <w:sz w:val="28"/>
          <w:szCs w:val="28"/>
        </w:rPr>
        <w:t>–</w:t>
      </w:r>
      <w:r w:rsidR="006B21FC"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rPr>
        <w:t>загальна кількість продихів на листковій пластинці</w:t>
      </w:r>
    </w:p>
    <w:p w:rsidR="00830F82" w:rsidRPr="00CC7883" w:rsidRDefault="00830F82" w:rsidP="00830F82">
      <w:pPr>
        <w:pStyle w:val="Standard"/>
        <w:widowControl w:val="0"/>
        <w:suppressAutoHyphens w:val="0"/>
        <w:spacing w:line="360" w:lineRule="auto"/>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lastRenderedPageBreak/>
        <w:t>рівні контролю (кількість продихів на листковій пластинці) та менші за його значення (кількість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 xml:space="preserve">Порівняно з контролем використання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hAnsi="Times New Roman" w:cs="Times New Roman"/>
          <w:color w:val="000000" w:themeColor="text1"/>
          <w:sz w:val="28"/>
          <w:szCs w:val="28"/>
        </w:rPr>
        <w:t>их компонентів у складі поживного середовища (сьомий–десятий варіанти) сприяло найбільш вираженому збільшенню кількості продихів. У мікроклонів сорту «Добриня» за кількістю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листкової пластинки перевищення контрольних значень дорівнювало 21,5–27,9 %, за загальною кількістю продихів на листковій пластинці – 47,0–72,0 %, у сорту «Гарант» відповідно – 22,3–28,8 % і 49,1–89,7</w:t>
      </w:r>
      <w:r w:rsidR="00187918">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у сорту «Ярило» – 20,0–32,4 % і 30,9–86,5 %, у сорту «Загрей» – 20,8–30,4 % і 55,8–70,6 %. Це підтверджує ефективність використання структурованих поживних середовищ для ефективного формування продихового апарату.</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Загалом спостерігалася стійка тенденція до того, що нижчі концентрації фітогормонів у поживному середовищі (0,3 мг/л ІОК; 0,2 мг/л 6-БАП) забезпечували утворення більшої кількості продихів як на 1 мм</w:t>
      </w:r>
      <w:r w:rsidRPr="00CC7883">
        <w:rPr>
          <w:rFonts w:ascii="Times New Roman" w:hAnsi="Times New Roman" w:cs="Times New Roman"/>
          <w:color w:val="000000" w:themeColor="text1"/>
          <w:sz w:val="28"/>
          <w:szCs w:val="28"/>
          <w:vertAlign w:val="superscript"/>
        </w:rPr>
        <w:t>2</w:t>
      </w:r>
      <w:r w:rsidR="008C42F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так і загалом на всій площі листкової пластинки. Така перевага була у межах 4,4–5,1 % за кількістю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площі листкової пластинки та у межах 13,4–20,6</w:t>
      </w:r>
      <w:r w:rsidR="000C1AF6"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за загальною кількістю продихів листкової пластинки.</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i/>
          <w:color w:val="000000" w:themeColor="text1"/>
          <w:sz w:val="28"/>
          <w:szCs w:val="28"/>
        </w:rPr>
        <w:t>Кількісні параметри продихів.</w:t>
      </w:r>
      <w:r w:rsidR="0018011D"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Проведений аналіз кількісних показників продихів мікроклонів сортів винограду «Добриня», «Гарант», «Ярило» і «Загрей» виявив значущі відмінності між контрольним та дослідними варіантами.</w:t>
      </w:r>
    </w:p>
    <w:p w:rsidR="001F7F14"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мікроклонів підщепних сортів контрольних варіантів (перший, другий) довжина продихів становила в середньому 24,0–24,5 мкм, ширина – 18,0–18,5</w:t>
      </w:r>
      <w:r w:rsidR="00C23A33"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мкм у сорту «Добриня» та 24,4–24,9 мкм і 18,2–18,8 мкм у сорту «Гарант» відповідно. У мікроклонів технічних сортів контрольні значення цих показників були дещо меншими: у сорту «Ярило» довжина продихів дорівнювала 23,4–24,2</w:t>
      </w:r>
      <w:r w:rsidR="00C23A33"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мкм, ширина – 17,6–17,8 мкм, у сорту «Загрей» – 23,3–23,4 мкм та 17,1–17,5 мкм відповідно (</w:t>
      </w:r>
      <w:r w:rsidR="00356530" w:rsidRPr="00CC7883">
        <w:rPr>
          <w:rFonts w:ascii="Times New Roman" w:hAnsi="Times New Roman" w:cs="Times New Roman"/>
          <w:color w:val="000000" w:themeColor="text1"/>
          <w:sz w:val="28"/>
          <w:szCs w:val="28"/>
        </w:rPr>
        <w:t>рис.</w:t>
      </w:r>
      <w:r w:rsidR="00356530"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6.2).</w:t>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lastRenderedPageBreak/>
        <w:drawing>
          <wp:inline distT="0" distB="0" distL="0" distR="0">
            <wp:extent cx="5905912" cy="1852551"/>
            <wp:effectExtent l="19050" t="0" r="18638" b="0"/>
            <wp:docPr id="1268974011" name="Діаграма 126897401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9"/>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02036" cy="1721922"/>
            <wp:effectExtent l="19050" t="0" r="22514" b="0"/>
            <wp:docPr id="58702789"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0"/>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І</w:t>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05912" cy="1862521"/>
            <wp:effectExtent l="19050" t="0" r="18638" b="4379"/>
            <wp:docPr id="2125310869"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1"/>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892511" cy="1745672"/>
            <wp:effectExtent l="19050" t="0" r="12989" b="6928"/>
            <wp:docPr id="970346600"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2"/>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ІІ</w:t>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6.2. Довжина і ширина продихів нижнього епідермісу листків мікроклонів винограду на різних типах поживних середовищ</w:t>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Cs w:val="28"/>
        </w:rPr>
      </w:pPr>
      <w:r w:rsidRPr="00CC7883">
        <w:rPr>
          <w:rFonts w:ascii="Times New Roman" w:hAnsi="Times New Roman" w:cs="Times New Roman"/>
          <w:color w:val="000000" w:themeColor="text1"/>
          <w:szCs w:val="28"/>
        </w:rPr>
        <w:t>І – довжина продихів; ІІ – ширина продихів</w:t>
      </w:r>
    </w:p>
    <w:p w:rsidR="004540BE" w:rsidRPr="00CC7883" w:rsidRDefault="00830F82" w:rsidP="00830F82">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lastRenderedPageBreak/>
        <w:t xml:space="preserve">Внесення до поживного середовища препарату Радіфарм забезпечувало збільшення довжини продихів у межах 25,2–26,5 мкм у підщепних і 24,2–25,3 мкм у технічних сортів, що перевищувало контроль на 3,2–8,5 % і 2,7–8,5 %. </w:t>
      </w:r>
      <w:r w:rsidR="004540BE" w:rsidRPr="00CC7883">
        <w:rPr>
          <w:rFonts w:ascii="Times New Roman" w:hAnsi="Times New Roman" w:cs="Times New Roman"/>
          <w:color w:val="000000" w:themeColor="text1"/>
          <w:sz w:val="28"/>
          <w:szCs w:val="28"/>
        </w:rPr>
        <w:t xml:space="preserve">Ширина продихів також збільшувалась до 19,1–20,8 мкм (що на 5,5–14,4 % більше контролю) і 18,1–19,2 мкм (що на 6,0–8,0 % більше контролю). Застосування препарату Clonex gel не дало очікуваного результату, розмірні характеристики продихів епідермісу листкової пластинки були меншими за контрольні. </w:t>
      </w:r>
    </w:p>
    <w:p w:rsidR="004540BE" w:rsidRPr="00CC7883" w:rsidRDefault="004540BE"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Найбільші за розмірами продихи були характерні для мікроклонів у сьомому–дванадцятому варіантах. У середньому для сорту «Добриня» довжина продихів збільшувалась до 26,1–27,9 мкм, ширина – до 20,3–22,5 </w:t>
      </w:r>
      <w:r w:rsidR="00831C1E">
        <w:rPr>
          <w:rFonts w:ascii="Times New Roman" w:hAnsi="Times New Roman" w:cs="Times New Roman"/>
          <w:color w:val="000000" w:themeColor="text1"/>
          <w:sz w:val="28"/>
          <w:szCs w:val="28"/>
        </w:rPr>
        <w:t>мкм</w:t>
      </w:r>
      <w:r w:rsidRPr="00CC7883">
        <w:rPr>
          <w:rFonts w:ascii="Times New Roman" w:hAnsi="Times New Roman" w:cs="Times New Roman"/>
          <w:color w:val="000000" w:themeColor="text1"/>
          <w:sz w:val="28"/>
          <w:szCs w:val="28"/>
        </w:rPr>
        <w:t>, що було більше за контрольні величини на 6,5–15,8 % і на 12,9–23,1 %.</w:t>
      </w:r>
    </w:p>
    <w:p w:rsidR="004540BE" w:rsidRPr="00CC7883" w:rsidRDefault="004540BE" w:rsidP="00326E17">
      <w:pPr>
        <w:pStyle w:val="Standard"/>
        <w:widowControl w:val="0"/>
        <w:suppressAutoHyphens w:val="0"/>
        <w:spacing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Для сорту «Гарант» ці значення дорівнювали 26,2–28,3 мкм і 20,6–22,8 мкм відповідно, що було більше за контрольні величини на 5,3–16,1 % (довжина) і на 9,5–25,1 % (ширина). У технічних сортів відзначили подібну тенденцію. </w:t>
      </w:r>
    </w:p>
    <w:p w:rsidR="004540BE" w:rsidRPr="00CC7883" w:rsidRDefault="004540BE"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Порівняння варіантів із різним фітогормональним складом поживного середовища показало, що менші концентрації фітогормонів у більшості випадків</w:t>
      </w:r>
      <w:r w:rsidR="00831C1E">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сприяли формуванню більших за розмірами продихів. </w:t>
      </w:r>
    </w:p>
    <w:p w:rsidR="004540BE" w:rsidRPr="00CC7883" w:rsidRDefault="004540BE"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Розміри продихів важливі для адаптації мікроклонів, оскільки надто великі та широко відкриті продихи, характерні для рослин із культури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погано закриваються і спричиняють інтенсивну втрату води при перенесенні до умов </w:t>
      </w:r>
      <w:r w:rsidRPr="00CC7883">
        <w:rPr>
          <w:rFonts w:ascii="Times New Roman" w:hAnsi="Times New Roman" w:cs="Times New Roman"/>
          <w:i/>
          <w:iCs/>
          <w:color w:val="000000" w:themeColor="text1"/>
          <w:sz w:val="28"/>
          <w:szCs w:val="28"/>
          <w:lang w:eastAsia="en-US"/>
        </w:rPr>
        <w:t>in vivo</w:t>
      </w:r>
      <w:r w:rsidRPr="00CC7883">
        <w:rPr>
          <w:rFonts w:ascii="Times New Roman" w:hAnsi="Times New Roman" w:cs="Times New Roman"/>
          <w:color w:val="000000" w:themeColor="text1"/>
          <w:sz w:val="28"/>
          <w:szCs w:val="28"/>
        </w:rPr>
        <w:t>. Великі й неправильно функціонуючі продихи призводять до швидкого в’янення мікроклонів [220].</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i/>
          <w:color w:val="000000" w:themeColor="text1"/>
          <w:sz w:val="28"/>
          <w:szCs w:val="28"/>
        </w:rPr>
        <w:t xml:space="preserve">Ширина замикаючих клітин продихів. </w:t>
      </w:r>
      <w:r w:rsidRPr="00CC7883">
        <w:rPr>
          <w:rFonts w:ascii="Times New Roman" w:hAnsi="Times New Roman" w:cs="Times New Roman"/>
          <w:color w:val="000000" w:themeColor="text1"/>
          <w:sz w:val="28"/>
          <w:szCs w:val="28"/>
        </w:rPr>
        <w:t>Важливою анатомічною характеристикою продихового апарату є ширина замикаючих клітин, оскільки саме цей показник визначає функціональну здатність продихів до відкривання та закривання. Вужчі замикаючі клітини є більш сприятливими для адаптації, оскільки вони формують меншу продихову щілину, яка краще контролює втрати води та знижує ризик швидкого висихання листка після перенесення рос</w:t>
      </w:r>
      <w:r w:rsidR="00E87B65" w:rsidRPr="00CC7883">
        <w:rPr>
          <w:rFonts w:ascii="Times New Roman" w:hAnsi="Times New Roman" w:cs="Times New Roman"/>
          <w:color w:val="000000" w:themeColor="text1"/>
          <w:sz w:val="28"/>
          <w:szCs w:val="28"/>
        </w:rPr>
        <w:t>лин у неконтрольовані умови [2</w:t>
      </w:r>
      <w:r w:rsidR="002D22A1" w:rsidRPr="00CC7883">
        <w:rPr>
          <w:rFonts w:ascii="Times New Roman" w:hAnsi="Times New Roman" w:cs="Times New Roman"/>
          <w:color w:val="000000" w:themeColor="text1"/>
          <w:sz w:val="28"/>
          <w:szCs w:val="28"/>
        </w:rPr>
        <w:t>20</w:t>
      </w:r>
      <w:r w:rsidRPr="00CC7883">
        <w:rPr>
          <w:rFonts w:ascii="Times New Roman" w:hAnsi="Times New Roman" w:cs="Times New Roman"/>
          <w:color w:val="000000" w:themeColor="text1"/>
          <w:sz w:val="28"/>
          <w:szCs w:val="28"/>
        </w:rPr>
        <w:t xml:space="preserve">]. Дослідження впливу </w:t>
      </w:r>
      <w:r w:rsidRPr="00CC7883">
        <w:rPr>
          <w:rFonts w:ascii="Times New Roman" w:hAnsi="Times New Roman" w:cs="Times New Roman"/>
          <w:color w:val="000000" w:themeColor="text1"/>
          <w:sz w:val="28"/>
          <w:szCs w:val="28"/>
        </w:rPr>
        <w:lastRenderedPageBreak/>
        <w:t xml:space="preserve">різних умов культивування мікроклонів винограду показало істотні відмінності цього показника залежно від фітогормонального складу середовища, застосування стимуляторів росту та використання мінеральних субстратів. </w:t>
      </w:r>
    </w:p>
    <w:p w:rsidR="001F7F14"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мікроклонів варіантів, де до поживного середовища вносили препарат Радіфарм</w:t>
      </w:r>
      <w:r w:rsidR="00831C1E">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відзначалася тенденція до помірного збільшення ширини замикаючих клітин продихів: у сорту «Добриня» – до 4,3–4,4 мкм, у сорту «Гарант» – 4,0–4,9</w:t>
      </w:r>
      <w:r w:rsidR="00C23A33"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мкм, що було більшим за контрольні значення на 7,0–10,1</w:t>
      </w:r>
      <w:r w:rsidR="004540BE"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У сорту «Ярило» – до 4,5–4,7 мкм</w:t>
      </w:r>
      <w:r w:rsidR="00D50F5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у сорту «Загрей» – до 4,2–4,4 мкм, що було більшим за контрольні значення на 2,7–14,0 % (</w:t>
      </w:r>
      <w:r w:rsidR="00356530" w:rsidRPr="00CC7883">
        <w:rPr>
          <w:rFonts w:ascii="Times New Roman" w:hAnsi="Times New Roman" w:cs="Times New Roman"/>
          <w:color w:val="000000" w:themeColor="text1"/>
          <w:sz w:val="28"/>
          <w:szCs w:val="28"/>
        </w:rPr>
        <w:t>рис.</w:t>
      </w:r>
      <w:r w:rsidR="00356530"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6.3).</w:t>
      </w:r>
    </w:p>
    <w:p w:rsidR="001F7F14"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noProof/>
          <w:color w:val="000000" w:themeColor="text1"/>
          <w:lang w:val="ru-RU" w:eastAsia="ru-RU" w:bidi="ar-SA"/>
        </w:rPr>
        <w:drawing>
          <wp:inline distT="0" distB="0" distL="0" distR="0">
            <wp:extent cx="5882986" cy="2426821"/>
            <wp:effectExtent l="19050" t="0" r="22514" b="0"/>
            <wp:docPr id="1225129876"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3"/>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noProof/>
          <w:color w:val="000000" w:themeColor="text1"/>
          <w:lang w:val="ru-RU" w:eastAsia="ru-RU" w:bidi="ar-SA"/>
        </w:rPr>
        <w:drawing>
          <wp:inline distT="0" distB="0" distL="0" distR="0">
            <wp:extent cx="5896387" cy="2336264"/>
            <wp:effectExtent l="19050" t="0" r="28163" b="6886"/>
            <wp:docPr id="469732852"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4"/>
              </a:graphicData>
            </a:graphic>
          </wp:inline>
        </w:drawing>
      </w:r>
    </w:p>
    <w:p w:rsidR="000F7641"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6.3. Ширина замикаючих клітин продихів нижнього епідермісу листків мікроклонів винограду на різних типах поживних середовищ</w:t>
      </w:r>
    </w:p>
    <w:p w:rsidR="00326E17" w:rsidRDefault="00326E17" w:rsidP="00830F82">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p>
    <w:p w:rsidR="00830F82" w:rsidRPr="00CC7883" w:rsidRDefault="00830F82" w:rsidP="00830F82">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Застосування препарату Clonex gel сприяло значному збільшенню ширини замикаючих клітин продихів у всіх сортах: 4,8–5,4 мкм («Добриня»), 4,4–5,1 мкм («Гарант»), 4,6–5,2 мкм («Ярило»), 4,8–5,5 мкм, при 4,0–4,8 мкм у контролях.</w:t>
      </w:r>
    </w:p>
    <w:p w:rsidR="00830F82" w:rsidRPr="00CC7883" w:rsidRDefault="00830F82" w:rsidP="00830F82">
      <w:pPr>
        <w:pStyle w:val="Standard"/>
        <w:widowControl w:val="0"/>
        <w:suppressAutoHyphens w:val="0"/>
        <w:spacing w:line="360" w:lineRule="auto"/>
        <w:ind w:firstLine="709"/>
        <w:jc w:val="both"/>
        <w:rPr>
          <w:rFonts w:ascii="Times New Roman" w:hAnsi="Times New Roman" w:cs="Times New Roman"/>
          <w:b/>
          <w:color w:val="000000" w:themeColor="text1"/>
        </w:rPr>
      </w:pPr>
      <w:r w:rsidRPr="00CC7883">
        <w:rPr>
          <w:rFonts w:ascii="Times New Roman" w:hAnsi="Times New Roman" w:cs="Times New Roman"/>
          <w:i/>
          <w:color w:val="000000" w:themeColor="text1"/>
          <w:sz w:val="28"/>
          <w:szCs w:val="28"/>
        </w:rPr>
        <w:t xml:space="preserve">Ширина продихової щілини. </w:t>
      </w:r>
      <w:r w:rsidRPr="00CC7883">
        <w:rPr>
          <w:rFonts w:ascii="Times New Roman" w:hAnsi="Times New Roman" w:cs="Times New Roman"/>
          <w:color w:val="000000" w:themeColor="text1"/>
          <w:sz w:val="28"/>
          <w:szCs w:val="28"/>
        </w:rPr>
        <w:t>Одним із показників, що визначають функціональний стан продихового апарату</w:t>
      </w:r>
      <w:r>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є ширина продихової щілини. Вона змінюється залежно від умов культивування та поєднання компонентів середовища, відображаючи адаптаційні можливості мікроклонів винограду. Так, у мікроклонів підщепних сортів контрольних варіантів цей показник дорівнював 10,2–10,5 мкм у підщепних сортів та 10,0–10,3 мкм у технічних сортів (рис.</w:t>
      </w:r>
      <w:r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6.4).</w:t>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27758" cy="2268187"/>
            <wp:effectExtent l="19050" t="0" r="15842" b="0"/>
            <wp:docPr id="744940423"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5"/>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26488" cy="2398816"/>
            <wp:effectExtent l="19050" t="0" r="17112" b="1484"/>
            <wp:docPr id="1425132671"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6"/>
              </a:graphicData>
            </a:graphic>
          </wp:inline>
        </w:drawing>
      </w:r>
    </w:p>
    <w:p w:rsidR="000F7641"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6.4. Ширина продихової щілини продих</w:t>
      </w:r>
      <w:r w:rsidR="00DB68A3">
        <w:rPr>
          <w:rFonts w:ascii="Times New Roman" w:hAnsi="Times New Roman" w:cs="Times New Roman"/>
          <w:color w:val="000000" w:themeColor="text1"/>
          <w:sz w:val="28"/>
          <w:szCs w:val="28"/>
        </w:rPr>
        <w:t>ового апарату</w:t>
      </w:r>
      <w:r w:rsidRPr="00CC7883">
        <w:rPr>
          <w:rFonts w:ascii="Times New Roman" w:hAnsi="Times New Roman" w:cs="Times New Roman"/>
          <w:color w:val="000000" w:themeColor="text1"/>
          <w:sz w:val="28"/>
          <w:szCs w:val="28"/>
        </w:rPr>
        <w:t xml:space="preserve"> нижнього епідермісу листків мікроклонів винограду на різних типах поживних середовищ</w:t>
      </w:r>
    </w:p>
    <w:p w:rsidR="003762B9" w:rsidRPr="00CC7883" w:rsidRDefault="003762B9"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Найбільших значень він досягав після внесення у поживне середовище MS суміші агроперліту і вермикуліту (одинадцятий і дванадцятий варіанти). У сорту «Добриня» цей показник дорівнював 12,8–13,0 мкм, у сорту «Гарант» – 13,0–13,9 мкм, у сорту «Ярило» – 12,7–13,2 мкм, у сорту «Загрей» – 12,8–13,4</w:t>
      </w:r>
      <w:r w:rsidR="00C23A33"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мкм, що перевищувало контролі в середньому на 23,1–35,0 % (підщепні сорти), на 23,3–31,4 % (технічні сорти). При культивуванні мікроклонів винограду на структурованих поживних середовищах з агроперлітом чи вермикулітом ширина продихових щілин продихів нижнього епідермісу листків сортів «Добриня» та «Гарант» дорівнювала 11,0–12,3 мкм і збільшувалась відносно контролю на 4,8–19,6 %, сортів «Ярило» та «Загрей» – вона дорівнювала 10,0–19,8 мкм і збільшувал</w:t>
      </w:r>
      <w:r w:rsidR="00DF0AF4">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с</w:t>
      </w:r>
      <w:r w:rsidR="00DF0AF4">
        <w:rPr>
          <w:rFonts w:ascii="Times New Roman" w:hAnsi="Times New Roman" w:cs="Times New Roman"/>
          <w:color w:val="000000" w:themeColor="text1"/>
          <w:sz w:val="28"/>
          <w:szCs w:val="28"/>
        </w:rPr>
        <w:t>я</w:t>
      </w:r>
      <w:r w:rsidRPr="00CC7883">
        <w:rPr>
          <w:rFonts w:ascii="Times New Roman" w:hAnsi="Times New Roman" w:cs="Times New Roman"/>
          <w:color w:val="000000" w:themeColor="text1"/>
          <w:sz w:val="28"/>
          <w:szCs w:val="28"/>
        </w:rPr>
        <w:t xml:space="preserve"> відносно контролю на 13,6–19,8 %.</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Внесення біологічно активних препаратів до складу поживного середовища сприяло помірному збільшенню продихової щілини продихів відносно контрольних значень, але цей показник залишався меншим відносно варіантів із структурованими поживними середовищами. Порівняно з контролем ширина продихових клітин продихів нижнього епідермісу листків мікроклонів «Добриня», «Гарант» збільшувалась на 5,8–9,8 % та 1,0–9,7 %, листків мікроклонів «Ярило» і «Загрей» – відповідно на 5,8–9,9 % і 1,0–10,0</w:t>
      </w:r>
      <w:r w:rsidR="004540BE"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 У мікроклональних рослин п’ятого і шостого варіантів (препарат </w:t>
      </w:r>
      <w:r w:rsidR="00115B07" w:rsidRPr="00CC7883">
        <w:rPr>
          <w:rFonts w:ascii="Times New Roman" w:hAnsi="Times New Roman" w:cs="Times New Roman"/>
          <w:color w:val="000000" w:themeColor="text1"/>
          <w:sz w:val="28"/>
          <w:szCs w:val="28"/>
        </w:rPr>
        <w:t>Clonex gel</w:t>
      </w:r>
      <w:r w:rsidRPr="00CC7883">
        <w:rPr>
          <w:rFonts w:ascii="Times New Roman" w:hAnsi="Times New Roman" w:cs="Times New Roman"/>
          <w:color w:val="000000" w:themeColor="text1"/>
          <w:sz w:val="28"/>
          <w:szCs w:val="28"/>
        </w:rPr>
        <w:t xml:space="preserve">) цей показник був меншим за контрольні значення (зменшення відносно контролю дорівнювало 9,9–42,9 % (середнє за всіма сортами)). </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мікроклонів винограду, які культивували на поживних середовищах із меншим вмістом фітогормонів</w:t>
      </w:r>
      <w:r w:rsidR="001B0EF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формувалися продихи з більшою шириною продихової щілини, порівняно з аналогічними варіантами, але з більшим вмістом фітогормонів у поживному середовищі. У середньому таке збільшення було у межах 0,9–2,4 %. </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rPr>
        <w:t>Площа продихів</w:t>
      </w:r>
      <w:r w:rsidRPr="00CC7883">
        <w:rPr>
          <w:rFonts w:ascii="Times New Roman" w:hAnsi="Times New Roman" w:cs="Times New Roman"/>
          <w:iCs/>
          <w:color w:val="000000" w:themeColor="text1"/>
          <w:sz w:val="28"/>
          <w:szCs w:val="28"/>
        </w:rPr>
        <w:t xml:space="preserve">. </w:t>
      </w:r>
      <w:r w:rsidRPr="00CC7883">
        <w:rPr>
          <w:rFonts w:ascii="Times New Roman" w:hAnsi="Times New Roman" w:cs="Times New Roman"/>
          <w:color w:val="000000" w:themeColor="text1"/>
          <w:sz w:val="28"/>
          <w:szCs w:val="28"/>
        </w:rPr>
        <w:t xml:space="preserve">Площа продихів є комплексним показником, що поєднує зміни довжини, ширини та ширини продихової щілини, і </w:t>
      </w:r>
      <w:r w:rsidRPr="00CC7883">
        <w:rPr>
          <w:rFonts w:ascii="Times New Roman" w:hAnsi="Times New Roman" w:cs="Times New Roman"/>
          <w:color w:val="000000" w:themeColor="text1"/>
          <w:sz w:val="28"/>
          <w:szCs w:val="28"/>
        </w:rPr>
        <w:lastRenderedPageBreak/>
        <w:t xml:space="preserve">безпосередньо визначає ефективність газообміну та транспірацію. Площа продиху визначає, наскільки багато повітря та водяної пари може пройти через продих під час його роботи. Для адаптації краще, коли площа менша, оскільки це знижує втрати води й робить продихи більш керованими після виходу з умов </w:t>
      </w:r>
      <w:r w:rsidRPr="00CC7883">
        <w:rPr>
          <w:rFonts w:ascii="Times New Roman" w:hAnsi="Times New Roman" w:cs="Times New Roman"/>
          <w:i/>
          <w:color w:val="000000" w:themeColor="text1"/>
          <w:sz w:val="28"/>
          <w:szCs w:val="28"/>
        </w:rPr>
        <w:t>in</w:t>
      </w:r>
      <w:r w:rsidR="000C3A99"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Pr="00CC7883">
        <w:rPr>
          <w:rFonts w:ascii="Times New Roman" w:hAnsi="Times New Roman" w:cs="Times New Roman"/>
          <w:color w:val="000000" w:themeColor="text1"/>
          <w:sz w:val="28"/>
          <w:szCs w:val="28"/>
        </w:rPr>
        <w:t xml:space="preserve"> [</w:t>
      </w:r>
      <w:r w:rsidR="00E87B65" w:rsidRPr="00CC7883">
        <w:rPr>
          <w:rFonts w:ascii="Times New Roman" w:hAnsi="Times New Roman" w:cs="Times New Roman"/>
          <w:color w:val="000000" w:themeColor="text1"/>
          <w:sz w:val="28"/>
          <w:szCs w:val="28"/>
        </w:rPr>
        <w:t>2</w:t>
      </w:r>
      <w:r w:rsidR="002D22A1" w:rsidRPr="00CC7883">
        <w:rPr>
          <w:rFonts w:ascii="Times New Roman" w:hAnsi="Times New Roman" w:cs="Times New Roman"/>
          <w:color w:val="000000" w:themeColor="text1"/>
          <w:sz w:val="28"/>
          <w:szCs w:val="28"/>
        </w:rPr>
        <w:t>20</w:t>
      </w:r>
      <w:r w:rsidRPr="00CC7883">
        <w:rPr>
          <w:rFonts w:ascii="Times New Roman" w:hAnsi="Times New Roman" w:cs="Times New Roman"/>
          <w:color w:val="000000" w:themeColor="text1"/>
          <w:sz w:val="28"/>
          <w:szCs w:val="28"/>
        </w:rPr>
        <w:t>].</w:t>
      </w:r>
      <w:r w:rsidR="00A350B8"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Отримані результати свідчать про істотну варіабельність цього показника залежно від умов культивування та фітогормонального складу поживного середовища. Так, у рослин першого і другого варіантів площа продихів нижнього епідермісу листків підщепних сортів дорівнювала </w:t>
      </w:r>
      <w:r w:rsidR="00570437" w:rsidRPr="00CC7883">
        <w:rPr>
          <w:rFonts w:ascii="Times New Roman" w:hAnsi="Times New Roman" w:cs="Times New Roman"/>
          <w:color w:val="000000" w:themeColor="text1"/>
          <w:sz w:val="28"/>
          <w:szCs w:val="28"/>
        </w:rPr>
        <w:t>346,0</w:t>
      </w:r>
      <w:r w:rsidRPr="00CC7883">
        <w:rPr>
          <w:rFonts w:ascii="Times New Roman" w:hAnsi="Times New Roman" w:cs="Times New Roman"/>
          <w:color w:val="000000" w:themeColor="text1"/>
          <w:sz w:val="28"/>
          <w:szCs w:val="28"/>
        </w:rPr>
        <w:t>–</w:t>
      </w:r>
      <w:r w:rsidR="00570437" w:rsidRPr="00CC7883">
        <w:rPr>
          <w:rFonts w:ascii="Times New Roman" w:hAnsi="Times New Roman" w:cs="Times New Roman"/>
          <w:color w:val="000000" w:themeColor="text1"/>
          <w:sz w:val="28"/>
          <w:szCs w:val="28"/>
        </w:rPr>
        <w:t>366,7</w:t>
      </w:r>
      <w:r w:rsidRPr="00CC7883">
        <w:rPr>
          <w:rFonts w:ascii="Times New Roman" w:hAnsi="Times New Roman" w:cs="Times New Roman"/>
          <w:color w:val="000000" w:themeColor="text1"/>
          <w:sz w:val="28"/>
          <w:szCs w:val="28"/>
        </w:rPr>
        <w:t xml:space="preserve">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у технічних – цей показник дорівнював </w:t>
      </w:r>
      <w:r w:rsidR="00570437" w:rsidRPr="00CC7883">
        <w:rPr>
          <w:rFonts w:ascii="Times New Roman" w:hAnsi="Times New Roman" w:cs="Times New Roman"/>
          <w:color w:val="000000" w:themeColor="text1"/>
          <w:sz w:val="28"/>
          <w:szCs w:val="28"/>
        </w:rPr>
        <w:t>312,7</w:t>
      </w:r>
      <w:r w:rsidRPr="00CC7883">
        <w:rPr>
          <w:rFonts w:ascii="Times New Roman" w:hAnsi="Times New Roman" w:cs="Times New Roman"/>
          <w:color w:val="000000" w:themeColor="text1"/>
          <w:sz w:val="28"/>
          <w:szCs w:val="28"/>
        </w:rPr>
        <w:t>–</w:t>
      </w:r>
      <w:r w:rsidR="00570437" w:rsidRPr="00CC7883">
        <w:rPr>
          <w:rFonts w:ascii="Times New Roman" w:hAnsi="Times New Roman" w:cs="Times New Roman"/>
          <w:color w:val="000000" w:themeColor="text1"/>
          <w:sz w:val="28"/>
          <w:szCs w:val="28"/>
        </w:rPr>
        <w:t>332,9</w:t>
      </w:r>
      <w:r w:rsidRPr="00CC7883">
        <w:rPr>
          <w:rFonts w:ascii="Times New Roman" w:hAnsi="Times New Roman" w:cs="Times New Roman"/>
          <w:color w:val="000000" w:themeColor="text1"/>
          <w:sz w:val="28"/>
          <w:szCs w:val="28"/>
        </w:rPr>
        <w:t xml:space="preserve"> мкм</w:t>
      </w:r>
      <w:r w:rsidRPr="00CC7883">
        <w:rPr>
          <w:rFonts w:ascii="Times New Roman" w:hAnsi="Times New Roman" w:cs="Times New Roman"/>
          <w:color w:val="000000" w:themeColor="text1"/>
          <w:sz w:val="28"/>
          <w:szCs w:val="28"/>
          <w:vertAlign w:val="superscript"/>
        </w:rPr>
        <w:t xml:space="preserve">2 </w:t>
      </w:r>
      <w:r w:rsidRPr="00CC7883">
        <w:rPr>
          <w:rFonts w:ascii="Times New Roman" w:hAnsi="Times New Roman" w:cs="Times New Roman"/>
          <w:color w:val="000000" w:themeColor="text1"/>
          <w:sz w:val="28"/>
          <w:szCs w:val="28"/>
        </w:rPr>
        <w:t>(</w:t>
      </w:r>
      <w:r w:rsidR="00356530" w:rsidRPr="00CC7883">
        <w:rPr>
          <w:rFonts w:ascii="Times New Roman" w:hAnsi="Times New Roman" w:cs="Times New Roman"/>
          <w:color w:val="000000" w:themeColor="text1"/>
          <w:sz w:val="28"/>
          <w:szCs w:val="28"/>
        </w:rPr>
        <w:t>рис.</w:t>
      </w:r>
      <w:r w:rsidR="00356530"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6.5).</w:t>
      </w:r>
    </w:p>
    <w:p w:rsidR="000F7641" w:rsidRPr="00CC7883" w:rsidRDefault="00570437" w:rsidP="00047411">
      <w:pPr>
        <w:pStyle w:val="Standard"/>
        <w:widowControl w:val="0"/>
        <w:suppressAutoHyphens w:val="0"/>
        <w:spacing w:line="360" w:lineRule="auto"/>
        <w:jc w:val="both"/>
        <w:rPr>
          <w:rFonts w:ascii="Times New Roman" w:hAnsi="Times New Roman" w:cs="Times New Roman"/>
          <w:color w:val="000000" w:themeColor="text1"/>
        </w:rPr>
      </w:pPr>
      <w:r w:rsidRPr="00CC7883">
        <w:rPr>
          <w:noProof/>
          <w:color w:val="000000" w:themeColor="text1"/>
          <w:lang w:val="ru-RU" w:eastAsia="ru-RU" w:bidi="ar-SA"/>
        </w:rPr>
        <w:drawing>
          <wp:inline distT="0" distB="0" distL="0" distR="0">
            <wp:extent cx="5894861" cy="2475593"/>
            <wp:effectExtent l="19050" t="0" r="10639" b="907"/>
            <wp:docPr id="537076802" name="Диаграмма 53707680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7"/>
              </a:graphicData>
            </a:graphic>
          </wp:inline>
        </w:drawing>
      </w:r>
    </w:p>
    <w:p w:rsidR="000F7641" w:rsidRPr="00CC7883" w:rsidRDefault="00570437" w:rsidP="00047411">
      <w:pPr>
        <w:pStyle w:val="Standard"/>
        <w:widowControl w:val="0"/>
        <w:suppressAutoHyphens w:val="0"/>
        <w:spacing w:line="360" w:lineRule="auto"/>
        <w:jc w:val="both"/>
        <w:rPr>
          <w:rFonts w:ascii="Times New Roman" w:hAnsi="Times New Roman" w:cs="Times New Roman"/>
          <w:color w:val="000000" w:themeColor="text1"/>
        </w:rPr>
      </w:pPr>
      <w:r w:rsidRPr="00CC7883">
        <w:rPr>
          <w:noProof/>
          <w:color w:val="000000" w:themeColor="text1"/>
          <w:lang w:val="ru-RU" w:eastAsia="ru-RU" w:bidi="ar-SA"/>
        </w:rPr>
        <w:drawing>
          <wp:inline distT="0" distB="0" distL="0" distR="0">
            <wp:extent cx="5896577" cy="2517569"/>
            <wp:effectExtent l="19050" t="0" r="27973" b="0"/>
            <wp:docPr id="537076803" name="Диаграмма 53707680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8"/>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6.5. Площа продихів нижнього епідермісу листків мікроклонів винограду на різних типах поживних середовищ</w:t>
      </w:r>
    </w:p>
    <w:p w:rsidR="000C3A99" w:rsidRPr="00CC7883" w:rsidRDefault="000C3A99"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p>
    <w:p w:rsidR="00830F82" w:rsidRPr="00CC7883" w:rsidRDefault="00830F82" w:rsidP="00830F82">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lastRenderedPageBreak/>
        <w:t>Культивування мікроклонів винограду на структурованих поживних середовищах (сьомий–дванадцятий варіанти) характеризувалося збільшенням цього показника найбільш суттєво. У підщепних сортів цей показник перевищував контроль у середньому на 20,5–41,1 % («Добриня»), на 16,2–45,2 % («Гарант») та дорівнював 416,8–492,7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426,1–505,4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у технічних сортів – на 20,2–49,9 % («Ярило») і 7,4–29,1 % («Загрей») та дорівнював 400,3–490,1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335,7–413,0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Максимальна площа продихів була характерна для мікроклональних рослин винограду одинадцятого варіанту. </w:t>
      </w:r>
      <w:r w:rsidR="00B031E9">
        <w:rPr>
          <w:rFonts w:ascii="Times New Roman" w:hAnsi="Times New Roman" w:cs="Times New Roman"/>
          <w:color w:val="000000" w:themeColor="text1"/>
          <w:sz w:val="28"/>
          <w:szCs w:val="28"/>
        </w:rPr>
        <w:t>Відносно,</w:t>
      </w:r>
      <w:r w:rsidRPr="00CC7883">
        <w:rPr>
          <w:rFonts w:ascii="Times New Roman" w:hAnsi="Times New Roman" w:cs="Times New Roman"/>
          <w:color w:val="000000" w:themeColor="text1"/>
          <w:sz w:val="28"/>
          <w:szCs w:val="28"/>
        </w:rPr>
        <w:t xml:space="preserve"> цей показник збільшувався на 41,1–45,2 % і дорівнював </w:t>
      </w:r>
      <w:r w:rsidR="003A5C53" w:rsidRPr="00CC7883">
        <w:rPr>
          <w:rFonts w:ascii="Times New Roman" w:hAnsi="Times New Roman" w:cs="Times New Roman"/>
          <w:color w:val="000000" w:themeColor="text1"/>
          <w:sz w:val="28"/>
          <w:szCs w:val="28"/>
        </w:rPr>
        <w:t>492,7–505,4</w:t>
      </w:r>
      <w:r w:rsidRPr="00CC7883">
        <w:rPr>
          <w:rFonts w:ascii="Times New Roman" w:hAnsi="Times New Roman" w:cs="Times New Roman"/>
          <w:color w:val="000000" w:themeColor="text1"/>
          <w:sz w:val="28"/>
          <w:szCs w:val="28"/>
        </w:rPr>
        <w:t xml:space="preserve"> мкм</w:t>
      </w:r>
      <w:r w:rsidRPr="00CC7883">
        <w:rPr>
          <w:rFonts w:ascii="Times New Roman" w:hAnsi="Times New Roman" w:cs="Times New Roman"/>
          <w:color w:val="000000" w:themeColor="text1"/>
          <w:sz w:val="28"/>
          <w:szCs w:val="28"/>
          <w:vertAlign w:val="superscript"/>
        </w:rPr>
        <w:t xml:space="preserve">2 </w:t>
      </w:r>
      <w:r w:rsidRPr="00CC7883">
        <w:rPr>
          <w:rFonts w:ascii="Times New Roman" w:hAnsi="Times New Roman" w:cs="Times New Roman"/>
          <w:color w:val="000000" w:themeColor="text1"/>
          <w:sz w:val="28"/>
          <w:szCs w:val="28"/>
        </w:rPr>
        <w:t xml:space="preserve">для сортів «Добриня» і «Гарант» та на 15,5–49,9 % і дорівнював </w:t>
      </w:r>
      <w:r w:rsidR="003A5C53" w:rsidRPr="00CC7883">
        <w:rPr>
          <w:rFonts w:ascii="Times New Roman" w:hAnsi="Times New Roman" w:cs="Times New Roman"/>
          <w:color w:val="000000" w:themeColor="text1"/>
          <w:sz w:val="28"/>
          <w:szCs w:val="28"/>
        </w:rPr>
        <w:t>369,7–490,1</w:t>
      </w:r>
      <w:r w:rsidRPr="00CC7883">
        <w:rPr>
          <w:rFonts w:ascii="Times New Roman" w:hAnsi="Times New Roman" w:cs="Times New Roman"/>
          <w:color w:val="000000" w:themeColor="text1"/>
          <w:sz w:val="28"/>
          <w:szCs w:val="28"/>
        </w:rPr>
        <w:t xml:space="preserve">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для сортів «Ярило» і «Загрей». </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 xml:space="preserve">Застосування препарату Радіфарм (третій, четвертий варіанти) також сприяло збільшенню площі продихів: у підщепних сортів вона зростала до </w:t>
      </w:r>
      <w:r w:rsidR="003A5C53" w:rsidRPr="00CC7883">
        <w:rPr>
          <w:rFonts w:ascii="Times New Roman" w:hAnsi="Times New Roman" w:cs="Times New Roman"/>
          <w:color w:val="000000" w:themeColor="text1"/>
          <w:sz w:val="28"/>
          <w:szCs w:val="28"/>
        </w:rPr>
        <w:t>379,0</w:t>
      </w:r>
      <w:r w:rsidRPr="00CC7883">
        <w:rPr>
          <w:rFonts w:ascii="Times New Roman" w:hAnsi="Times New Roman" w:cs="Times New Roman"/>
          <w:color w:val="000000" w:themeColor="text1"/>
          <w:sz w:val="28"/>
          <w:szCs w:val="28"/>
        </w:rPr>
        <w:t>–</w:t>
      </w:r>
      <w:r w:rsidR="003A5C53" w:rsidRPr="00CC7883">
        <w:rPr>
          <w:rFonts w:ascii="Times New Roman" w:hAnsi="Times New Roman" w:cs="Times New Roman"/>
          <w:color w:val="000000" w:themeColor="text1"/>
          <w:sz w:val="28"/>
          <w:szCs w:val="28"/>
        </w:rPr>
        <w:t>432,1</w:t>
      </w:r>
      <w:r w:rsidRPr="00CC7883">
        <w:rPr>
          <w:rFonts w:ascii="Times New Roman" w:hAnsi="Times New Roman" w:cs="Times New Roman"/>
          <w:color w:val="000000" w:themeColor="text1"/>
          <w:sz w:val="28"/>
          <w:szCs w:val="28"/>
        </w:rPr>
        <w:t xml:space="preserve">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(збільшувались відносно контролю на 9,5–24,1 %), у технічних – до </w:t>
      </w:r>
      <w:r w:rsidR="003A5C53" w:rsidRPr="00CC7883">
        <w:rPr>
          <w:rFonts w:ascii="Times New Roman" w:hAnsi="Times New Roman" w:cs="Times New Roman"/>
          <w:color w:val="000000" w:themeColor="text1"/>
          <w:sz w:val="28"/>
          <w:szCs w:val="28"/>
        </w:rPr>
        <w:t>342,8</w:t>
      </w:r>
      <w:r w:rsidRPr="00CC7883">
        <w:rPr>
          <w:rFonts w:ascii="Times New Roman" w:hAnsi="Times New Roman" w:cs="Times New Roman"/>
          <w:color w:val="000000" w:themeColor="text1"/>
          <w:sz w:val="28"/>
          <w:szCs w:val="28"/>
        </w:rPr>
        <w:t>–</w:t>
      </w:r>
      <w:r w:rsidR="003A5C53" w:rsidRPr="00CC7883">
        <w:rPr>
          <w:rFonts w:ascii="Times New Roman" w:hAnsi="Times New Roman" w:cs="Times New Roman"/>
          <w:color w:val="000000" w:themeColor="text1"/>
          <w:sz w:val="28"/>
          <w:szCs w:val="28"/>
        </w:rPr>
        <w:t>382,9</w:t>
      </w:r>
      <w:r w:rsidRPr="00CC7883">
        <w:rPr>
          <w:rFonts w:ascii="Times New Roman" w:hAnsi="Times New Roman" w:cs="Times New Roman"/>
          <w:color w:val="000000" w:themeColor="text1"/>
          <w:sz w:val="28"/>
          <w:szCs w:val="28"/>
        </w:rPr>
        <w:t xml:space="preserve">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(збільшу</w:t>
      </w:r>
      <w:r w:rsidR="00BE110B">
        <w:rPr>
          <w:rFonts w:ascii="Times New Roman" w:hAnsi="Times New Roman" w:cs="Times New Roman"/>
          <w:color w:val="000000" w:themeColor="text1"/>
          <w:sz w:val="28"/>
          <w:szCs w:val="28"/>
        </w:rPr>
        <w:t>ючись</w:t>
      </w:r>
      <w:r w:rsidRPr="00CC7883">
        <w:rPr>
          <w:rFonts w:ascii="Times New Roman" w:hAnsi="Times New Roman" w:cs="Times New Roman"/>
          <w:color w:val="000000" w:themeColor="text1"/>
          <w:sz w:val="28"/>
          <w:szCs w:val="28"/>
        </w:rPr>
        <w:t xml:space="preserve"> відносно контролю на 9,6–17,1 %). Застосування препарату </w:t>
      </w:r>
      <w:r w:rsidR="00115B07" w:rsidRPr="00CC7883">
        <w:rPr>
          <w:rFonts w:ascii="Times New Roman" w:hAnsi="Times New Roman" w:cs="Times New Roman"/>
          <w:color w:val="000000" w:themeColor="text1"/>
          <w:sz w:val="28"/>
          <w:szCs w:val="28"/>
        </w:rPr>
        <w:t>Clonex gel</w:t>
      </w:r>
      <w:r w:rsidRPr="00CC7883">
        <w:rPr>
          <w:rFonts w:ascii="Times New Roman" w:hAnsi="Times New Roman" w:cs="Times New Roman"/>
          <w:color w:val="000000" w:themeColor="text1"/>
          <w:sz w:val="28"/>
          <w:szCs w:val="28"/>
        </w:rPr>
        <w:t xml:space="preserve"> не дало очікуваних результатів і вказаний показник був меншим за контрольні значення.</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Порівняння цього показника за варіантами, де поживні середовища відрізнялися вмістом фітогормонів</w:t>
      </w:r>
      <w:r w:rsidR="00BE110B">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показало, що за меншого їх вмісту площа продихів нижнього епідермісу листків мікроклонів винограду була більшою. Така перевага знаходилась у межах 4,5–5,4 % для сортів «Добриня» і «Гарант» та 4,9–5,9 % для сортів «Ярило» і «Загрей».</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iCs/>
          <w:color w:val="000000" w:themeColor="text1"/>
          <w:sz w:val="28"/>
          <w:szCs w:val="28"/>
        </w:rPr>
        <w:t xml:space="preserve">Проведене дослідження показало, що ефективність функціонування продихового апарату визначається не лише розмірними характеристиками окремих продихів, а й їх кількістю на одиницю площі листка. Найбільша площа продихів формувалася на структурованих поживних середовищах, і водночас саме тут відзначено збільшення їх щільності, що в комплексі створює передумови для посилення газообміну та транспіраційної активності. Проте надмірне збільшення площі та кількості продихів може </w:t>
      </w:r>
      <w:r w:rsidRPr="00CC7883">
        <w:rPr>
          <w:rFonts w:ascii="Times New Roman" w:hAnsi="Times New Roman" w:cs="Times New Roman"/>
          <w:iCs/>
          <w:color w:val="000000" w:themeColor="text1"/>
          <w:sz w:val="28"/>
          <w:szCs w:val="28"/>
        </w:rPr>
        <w:lastRenderedPageBreak/>
        <w:t xml:space="preserve">потенційно призводити до значних втрат води, що є ризикованим на етапі адаптації рослин в умовах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iCs/>
          <w:color w:val="000000" w:themeColor="text1"/>
          <w:sz w:val="28"/>
          <w:szCs w:val="28"/>
        </w:rPr>
        <w:t xml:space="preserve">. </w:t>
      </w:r>
    </w:p>
    <w:p w:rsidR="000F7641" w:rsidRDefault="000F7641" w:rsidP="00047411">
      <w:pPr>
        <w:pStyle w:val="Standard"/>
        <w:widowControl w:val="0"/>
        <w:tabs>
          <w:tab w:val="left" w:pos="709"/>
          <w:tab w:val="left" w:pos="2694"/>
          <w:tab w:val="left" w:pos="3686"/>
        </w:tabs>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rPr>
        <w:t>Поживні субстрати</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color w:val="000000" w:themeColor="text1"/>
          <w:sz w:val="28"/>
          <w:szCs w:val="28"/>
        </w:rPr>
        <w:t>Кількість продихів на 1 мм</w:t>
      </w:r>
      <w:r w:rsidRPr="00CC7883">
        <w:rPr>
          <w:rFonts w:ascii="Times New Roman" w:hAnsi="Times New Roman" w:cs="Times New Roman"/>
          <w:i/>
          <w:color w:val="000000" w:themeColor="text1"/>
          <w:sz w:val="28"/>
          <w:szCs w:val="28"/>
          <w:vertAlign w:val="superscript"/>
        </w:rPr>
        <w:t>2</w:t>
      </w:r>
      <w:r w:rsidRPr="00CC7883">
        <w:rPr>
          <w:rFonts w:ascii="Times New Roman" w:hAnsi="Times New Roman" w:cs="Times New Roman"/>
          <w:i/>
          <w:color w:val="000000" w:themeColor="text1"/>
          <w:sz w:val="28"/>
          <w:szCs w:val="28"/>
        </w:rPr>
        <w:t xml:space="preserve"> листкової пластинки </w:t>
      </w:r>
      <w:r w:rsidRPr="00CC7883">
        <w:rPr>
          <w:rFonts w:ascii="Times New Roman" w:hAnsi="Times New Roman" w:cs="Times New Roman"/>
          <w:color w:val="000000" w:themeColor="text1"/>
          <w:sz w:val="28"/>
          <w:szCs w:val="28"/>
        </w:rPr>
        <w:t>у мікроклонів технічних і підщепних сортів винограду, які культивували на мінеральних субстратах</w:t>
      </w:r>
      <w:r w:rsidR="00BE110B">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загалом була більшою </w:t>
      </w:r>
      <w:r w:rsidR="005E11E7">
        <w:rPr>
          <w:rFonts w:ascii="Times New Roman" w:hAnsi="Times New Roman" w:cs="Times New Roman"/>
          <w:color w:val="000000" w:themeColor="text1"/>
          <w:sz w:val="28"/>
          <w:szCs w:val="28"/>
        </w:rPr>
        <w:t>порівняно</w:t>
      </w:r>
      <w:r w:rsidRPr="00CC7883">
        <w:rPr>
          <w:rFonts w:ascii="Times New Roman" w:hAnsi="Times New Roman" w:cs="Times New Roman"/>
          <w:color w:val="000000" w:themeColor="text1"/>
          <w:sz w:val="28"/>
          <w:szCs w:val="28"/>
        </w:rPr>
        <w:t xml:space="preserve"> з мікроклональними рослинами контрольних варіантів, але </w:t>
      </w:r>
      <w:r w:rsidRPr="00CC7883">
        <w:rPr>
          <w:rFonts w:ascii="Times New Roman" w:hAnsi="Times New Roman" w:cs="Times New Roman"/>
          <w:i/>
          <w:color w:val="000000" w:themeColor="text1"/>
          <w:sz w:val="28"/>
          <w:szCs w:val="28"/>
        </w:rPr>
        <w:t>загальна кількість продихів на листкову пластинку</w:t>
      </w:r>
      <w:r w:rsidRPr="00CC7883">
        <w:rPr>
          <w:rFonts w:ascii="Times New Roman" w:hAnsi="Times New Roman" w:cs="Times New Roman"/>
          <w:color w:val="000000" w:themeColor="text1"/>
          <w:sz w:val="28"/>
          <w:szCs w:val="28"/>
        </w:rPr>
        <w:t xml:space="preserve"> зменшувалась, що пояснюється формуванням менших за розмірами листкових пластинок. У сорту «Добриня» кількість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дорівнювала 27,1 шт., загальна кількість продихів на листкову пластинку – 481,6</w:t>
      </w:r>
      <w:r w:rsidR="004540BE"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шт., у сорту «Гарант» – відповідно 31,4 шт. та 571,6 шт., у сорту «Ярило» – 24,6 шт. та 340,7 шт., у сорту «Загрей» – 23,5 шт. та 303,3 шт. (</w:t>
      </w:r>
      <w:r w:rsidR="00356530" w:rsidRPr="00CC7883">
        <w:rPr>
          <w:rFonts w:ascii="Times New Roman" w:hAnsi="Times New Roman" w:cs="Times New Roman"/>
          <w:color w:val="000000" w:themeColor="text1"/>
          <w:sz w:val="28"/>
          <w:szCs w:val="28"/>
        </w:rPr>
        <w:t>рис.</w:t>
      </w:r>
      <w:r w:rsidR="00356530"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 xml:space="preserve">6.6). </w:t>
      </w:r>
    </w:p>
    <w:p w:rsidR="00AF3EA5" w:rsidRDefault="00AF3EA5" w:rsidP="00AF3EA5">
      <w:pPr>
        <w:pStyle w:val="Standard"/>
        <w:widowControl w:val="0"/>
        <w:tabs>
          <w:tab w:val="left" w:pos="709"/>
          <w:tab w:val="left" w:pos="2694"/>
          <w:tab w:val="left" w:pos="3686"/>
        </w:tabs>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Найбільшу кількість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листка у підщепних сортів («Добриня» і «Гарант») забезпечувало культивування на суміші агроперліт + вермикуліт (п’ятий варіант), у технічних сортів – культивування на вермикуліті (четвертий варіант). Так, у мікроклонів сорту «Добриня» у вказаному варіанті формувалося 45,3 шт.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що перевищувало контроль на 67,6 %, але у перерахунку на площу листкової пластинки загальна кількість продихів була меншою за контроль на 68,9 %. Аналогічну тенденцію спостерігали у мікроклонів сорту «Гарант» та технічних сортів винограду.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формувалось 32,0–34,5 шт. продихів, що перевищувало контроль на 36,2–40,3</w:t>
      </w:r>
      <w:r>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проте за загальною кількістю продихів на листкову пластинку дослідні варіанти поступались контролю на 6,1–17,0 %.</w:t>
      </w:r>
    </w:p>
    <w:p w:rsidR="00AF3EA5" w:rsidRPr="00CC7883" w:rsidRDefault="00AF3EA5" w:rsidP="00AF3EA5">
      <w:pPr>
        <w:pStyle w:val="Standard"/>
        <w:widowControl w:val="0"/>
        <w:tabs>
          <w:tab w:val="left" w:pos="709"/>
          <w:tab w:val="left" w:pos="2694"/>
          <w:tab w:val="left" w:pos="3686"/>
        </w:tabs>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мікроклонів, які культивували на агроперліті та вермикуліті (третій, четвертий варіанти)</w:t>
      </w:r>
      <w:r>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кількість продихів на одиницю площі листка дорівнювала 42,2 шт. («Добриня»), 46,6 та 45,3 шт. («Гарант»), 38,8 та 34,5</w:t>
      </w:r>
      <w:r>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шт. («Ярило»), 36,0 і 32,0 шт. («Загрей»), що було більшим за контрольні значення на 48,3–56,7 % і 44,3–55,3 % (підщепні сорти) та на 42,4–53,2 %, 36,2–41,4 % (технічні сорти).</w:t>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lastRenderedPageBreak/>
        <w:drawing>
          <wp:inline distT="0" distB="0" distL="0" distR="0">
            <wp:extent cx="5906357" cy="1793174"/>
            <wp:effectExtent l="19050" t="0" r="18193" b="0"/>
            <wp:docPr id="25390972" name="Диаграмма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9"/>
              </a:graphicData>
            </a:graphic>
          </wp:inline>
        </w:drawing>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00197" cy="1767518"/>
            <wp:effectExtent l="19050" t="0" r="24353" b="4132"/>
            <wp:docPr id="1490841585" name="Диаграмма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0"/>
              </a:graphicData>
            </a:graphic>
          </wp:inline>
        </w:drawing>
      </w:r>
    </w:p>
    <w:p w:rsidR="000F7641" w:rsidRPr="00CC7883" w:rsidRDefault="000F7641" w:rsidP="00FE44F8">
      <w:pPr>
        <w:pStyle w:val="Standard"/>
        <w:widowControl w:val="0"/>
        <w:tabs>
          <w:tab w:val="left" w:pos="709"/>
          <w:tab w:val="left" w:pos="2694"/>
          <w:tab w:val="left" w:pos="3686"/>
        </w:tabs>
        <w:suppressAutoHyphens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І</w:t>
      </w:r>
    </w:p>
    <w:p w:rsidR="000F7641" w:rsidRPr="00CC7883" w:rsidRDefault="000F7641" w:rsidP="00A840DA">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00197" cy="1895607"/>
            <wp:effectExtent l="19050" t="0" r="24353" b="9393"/>
            <wp:docPr id="1491412083" name="Диаграмма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1"/>
              </a:graphicData>
            </a:graphic>
          </wp:inline>
        </w:drawing>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887052" cy="1959429"/>
            <wp:effectExtent l="19050" t="0" r="18448" b="2721"/>
            <wp:docPr id="2118883948" name="Диаграмма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2"/>
              </a:graphicData>
            </a:graphic>
          </wp:inline>
        </w:drawing>
      </w:r>
    </w:p>
    <w:p w:rsidR="000F7641" w:rsidRPr="00CC7883" w:rsidRDefault="000F7641" w:rsidP="00FE44F8">
      <w:pPr>
        <w:pStyle w:val="Standard"/>
        <w:widowControl w:val="0"/>
        <w:tabs>
          <w:tab w:val="left" w:pos="709"/>
          <w:tab w:val="left" w:pos="2694"/>
          <w:tab w:val="left" w:pos="3686"/>
        </w:tabs>
        <w:suppressAutoHyphens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ІІ</w:t>
      </w:r>
    </w:p>
    <w:p w:rsidR="000F7641" w:rsidRPr="00CC7883" w:rsidRDefault="000F7641" w:rsidP="00FE44F8">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Рис. 6.6. Формування продихового апарату нижнього епідермісу листків мікроклонів винограду </w:t>
      </w:r>
      <w:r w:rsidRPr="00CC7883">
        <w:rPr>
          <w:rFonts w:ascii="Times New Roman" w:hAnsi="Times New Roman" w:cs="Times New Roman"/>
          <w:bCs/>
          <w:color w:val="000000" w:themeColor="text1"/>
          <w:sz w:val="28"/>
          <w:szCs w:val="28"/>
        </w:rPr>
        <w:t>на</w:t>
      </w:r>
      <w:r w:rsidRPr="00CC7883">
        <w:rPr>
          <w:rFonts w:ascii="Times New Roman" w:hAnsi="Times New Roman" w:cs="Times New Roman"/>
          <w:color w:val="000000" w:themeColor="text1"/>
          <w:sz w:val="28"/>
          <w:szCs w:val="28"/>
        </w:rPr>
        <w:t xml:space="preserve"> поживних субстратах</w:t>
      </w:r>
    </w:p>
    <w:p w:rsidR="000F7641" w:rsidRPr="00CC7883" w:rsidRDefault="000F7641" w:rsidP="00FE44F8">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color w:val="000000" w:themeColor="text1"/>
          <w:szCs w:val="28"/>
        </w:rPr>
        <w:t xml:space="preserve">І </w:t>
      </w: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Cs w:val="28"/>
        </w:rPr>
        <w:t xml:space="preserve"> кількість продихів на 1 мм</w:t>
      </w:r>
      <w:r w:rsidRPr="00CC7883">
        <w:rPr>
          <w:rFonts w:ascii="Times New Roman" w:hAnsi="Times New Roman" w:cs="Times New Roman"/>
          <w:color w:val="000000" w:themeColor="text1"/>
          <w:szCs w:val="28"/>
          <w:vertAlign w:val="superscript"/>
        </w:rPr>
        <w:t>2</w:t>
      </w:r>
      <w:r w:rsidRPr="00CC7883">
        <w:rPr>
          <w:rFonts w:ascii="Times New Roman" w:hAnsi="Times New Roman" w:cs="Times New Roman"/>
          <w:color w:val="000000" w:themeColor="text1"/>
          <w:szCs w:val="28"/>
        </w:rPr>
        <w:t xml:space="preserve">; ІІ </w:t>
      </w:r>
      <w:r w:rsidRPr="00CC7883">
        <w:rPr>
          <w:rFonts w:ascii="Times New Roman" w:hAnsi="Times New Roman" w:cs="Times New Roman"/>
          <w:color w:val="000000" w:themeColor="text1"/>
          <w:sz w:val="28"/>
          <w:szCs w:val="28"/>
        </w:rPr>
        <w:t>–</w:t>
      </w:r>
      <w:r w:rsidR="00A21D55"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rPr>
        <w:t>загальна кількість продихів на листковій пластинці</w:t>
      </w:r>
    </w:p>
    <w:p w:rsidR="00326E17" w:rsidRDefault="00326E17" w:rsidP="00326E17">
      <w:pPr>
        <w:pStyle w:val="Standard"/>
        <w:widowControl w:val="0"/>
        <w:tabs>
          <w:tab w:val="left" w:pos="709"/>
          <w:tab w:val="left" w:pos="2694"/>
          <w:tab w:val="left" w:pos="3686"/>
        </w:tabs>
        <w:suppressAutoHyphens w:val="0"/>
        <w:spacing w:line="360" w:lineRule="auto"/>
        <w:jc w:val="both"/>
        <w:rPr>
          <w:rFonts w:ascii="Times New Roman" w:hAnsi="Times New Roman" w:cs="Times New Roman"/>
          <w:color w:val="000000" w:themeColor="text1"/>
          <w:sz w:val="28"/>
          <w:szCs w:val="28"/>
        </w:rPr>
      </w:pPr>
    </w:p>
    <w:p w:rsidR="000F7641" w:rsidRPr="00CC7883" w:rsidRDefault="000F7641" w:rsidP="00326E17">
      <w:pPr>
        <w:pStyle w:val="Standard"/>
        <w:widowControl w:val="0"/>
        <w:tabs>
          <w:tab w:val="left" w:pos="709"/>
          <w:tab w:val="left" w:pos="2694"/>
          <w:tab w:val="left" w:pos="3686"/>
        </w:tabs>
        <w:suppressAutoHyphens w:val="0"/>
        <w:spacing w:line="360" w:lineRule="auto"/>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 xml:space="preserve">Водночас, за показником загальної кількості продихів на листковій пластинці </w:t>
      </w:r>
      <w:r w:rsidR="00440E1C" w:rsidRPr="00CC7883">
        <w:rPr>
          <w:rFonts w:ascii="Times New Roman" w:hAnsi="Times New Roman" w:cs="Times New Roman"/>
          <w:color w:val="000000" w:themeColor="text1"/>
          <w:sz w:val="28"/>
          <w:szCs w:val="28"/>
        </w:rPr>
        <w:t>від</w:t>
      </w:r>
      <w:r w:rsidR="00440E1C">
        <w:rPr>
          <w:rFonts w:ascii="Times New Roman" w:hAnsi="Times New Roman" w:cs="Times New Roman"/>
          <w:color w:val="000000" w:themeColor="text1"/>
          <w:sz w:val="28"/>
          <w:szCs w:val="28"/>
        </w:rPr>
        <w:t>знача</w:t>
      </w:r>
      <w:r w:rsidR="00440E1C" w:rsidRPr="00CC7883">
        <w:rPr>
          <w:rFonts w:ascii="Times New Roman" w:hAnsi="Times New Roman" w:cs="Times New Roman"/>
          <w:color w:val="000000" w:themeColor="text1"/>
          <w:sz w:val="28"/>
          <w:szCs w:val="28"/>
        </w:rPr>
        <w:t>ли</w:t>
      </w:r>
      <w:r w:rsidRPr="00CC7883">
        <w:rPr>
          <w:rFonts w:ascii="Times New Roman" w:hAnsi="Times New Roman" w:cs="Times New Roman"/>
          <w:color w:val="000000" w:themeColor="text1"/>
          <w:sz w:val="28"/>
          <w:szCs w:val="28"/>
        </w:rPr>
        <w:t xml:space="preserve"> зменшення на 72,7–74,7</w:t>
      </w:r>
      <w:r w:rsidR="00B031E9">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і 79,1–81,8 %, 0,7–71,2 % і 10,7–72,7 %.</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rPr>
        <w:t>Кількісні параметри продихів</w:t>
      </w:r>
      <w:r w:rsidRPr="00CC7883">
        <w:rPr>
          <w:rFonts w:ascii="Times New Roman" w:hAnsi="Times New Roman" w:cs="Times New Roman"/>
          <w:color w:val="000000" w:themeColor="text1"/>
          <w:sz w:val="28"/>
          <w:szCs w:val="28"/>
        </w:rPr>
        <w:t>. Для мікроклонів першого і другого варіантів (контролі) довжина і ширина продихів для підщепних сортів дорівнювала 24,0–24,9 мкм і 18,0–18,8 мкм, для технічних – 23,3–24,2 мкм і 17,1–17,8 мкм (</w:t>
      </w:r>
      <w:r w:rsidR="00356530" w:rsidRPr="00CC7883">
        <w:rPr>
          <w:rFonts w:ascii="Times New Roman" w:hAnsi="Times New Roman" w:cs="Times New Roman"/>
          <w:color w:val="000000" w:themeColor="text1"/>
          <w:sz w:val="28"/>
          <w:szCs w:val="28"/>
        </w:rPr>
        <w:t>рис.</w:t>
      </w:r>
      <w:r w:rsidR="00356530"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6.7).</w:t>
      </w:r>
    </w:p>
    <w:p w:rsidR="000F7641" w:rsidRPr="00CC7883" w:rsidRDefault="000F7641" w:rsidP="00047411">
      <w:pPr>
        <w:pStyle w:val="Standard"/>
        <w:widowControl w:val="0"/>
        <w:suppressAutoHyphens w:val="0"/>
        <w:spacing w:line="360" w:lineRule="auto"/>
        <w:jc w:val="both"/>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12707" cy="1258784"/>
            <wp:effectExtent l="19050" t="0" r="11843" b="0"/>
            <wp:docPr id="204692480"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3"/>
              </a:graphicData>
            </a:graphic>
          </wp:inline>
        </w:drawing>
      </w:r>
    </w:p>
    <w:p w:rsidR="000F7641" w:rsidRPr="00CC7883" w:rsidRDefault="000F7641" w:rsidP="00047411">
      <w:pPr>
        <w:pStyle w:val="Standard"/>
        <w:widowControl w:val="0"/>
        <w:suppressAutoHyphens w:val="0"/>
        <w:spacing w:line="360" w:lineRule="auto"/>
        <w:jc w:val="both"/>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12707" cy="1258784"/>
            <wp:effectExtent l="19050" t="0" r="11843" b="0"/>
            <wp:docPr id="1448390687"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200-000007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4"/>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І</w:t>
      </w:r>
    </w:p>
    <w:p w:rsidR="000F7641" w:rsidRPr="00CC7883" w:rsidRDefault="000F7641" w:rsidP="00047411">
      <w:pPr>
        <w:pStyle w:val="Standard"/>
        <w:widowControl w:val="0"/>
        <w:suppressAutoHyphens w:val="0"/>
        <w:spacing w:line="360" w:lineRule="auto"/>
        <w:jc w:val="both"/>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12707" cy="1265580"/>
            <wp:effectExtent l="19050" t="0" r="11843" b="0"/>
            <wp:docPr id="1895367491"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5"/>
              </a:graphicData>
            </a:graphic>
          </wp:inline>
        </w:drawing>
      </w:r>
    </w:p>
    <w:p w:rsidR="000F7641" w:rsidRPr="00CC7883" w:rsidRDefault="000F7641" w:rsidP="00047411">
      <w:pPr>
        <w:pStyle w:val="Standard"/>
        <w:widowControl w:val="0"/>
        <w:suppressAutoHyphens w:val="0"/>
        <w:spacing w:line="360" w:lineRule="auto"/>
        <w:jc w:val="both"/>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12707" cy="1258785"/>
            <wp:effectExtent l="19050" t="0" r="11843" b="0"/>
            <wp:docPr id="759753665"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6"/>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ІІ</w:t>
      </w:r>
    </w:p>
    <w:p w:rsidR="000F7641" w:rsidRPr="00CC7883" w:rsidRDefault="000F7641" w:rsidP="00BF2F23">
      <w:pPr>
        <w:pStyle w:val="Standard"/>
        <w:widowControl w:val="0"/>
        <w:suppressAutoHyphens w:val="0"/>
        <w:spacing w:line="288"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6.7. Довжина і ширина продихів нижнього епідермісу листків мікроклонів винограду на різних типах поживних субстратів</w:t>
      </w:r>
    </w:p>
    <w:p w:rsidR="000F7641" w:rsidRDefault="000F7641" w:rsidP="00BF2F23">
      <w:pPr>
        <w:pStyle w:val="Standard"/>
        <w:widowControl w:val="0"/>
        <w:suppressAutoHyphens w:val="0"/>
        <w:spacing w:line="288" w:lineRule="auto"/>
        <w:jc w:val="center"/>
        <w:rPr>
          <w:rFonts w:ascii="Times New Roman" w:hAnsi="Times New Roman" w:cs="Times New Roman"/>
          <w:color w:val="000000" w:themeColor="text1"/>
          <w:szCs w:val="28"/>
        </w:rPr>
      </w:pPr>
      <w:r w:rsidRPr="00CC7883">
        <w:rPr>
          <w:rFonts w:ascii="Times New Roman" w:hAnsi="Times New Roman" w:cs="Times New Roman"/>
          <w:color w:val="000000" w:themeColor="text1"/>
          <w:szCs w:val="28"/>
        </w:rPr>
        <w:t>І – довжина продихів; ІІ – ширина продихів</w:t>
      </w:r>
    </w:p>
    <w:p w:rsidR="00326E17" w:rsidRDefault="00326E17" w:rsidP="00BF2F23">
      <w:pPr>
        <w:pStyle w:val="Standard"/>
        <w:widowControl w:val="0"/>
        <w:suppressAutoHyphens w:val="0"/>
        <w:spacing w:line="360" w:lineRule="auto"/>
        <w:ind w:firstLine="709"/>
        <w:jc w:val="both"/>
        <w:rPr>
          <w:rFonts w:ascii="Times New Roman" w:hAnsi="Times New Roman" w:cs="Times New Roman"/>
          <w:i/>
          <w:color w:val="000000" w:themeColor="text1"/>
          <w:sz w:val="28"/>
          <w:szCs w:val="28"/>
        </w:rPr>
      </w:pPr>
    </w:p>
    <w:p w:rsidR="00BF2F23" w:rsidRPr="00CC7883" w:rsidRDefault="00BF2F23" w:rsidP="00BF2F23">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rPr>
        <w:lastRenderedPageBreak/>
        <w:t>Ширина замикаючих клітин продихів</w:t>
      </w:r>
      <w:r w:rsidRPr="00CC7883">
        <w:rPr>
          <w:rFonts w:ascii="Times New Roman" w:hAnsi="Times New Roman" w:cs="Times New Roman"/>
          <w:color w:val="000000" w:themeColor="text1"/>
          <w:sz w:val="28"/>
          <w:szCs w:val="28"/>
        </w:rPr>
        <w:t>. Середня ширина замикаючих клітин продихів нижнього епідермісу у мікроклонів контрольних варіант</w:t>
      </w:r>
      <w:r>
        <w:rPr>
          <w:rFonts w:ascii="Times New Roman" w:hAnsi="Times New Roman" w:cs="Times New Roman"/>
          <w:color w:val="000000" w:themeColor="text1"/>
          <w:sz w:val="28"/>
          <w:szCs w:val="28"/>
        </w:rPr>
        <w:t>ів</w:t>
      </w:r>
      <w:r w:rsidRPr="00CC7883">
        <w:rPr>
          <w:rFonts w:ascii="Times New Roman" w:hAnsi="Times New Roman" w:cs="Times New Roman"/>
          <w:color w:val="000000" w:themeColor="text1"/>
          <w:sz w:val="28"/>
          <w:szCs w:val="28"/>
        </w:rPr>
        <w:t xml:space="preserve"> (перший і другий) становила у підщепних сортів 4,0–4,8 мкм, у технічних – 4,1–4,4 мкм (рис.</w:t>
      </w:r>
      <w:r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 xml:space="preserve">6.8). </w:t>
      </w:r>
    </w:p>
    <w:p w:rsidR="000F7641"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02036" cy="1923803"/>
            <wp:effectExtent l="19050" t="0" r="22514" b="247"/>
            <wp:docPr id="638493142"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7"/>
              </a:graphicData>
            </a:graphic>
          </wp:inline>
        </w:drawing>
      </w:r>
    </w:p>
    <w:p w:rsidR="00D07114" w:rsidRPr="00CC7883" w:rsidRDefault="00D07114" w:rsidP="00047411">
      <w:pPr>
        <w:pStyle w:val="Standard"/>
        <w:widowControl w:val="0"/>
        <w:suppressAutoHyphens w:val="0"/>
        <w:spacing w:line="360" w:lineRule="auto"/>
        <w:jc w:val="center"/>
        <w:rPr>
          <w:rFonts w:ascii="Times New Roman" w:hAnsi="Times New Roman" w:cs="Times New Roman"/>
          <w:color w:val="000000" w:themeColor="text1"/>
        </w:rPr>
      </w:pP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02036" cy="1876302"/>
            <wp:effectExtent l="19050" t="0" r="22514" b="0"/>
            <wp:docPr id="1515748967"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3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8"/>
              </a:graphicData>
            </a:graphic>
          </wp:inline>
        </w:drawing>
      </w:r>
    </w:p>
    <w:p w:rsidR="000F7641"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6.8. Ширина замикаючих клітин продихів нижнього епідермісу листків мікроклонів винограду на різних типах поживних субстратів</w:t>
      </w:r>
    </w:p>
    <w:p w:rsidR="00D07114" w:rsidRDefault="00D07114"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p>
    <w:p w:rsidR="00D07114" w:rsidRPr="00CC7883" w:rsidRDefault="00914F1A" w:rsidP="00326E17">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Найбільша ширина замикаючих клітин продихів була у рослин п’ятого варіанту (агроперліт + вермикуліт): у сорту «Добриня» вона дорівнювала 4,9 мкм, у сорту «Гарант» – 5,5 мкм, у сорту «Ярило» – 4,9 мкм, </w:t>
      </w:r>
      <w:r w:rsidR="00D07114" w:rsidRPr="00CC7883">
        <w:rPr>
          <w:rFonts w:ascii="Times New Roman" w:hAnsi="Times New Roman" w:cs="Times New Roman"/>
          <w:color w:val="000000" w:themeColor="text1"/>
          <w:sz w:val="28"/>
          <w:szCs w:val="28"/>
        </w:rPr>
        <w:t>у сорту «Загрей» – 5,1 мкм, що перевищувал</w:t>
      </w:r>
      <w:r w:rsidR="00D07114">
        <w:rPr>
          <w:rFonts w:ascii="Times New Roman" w:hAnsi="Times New Roman" w:cs="Times New Roman"/>
          <w:color w:val="000000" w:themeColor="text1"/>
          <w:sz w:val="28"/>
          <w:szCs w:val="28"/>
        </w:rPr>
        <w:t>а</w:t>
      </w:r>
      <w:r w:rsidR="00D07114" w:rsidRPr="00CC7883">
        <w:rPr>
          <w:rFonts w:ascii="Times New Roman" w:hAnsi="Times New Roman" w:cs="Times New Roman"/>
          <w:color w:val="000000" w:themeColor="text1"/>
          <w:sz w:val="28"/>
          <w:szCs w:val="28"/>
        </w:rPr>
        <w:t xml:space="preserve"> контрольні значення відповідно на 21,4 %, 26,1 %, 16,4 %, 19,7 %.</w:t>
      </w:r>
    </w:p>
    <w:p w:rsidR="00D07114" w:rsidRPr="00CC7883" w:rsidRDefault="00D07114" w:rsidP="00D07114">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мікроклонів підщепних сортів третього </w:t>
      </w:r>
      <w:r>
        <w:rPr>
          <w:rFonts w:ascii="Times New Roman" w:hAnsi="Times New Roman" w:cs="Times New Roman"/>
          <w:color w:val="000000" w:themeColor="text1"/>
          <w:sz w:val="28"/>
          <w:szCs w:val="28"/>
        </w:rPr>
        <w:t>й</w:t>
      </w:r>
      <w:r w:rsidRPr="00CC7883">
        <w:rPr>
          <w:rFonts w:ascii="Times New Roman" w:hAnsi="Times New Roman" w:cs="Times New Roman"/>
          <w:color w:val="000000" w:themeColor="text1"/>
          <w:sz w:val="28"/>
          <w:szCs w:val="28"/>
        </w:rPr>
        <w:t xml:space="preserve"> четвертого варіантів цей показник дорівнював 4,6–5,0 мкм, у мікроклонів технічних сортів відповідно 4,5–4,8 мкм, що було більше контрольних значень на 13,8–17,8 % (підщепні сорти) і на 7,6–13,9 % (технічні сорти). </w:t>
      </w:r>
    </w:p>
    <w:p w:rsidR="00D07114" w:rsidRPr="00CC7883" w:rsidRDefault="00D07114" w:rsidP="00D07114">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rPr>
        <w:lastRenderedPageBreak/>
        <w:t>Ширина продихової щілини</w:t>
      </w:r>
      <w:r w:rsidRPr="00CC7883">
        <w:rPr>
          <w:rFonts w:ascii="Times New Roman" w:hAnsi="Times New Roman" w:cs="Times New Roman"/>
          <w:color w:val="000000" w:themeColor="text1"/>
          <w:sz w:val="28"/>
          <w:szCs w:val="28"/>
        </w:rPr>
        <w:t xml:space="preserve"> нижнього епідермісу листків мікроклонів підщепних і технічних сортів у контрольних варіантах була майже однаковою – 10,0–10,3 мкм (рис.</w:t>
      </w:r>
      <w:r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6.9).</w:t>
      </w:r>
      <w:r>
        <w:rPr>
          <w:rFonts w:ascii="Times New Roman" w:hAnsi="Times New Roman" w:cs="Times New Roman"/>
          <w:color w:val="000000" w:themeColor="text1"/>
          <w:sz w:val="28"/>
          <w:szCs w:val="28"/>
        </w:rPr>
        <w:t xml:space="preserve"> </w:t>
      </w:r>
    </w:p>
    <w:p w:rsidR="000F7641"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856316" cy="1995054"/>
            <wp:effectExtent l="19050" t="0" r="11084" b="5196"/>
            <wp:docPr id="1047257544"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4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9"/>
              </a:graphicData>
            </a:graphic>
          </wp:inline>
        </w:drawing>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859235" cy="2018805"/>
            <wp:effectExtent l="19050" t="0" r="27215" b="495"/>
            <wp:docPr id="109779902"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4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0"/>
              </a:graphicData>
            </a:graphic>
          </wp:inline>
        </w:drawing>
      </w:r>
    </w:p>
    <w:p w:rsidR="000F7641"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6.9. Ширина продихової щілини продих</w:t>
      </w:r>
      <w:r w:rsidR="00DB68A3">
        <w:rPr>
          <w:rFonts w:ascii="Times New Roman" w:hAnsi="Times New Roman" w:cs="Times New Roman"/>
          <w:color w:val="000000" w:themeColor="text1"/>
          <w:sz w:val="28"/>
          <w:szCs w:val="28"/>
        </w:rPr>
        <w:t>ового апарату</w:t>
      </w:r>
      <w:r w:rsidRPr="00CC7883">
        <w:rPr>
          <w:rFonts w:ascii="Times New Roman" w:hAnsi="Times New Roman" w:cs="Times New Roman"/>
          <w:color w:val="000000" w:themeColor="text1"/>
          <w:sz w:val="28"/>
          <w:szCs w:val="28"/>
        </w:rPr>
        <w:t xml:space="preserve"> нижнього епідермісу листків мікроклонів винограду на різних типах поживних субстратів</w:t>
      </w:r>
    </w:p>
    <w:p w:rsidR="00D07114" w:rsidRDefault="00D07114"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p>
    <w:p w:rsidR="00914F1A" w:rsidRDefault="00914F1A" w:rsidP="00914F1A">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всіх дослідних варіантах спостерігалося достовірне зменшення цього параметра, відносно контролю на 19,5–39,0 %. Воно залежало від типу мінерального субстрату. </w:t>
      </w:r>
    </w:p>
    <w:p w:rsidR="00D07114" w:rsidRPr="00914F1A" w:rsidRDefault="00D07114" w:rsidP="002D7A70">
      <w:pPr>
        <w:pStyle w:val="Standard"/>
        <w:widowControl w:val="0"/>
        <w:suppressAutoHyphens w:val="0"/>
        <w:spacing w:line="360" w:lineRule="auto"/>
        <w:ind w:firstLine="709"/>
        <w:jc w:val="both"/>
        <w:rPr>
          <w:rFonts w:ascii="Times New Roman" w:hAnsi="Times New Roman" w:cs="Times New Roman"/>
          <w:color w:val="000000" w:themeColor="text1"/>
          <w:sz w:val="28"/>
        </w:rPr>
      </w:pPr>
      <w:r w:rsidRPr="00914F1A">
        <w:rPr>
          <w:rFonts w:ascii="Times New Roman" w:hAnsi="Times New Roman" w:cs="Times New Roman"/>
          <w:i/>
          <w:color w:val="000000" w:themeColor="text1"/>
          <w:sz w:val="28"/>
          <w:szCs w:val="28"/>
        </w:rPr>
        <w:t>Площа продихів</w:t>
      </w:r>
      <w:r w:rsidRPr="00914F1A">
        <w:rPr>
          <w:rFonts w:ascii="Times New Roman" w:hAnsi="Times New Roman" w:cs="Times New Roman"/>
          <w:color w:val="000000" w:themeColor="text1"/>
          <w:sz w:val="28"/>
          <w:szCs w:val="28"/>
        </w:rPr>
        <w:t>. У контрольних мікроклональних рослин сортів «Добриня» та «Гарант» встановлено вищі показники площі продихів порівняно з мікроклональними рослинами сортів «Ярило» і «Загрей» (рис.</w:t>
      </w:r>
      <w:r w:rsidR="00646AEC" w:rsidRPr="00914F1A">
        <w:rPr>
          <w:rFonts w:ascii="Times New Roman" w:hAnsi="Times New Roman" w:cs="Times New Roman"/>
          <w:color w:val="000000" w:themeColor="text1"/>
          <w:sz w:val="28"/>
          <w:szCs w:val="28"/>
        </w:rPr>
        <w:t> </w:t>
      </w:r>
      <w:r w:rsidRPr="00914F1A">
        <w:rPr>
          <w:rFonts w:ascii="Times New Roman" w:hAnsi="Times New Roman" w:cs="Times New Roman"/>
          <w:color w:val="000000" w:themeColor="text1"/>
          <w:sz w:val="28"/>
          <w:szCs w:val="28"/>
        </w:rPr>
        <w:t>6.10).</w:t>
      </w:r>
      <w:r w:rsidR="00914F1A" w:rsidRPr="00914F1A">
        <w:rPr>
          <w:rFonts w:ascii="Times New Roman" w:hAnsi="Times New Roman" w:cs="Times New Roman"/>
          <w:color w:val="000000" w:themeColor="text1"/>
          <w:sz w:val="28"/>
          <w:szCs w:val="28"/>
        </w:rPr>
        <w:t xml:space="preserve"> </w:t>
      </w:r>
      <w:r w:rsidRPr="00914F1A">
        <w:rPr>
          <w:rFonts w:ascii="Times New Roman" w:hAnsi="Times New Roman" w:cs="Times New Roman"/>
          <w:color w:val="000000" w:themeColor="text1"/>
          <w:sz w:val="28"/>
        </w:rPr>
        <w:t xml:space="preserve">Застосування у якості поживного субстрату агроперліту зумовило зниження площі продихів у підщепних сортів на 11,4–17,3 %, у технічних сортів цей показник залишався на рівні контролю. </w:t>
      </w:r>
    </w:p>
    <w:p w:rsidR="000F7641" w:rsidRDefault="003A5C53"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noProof/>
          <w:color w:val="000000" w:themeColor="text1"/>
          <w:lang w:val="ru-RU" w:eastAsia="ru-RU" w:bidi="ar-SA"/>
        </w:rPr>
        <w:lastRenderedPageBreak/>
        <w:drawing>
          <wp:inline distT="0" distB="0" distL="0" distR="0">
            <wp:extent cx="5921408" cy="2161310"/>
            <wp:effectExtent l="19050" t="0" r="22192" b="0"/>
            <wp:docPr id="537076804" name="Диаграмма 53707680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1"/>
              </a:graphicData>
            </a:graphic>
          </wp:inline>
        </w:drawing>
      </w:r>
    </w:p>
    <w:p w:rsidR="002D7A70" w:rsidRPr="00CC7883" w:rsidRDefault="002D7A70" w:rsidP="00047411">
      <w:pPr>
        <w:pStyle w:val="Standard"/>
        <w:widowControl w:val="0"/>
        <w:suppressAutoHyphens w:val="0"/>
        <w:spacing w:line="360" w:lineRule="auto"/>
        <w:jc w:val="center"/>
        <w:rPr>
          <w:rFonts w:ascii="Times New Roman" w:hAnsi="Times New Roman" w:cs="Times New Roman"/>
          <w:color w:val="000000" w:themeColor="text1"/>
        </w:rPr>
      </w:pPr>
    </w:p>
    <w:p w:rsidR="000F7641" w:rsidRPr="00CC7883" w:rsidRDefault="003A5C53"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noProof/>
          <w:color w:val="000000" w:themeColor="text1"/>
          <w:lang w:val="ru-RU" w:eastAsia="ru-RU" w:bidi="ar-SA"/>
        </w:rPr>
        <w:drawing>
          <wp:inline distT="0" distB="0" distL="0" distR="0">
            <wp:extent cx="5920773" cy="2303813"/>
            <wp:effectExtent l="19050" t="0" r="22827" b="1237"/>
            <wp:docPr id="537076805" name="Диаграмма 53707680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5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2"/>
              </a:graphicData>
            </a:graphic>
          </wp:inline>
        </w:drawing>
      </w:r>
    </w:p>
    <w:p w:rsidR="000F7641"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6.10. Площа продихів нижнього епідермісу листків мікроклонів винограду на різних типах поживних субстратів</w:t>
      </w:r>
    </w:p>
    <w:p w:rsidR="002D7A70" w:rsidRDefault="002D7A70"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p>
    <w:p w:rsidR="002D7A70" w:rsidRPr="00CC7883" w:rsidRDefault="00914F1A" w:rsidP="00646AEC">
      <w:pPr>
        <w:pStyle w:val="Standard"/>
        <w:widowControl w:val="0"/>
        <w:suppressAutoHyphens w:val="0"/>
        <w:spacing w:line="360" w:lineRule="auto"/>
        <w:jc w:val="both"/>
        <w:rPr>
          <w:rFonts w:ascii="Times New Roman" w:hAnsi="Times New Roman" w:cs="Times New Roman"/>
          <w:color w:val="000000" w:themeColor="text1"/>
          <w:sz w:val="32"/>
        </w:rPr>
      </w:pPr>
      <w:r w:rsidRPr="00914F1A">
        <w:rPr>
          <w:rFonts w:ascii="Times New Roman" w:hAnsi="Times New Roman" w:cs="Times New Roman"/>
          <w:color w:val="000000" w:themeColor="text1"/>
          <w:sz w:val="28"/>
        </w:rPr>
        <w:t xml:space="preserve">Застосування вермикуліту </w:t>
      </w:r>
      <w:r w:rsidR="00E24B8D" w:rsidRPr="00CC7883">
        <w:rPr>
          <w:rFonts w:ascii="Times New Roman" w:hAnsi="Times New Roman" w:cs="Times New Roman"/>
          <w:color w:val="000000" w:themeColor="text1"/>
          <w:sz w:val="28"/>
        </w:rPr>
        <w:t xml:space="preserve">зумовило подальше зменшення площі продихів у підщепних сортів (на 17,0–20,6 %) при відсутності достовірних змін у технічних сортів. </w:t>
      </w:r>
      <w:r w:rsidR="00E24B8D" w:rsidRPr="002D7A70">
        <w:rPr>
          <w:rFonts w:ascii="Times New Roman" w:hAnsi="Times New Roman" w:cs="Times New Roman"/>
          <w:color w:val="000000" w:themeColor="text1"/>
          <w:spacing w:val="-4"/>
          <w:sz w:val="28"/>
        </w:rPr>
        <w:t>Найбільше зменшення площі продихів відносно контролю зазначено у варіанті із застосуванням у якості поживного субстрату суміші агроперліту з вермикулітом.</w:t>
      </w:r>
      <w:r>
        <w:rPr>
          <w:rFonts w:ascii="Times New Roman" w:hAnsi="Times New Roman" w:cs="Times New Roman"/>
          <w:color w:val="000000" w:themeColor="text1"/>
          <w:spacing w:val="-4"/>
          <w:sz w:val="28"/>
        </w:rPr>
        <w:t xml:space="preserve"> </w:t>
      </w:r>
      <w:r w:rsidR="002D7A70" w:rsidRPr="00CC7883">
        <w:rPr>
          <w:rFonts w:ascii="Times New Roman" w:hAnsi="Times New Roman" w:cs="Times New Roman"/>
          <w:color w:val="000000" w:themeColor="text1"/>
          <w:sz w:val="28"/>
        </w:rPr>
        <w:t>У даних варіантах цей показник зменшувався на 17,2–28,3 % залежно від сорту.</w:t>
      </w:r>
    </w:p>
    <w:p w:rsidR="002D7A70" w:rsidRPr="00914F1A" w:rsidRDefault="002D7A70" w:rsidP="002D7A70">
      <w:pPr>
        <w:pStyle w:val="Standard"/>
        <w:widowControl w:val="0"/>
        <w:suppressAutoHyphens w:val="0"/>
        <w:spacing w:line="360" w:lineRule="auto"/>
        <w:ind w:firstLine="709"/>
        <w:jc w:val="both"/>
        <w:rPr>
          <w:rFonts w:ascii="Times New Roman" w:hAnsi="Times New Roman" w:cs="Times New Roman"/>
          <w:color w:val="000000" w:themeColor="text1"/>
          <w:spacing w:val="-4"/>
          <w:sz w:val="28"/>
          <w:szCs w:val="28"/>
        </w:rPr>
      </w:pPr>
      <w:r w:rsidRPr="00CC7883">
        <w:rPr>
          <w:rFonts w:ascii="Times New Roman" w:hAnsi="Times New Roman" w:cs="Times New Roman"/>
          <w:color w:val="000000" w:themeColor="text1"/>
          <w:sz w:val="28"/>
          <w:szCs w:val="28"/>
        </w:rPr>
        <w:t xml:space="preserve">Таким чином, зменшення площі продихів у мікроклонів винограду дослідних варіантів відображає анатомічні зміни продихового апарату, які </w:t>
      </w:r>
      <w:r w:rsidRPr="00914F1A">
        <w:rPr>
          <w:rFonts w:ascii="Times New Roman" w:hAnsi="Times New Roman" w:cs="Times New Roman"/>
          <w:color w:val="000000" w:themeColor="text1"/>
          <w:spacing w:val="-4"/>
          <w:sz w:val="28"/>
          <w:szCs w:val="28"/>
        </w:rPr>
        <w:t xml:space="preserve">формують компактніший і більш стійкий до стресових умов тип продихів, забезпечуючи рослинам кращу адаптивну здатність під час переходу до умов </w:t>
      </w:r>
      <w:r w:rsidRPr="00914F1A">
        <w:rPr>
          <w:rFonts w:ascii="Times New Roman" w:hAnsi="Times New Roman" w:cs="Times New Roman"/>
          <w:i/>
          <w:color w:val="000000" w:themeColor="text1"/>
          <w:spacing w:val="-4"/>
          <w:sz w:val="28"/>
          <w:szCs w:val="28"/>
        </w:rPr>
        <w:t>in vivo</w:t>
      </w:r>
      <w:r w:rsidRPr="00914F1A">
        <w:rPr>
          <w:rFonts w:ascii="Times New Roman" w:hAnsi="Times New Roman" w:cs="Times New Roman"/>
          <w:color w:val="000000" w:themeColor="text1"/>
          <w:spacing w:val="-4"/>
          <w:sz w:val="28"/>
          <w:szCs w:val="28"/>
        </w:rPr>
        <w:t xml:space="preserve">. </w:t>
      </w:r>
    </w:p>
    <w:p w:rsidR="000F7641" w:rsidRPr="00CC7883" w:rsidRDefault="000F7641" w:rsidP="00047411">
      <w:pPr>
        <w:pStyle w:val="Standard"/>
        <w:widowControl w:val="0"/>
        <w:tabs>
          <w:tab w:val="left" w:pos="709"/>
          <w:tab w:val="left" w:pos="2694"/>
          <w:tab w:val="left" w:pos="3686"/>
        </w:tabs>
        <w:suppressAutoHyphens w:val="0"/>
        <w:spacing w:line="360" w:lineRule="auto"/>
        <w:ind w:firstLine="709"/>
        <w:jc w:val="both"/>
        <w:outlineLvl w:val="1"/>
        <w:rPr>
          <w:rFonts w:ascii="Times New Roman" w:hAnsi="Times New Roman" w:cs="Times New Roman"/>
          <w:b/>
          <w:bCs/>
          <w:iCs/>
          <w:color w:val="000000" w:themeColor="text1"/>
          <w:sz w:val="28"/>
          <w:szCs w:val="28"/>
        </w:rPr>
      </w:pPr>
      <w:bookmarkStart w:id="105" w:name="_Toc220058953"/>
      <w:r w:rsidRPr="00CC7883">
        <w:rPr>
          <w:rFonts w:ascii="Times New Roman" w:hAnsi="Times New Roman" w:cs="Times New Roman"/>
          <w:b/>
          <w:bCs/>
          <w:iCs/>
          <w:color w:val="000000" w:themeColor="text1"/>
          <w:sz w:val="28"/>
          <w:szCs w:val="28"/>
        </w:rPr>
        <w:lastRenderedPageBreak/>
        <w:t xml:space="preserve">6.2. Умови </w:t>
      </w:r>
      <w:r w:rsidRPr="00CC7883">
        <w:rPr>
          <w:rFonts w:ascii="Times New Roman" w:hAnsi="Times New Roman" w:cs="Times New Roman"/>
          <w:b/>
          <w:bCs/>
          <w:i/>
          <w:color w:val="000000" w:themeColor="text1"/>
          <w:sz w:val="28"/>
          <w:szCs w:val="28"/>
        </w:rPr>
        <w:t>in</w:t>
      </w:r>
      <w:r w:rsidR="001221F9" w:rsidRPr="00CC7883">
        <w:rPr>
          <w:rFonts w:ascii="Times New Roman" w:hAnsi="Times New Roman" w:cs="Times New Roman"/>
          <w:b/>
          <w:bCs/>
          <w:i/>
          <w:color w:val="000000" w:themeColor="text1"/>
          <w:sz w:val="28"/>
          <w:szCs w:val="28"/>
        </w:rPr>
        <w:t> </w:t>
      </w:r>
      <w:r w:rsidRPr="00CC7883">
        <w:rPr>
          <w:rFonts w:ascii="Times New Roman" w:hAnsi="Times New Roman" w:cs="Times New Roman"/>
          <w:b/>
          <w:bCs/>
          <w:i/>
          <w:color w:val="000000" w:themeColor="text1"/>
          <w:sz w:val="28"/>
          <w:szCs w:val="28"/>
        </w:rPr>
        <w:t>vivo</w:t>
      </w:r>
      <w:bookmarkEnd w:id="105"/>
    </w:p>
    <w:p w:rsidR="000F7641" w:rsidRPr="00CC7883" w:rsidRDefault="000F7641" w:rsidP="00047411">
      <w:pPr>
        <w:pStyle w:val="Standard"/>
        <w:widowControl w:val="0"/>
        <w:tabs>
          <w:tab w:val="left" w:pos="709"/>
          <w:tab w:val="left" w:pos="2694"/>
          <w:tab w:val="left" w:pos="3686"/>
        </w:tabs>
        <w:suppressAutoHyphens w:val="0"/>
        <w:spacing w:line="360" w:lineRule="auto"/>
        <w:ind w:firstLine="709"/>
        <w:jc w:val="both"/>
        <w:rPr>
          <w:rFonts w:ascii="Times New Roman" w:hAnsi="Times New Roman" w:cs="Times New Roman"/>
          <w:i/>
          <w:color w:val="000000" w:themeColor="text1"/>
          <w:sz w:val="28"/>
          <w:szCs w:val="28"/>
        </w:rPr>
      </w:pPr>
    </w:p>
    <w:p w:rsidR="000F7641" w:rsidRPr="00CC7883" w:rsidRDefault="000F7641" w:rsidP="00047411">
      <w:pPr>
        <w:pStyle w:val="Standard"/>
        <w:widowControl w:val="0"/>
        <w:tabs>
          <w:tab w:val="left" w:pos="709"/>
          <w:tab w:val="left" w:pos="2694"/>
          <w:tab w:val="left" w:pos="3686"/>
        </w:tabs>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Дослідження особливостей формування продихового апарату нижнього епідермісу листків проводили і </w:t>
      </w:r>
      <w:r w:rsidR="002C1AF8" w:rsidRPr="00CC7883">
        <w:rPr>
          <w:rFonts w:ascii="Times New Roman" w:hAnsi="Times New Roman" w:cs="Times New Roman"/>
          <w:color w:val="000000" w:themeColor="text1"/>
          <w:sz w:val="28"/>
          <w:szCs w:val="28"/>
        </w:rPr>
        <w:t>у мікроклонів винограду сортів</w:t>
      </w:r>
      <w:r w:rsidR="00BD3268">
        <w:rPr>
          <w:rFonts w:ascii="Times New Roman" w:hAnsi="Times New Roman" w:cs="Times New Roman"/>
          <w:color w:val="000000" w:themeColor="text1"/>
          <w:sz w:val="28"/>
          <w:szCs w:val="28"/>
        </w:rPr>
        <w:t>,</w:t>
      </w:r>
      <w:r w:rsidR="002C1AF8"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адаптованих до умов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w:t>
      </w:r>
      <w:r w:rsidR="00A350B8"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Рослини адаптували на суміші мінеральних субстратів агроперліт + вермикуліт. Порівняння проводили із контрольними мікроклональними рослинами, які культивували </w:t>
      </w:r>
      <w:r w:rsidRPr="00CC7883">
        <w:rPr>
          <w:rFonts w:ascii="Times New Roman" w:hAnsi="Times New Roman" w:cs="Times New Roman"/>
          <w:i/>
          <w:color w:val="000000" w:themeColor="text1"/>
          <w:sz w:val="28"/>
          <w:szCs w:val="28"/>
        </w:rPr>
        <w:t>in</w:t>
      </w:r>
      <w:r w:rsidR="001221F9"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vitro</w:t>
      </w:r>
      <w:r w:rsidRPr="00CC7883">
        <w:rPr>
          <w:rFonts w:ascii="Times New Roman" w:hAnsi="Times New Roman" w:cs="Times New Roman"/>
          <w:color w:val="000000" w:themeColor="text1"/>
          <w:sz w:val="28"/>
          <w:szCs w:val="28"/>
        </w:rPr>
        <w:t xml:space="preserve"> на поживному середовищі </w:t>
      </w:r>
      <w:r w:rsidR="00FE5EA9">
        <w:rPr>
          <w:rFonts w:ascii="Times New Roman" w:hAnsi="Times New Roman" w:cs="Times New Roman"/>
          <w:color w:val="000000" w:themeColor="text1"/>
          <w:sz w:val="28"/>
          <w:szCs w:val="28"/>
          <w:lang w:val="en-US"/>
        </w:rPr>
        <w:t>M</w:t>
      </w:r>
      <w:r w:rsidR="00FE5EA9" w:rsidRPr="00CC7883">
        <w:rPr>
          <w:rFonts w:ascii="Times New Roman" w:hAnsi="Times New Roman" w:cs="Times New Roman"/>
          <w:color w:val="000000" w:themeColor="text1"/>
          <w:sz w:val="28"/>
          <w:szCs w:val="28"/>
        </w:rPr>
        <w:t>S</w:t>
      </w:r>
      <w:r w:rsidRPr="00CC7883">
        <w:rPr>
          <w:rFonts w:ascii="Times New Roman" w:hAnsi="Times New Roman" w:cs="Times New Roman"/>
          <w:color w:val="000000" w:themeColor="text1"/>
          <w:sz w:val="28"/>
          <w:szCs w:val="28"/>
        </w:rPr>
        <w:t xml:space="preserve"> із меншим вмістом фітогормонів (0,3 мг/л ІОК, 0,2 мг/л 6-БАП). </w:t>
      </w:r>
    </w:p>
    <w:p w:rsidR="000F7641" w:rsidRPr="00CC7883" w:rsidRDefault="000F7641" w:rsidP="00047411">
      <w:pPr>
        <w:pStyle w:val="Standard"/>
        <w:widowControl w:val="0"/>
        <w:tabs>
          <w:tab w:val="left" w:pos="709"/>
          <w:tab w:val="left" w:pos="2694"/>
          <w:tab w:val="left" w:pos="3686"/>
        </w:tabs>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контрольних рослин, що культивували на поживному середовищі (</w:t>
      </w:r>
      <w:r w:rsidR="001221F9"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кількість продихів на 1 мм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дорівнювала 26,1–27,2 шт., а їх загальна кількість на листкову пластинку – 396,3–452,3 шт. (</w:t>
      </w:r>
      <w:r w:rsidR="00DC4415" w:rsidRPr="00CC7883">
        <w:rPr>
          <w:rFonts w:ascii="Times New Roman" w:hAnsi="Times New Roman" w:cs="Times New Roman"/>
          <w:color w:val="000000" w:themeColor="text1"/>
          <w:sz w:val="28"/>
          <w:szCs w:val="28"/>
        </w:rPr>
        <w:t>т</w:t>
      </w:r>
      <w:r w:rsidRPr="00CC7883">
        <w:rPr>
          <w:rFonts w:ascii="Times New Roman" w:hAnsi="Times New Roman" w:cs="Times New Roman"/>
          <w:color w:val="000000" w:themeColor="text1"/>
          <w:sz w:val="28"/>
          <w:szCs w:val="28"/>
        </w:rPr>
        <w:t xml:space="preserve">абл. 6.1, </w:t>
      </w:r>
      <w:r w:rsidR="00356530" w:rsidRPr="00CC7883">
        <w:rPr>
          <w:rFonts w:ascii="Times New Roman" w:hAnsi="Times New Roman" w:cs="Times New Roman"/>
          <w:color w:val="000000" w:themeColor="text1"/>
          <w:sz w:val="28"/>
          <w:szCs w:val="28"/>
        </w:rPr>
        <w:t>рис.</w:t>
      </w:r>
      <w:r w:rsidR="00356530"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 xml:space="preserve">6.11). </w:t>
      </w:r>
    </w:p>
    <w:p w:rsidR="007C4F1A" w:rsidRPr="00CC7883" w:rsidRDefault="00A970EB" w:rsidP="00047411">
      <w:pPr>
        <w:pStyle w:val="Standard"/>
        <w:widowControl w:val="0"/>
        <w:tabs>
          <w:tab w:val="left" w:pos="709"/>
          <w:tab w:val="left" w:pos="2694"/>
          <w:tab w:val="left" w:pos="3686"/>
        </w:tabs>
        <w:suppressAutoHyphens w:val="0"/>
        <w:spacing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ab/>
      </w:r>
      <w:r w:rsidR="00606047" w:rsidRPr="00CC7883">
        <w:rPr>
          <w:rFonts w:ascii="Times New Roman" w:hAnsi="Times New Roman" w:cs="Times New Roman"/>
          <w:color w:val="000000" w:themeColor="text1"/>
          <w:sz w:val="28"/>
          <w:szCs w:val="28"/>
        </w:rPr>
        <w:t>Натомість</w:t>
      </w:r>
      <w:r w:rsidR="002A3244">
        <w:rPr>
          <w:rFonts w:ascii="Times New Roman" w:hAnsi="Times New Roman" w:cs="Times New Roman"/>
          <w:color w:val="000000" w:themeColor="text1"/>
          <w:sz w:val="28"/>
          <w:szCs w:val="28"/>
        </w:rPr>
        <w:t>,</w:t>
      </w:r>
      <w:r w:rsidR="00606047" w:rsidRPr="00CC7883">
        <w:rPr>
          <w:rFonts w:ascii="Times New Roman" w:hAnsi="Times New Roman" w:cs="Times New Roman"/>
          <w:color w:val="000000" w:themeColor="text1"/>
          <w:sz w:val="28"/>
          <w:szCs w:val="28"/>
        </w:rPr>
        <w:t xml:space="preserve"> у мікроклонів винограду, переведених в умови </w:t>
      </w:r>
      <w:r w:rsidR="001221F9" w:rsidRPr="00CC7883">
        <w:rPr>
          <w:rFonts w:ascii="Times New Roman" w:hAnsi="Times New Roman" w:cs="Times New Roman"/>
          <w:i/>
          <w:color w:val="000000" w:themeColor="text1"/>
          <w:sz w:val="28"/>
          <w:szCs w:val="28"/>
        </w:rPr>
        <w:t>in vivo</w:t>
      </w:r>
      <w:r w:rsidR="00606047" w:rsidRPr="00CC7883">
        <w:rPr>
          <w:rFonts w:ascii="Times New Roman" w:hAnsi="Times New Roman" w:cs="Times New Roman"/>
          <w:color w:val="000000" w:themeColor="text1"/>
          <w:sz w:val="28"/>
          <w:szCs w:val="28"/>
        </w:rPr>
        <w:t xml:space="preserve">, цей показник збільшився вдвічі: у сорту «Добриня» </w:t>
      </w:r>
      <w:r w:rsidRPr="00CC7883">
        <w:rPr>
          <w:rFonts w:ascii="Times New Roman" w:hAnsi="Times New Roman" w:cs="Times New Roman"/>
          <w:color w:val="000000" w:themeColor="text1"/>
          <w:sz w:val="28"/>
          <w:szCs w:val="28"/>
        </w:rPr>
        <w:t>–</w:t>
      </w:r>
      <w:r w:rsidR="00606047" w:rsidRPr="00CC7883">
        <w:rPr>
          <w:rFonts w:ascii="Times New Roman" w:hAnsi="Times New Roman" w:cs="Times New Roman"/>
          <w:color w:val="000000" w:themeColor="text1"/>
          <w:sz w:val="28"/>
          <w:szCs w:val="28"/>
        </w:rPr>
        <w:t xml:space="preserve"> 59,0 шт.</w:t>
      </w:r>
      <w:r w:rsidRPr="00CC7883">
        <w:rPr>
          <w:rFonts w:ascii="Times New Roman" w:hAnsi="Times New Roman" w:cs="Times New Roman"/>
          <w:color w:val="000000" w:themeColor="text1"/>
          <w:sz w:val="28"/>
          <w:szCs w:val="28"/>
        </w:rPr>
        <w:t>,</w:t>
      </w:r>
      <w:r w:rsidR="00606047" w:rsidRPr="00CC7883">
        <w:rPr>
          <w:rFonts w:ascii="Times New Roman" w:hAnsi="Times New Roman" w:cs="Times New Roman"/>
          <w:color w:val="000000" w:themeColor="text1"/>
          <w:sz w:val="28"/>
          <w:szCs w:val="28"/>
        </w:rPr>
        <w:t xml:space="preserve"> при загальній кількості продихів на листкову пластинку 1743,3 шт., у сорту «Гарант» – 60,7 і 1838,1 шт., у сорту «Ярило» – 66,5 і 1372,4 шт., у сорту «Загрей» – 63,2 і 1425,9</w:t>
      </w:r>
      <w:r w:rsidR="00C23A33" w:rsidRPr="00CC7883">
        <w:rPr>
          <w:rFonts w:ascii="Times New Roman" w:hAnsi="Times New Roman" w:cs="Times New Roman"/>
          <w:color w:val="000000" w:themeColor="text1"/>
          <w:sz w:val="28"/>
          <w:szCs w:val="28"/>
        </w:rPr>
        <w:t> </w:t>
      </w:r>
      <w:r w:rsidR="00606047" w:rsidRPr="00CC7883">
        <w:rPr>
          <w:rFonts w:ascii="Times New Roman" w:hAnsi="Times New Roman" w:cs="Times New Roman"/>
          <w:color w:val="000000" w:themeColor="text1"/>
          <w:sz w:val="28"/>
          <w:szCs w:val="28"/>
        </w:rPr>
        <w:t xml:space="preserve">шт. Таким чином, </w:t>
      </w:r>
      <w:r w:rsidR="008C061D">
        <w:rPr>
          <w:rFonts w:ascii="Times New Roman" w:hAnsi="Times New Roman" w:cs="Times New Roman"/>
          <w:color w:val="000000" w:themeColor="text1"/>
          <w:sz w:val="28"/>
          <w:szCs w:val="28"/>
        </w:rPr>
        <w:t>порівняно</w:t>
      </w:r>
      <w:r w:rsidR="00606047" w:rsidRPr="00CC7883">
        <w:rPr>
          <w:rFonts w:ascii="Times New Roman" w:hAnsi="Times New Roman" w:cs="Times New Roman"/>
          <w:color w:val="000000" w:themeColor="text1"/>
          <w:sz w:val="28"/>
          <w:szCs w:val="28"/>
        </w:rPr>
        <w:t xml:space="preserve"> з контролем продиховий апарат листків в умовах </w:t>
      </w:r>
      <w:r w:rsidR="001221F9" w:rsidRPr="00CC7883">
        <w:rPr>
          <w:rFonts w:ascii="Times New Roman" w:hAnsi="Times New Roman" w:cs="Times New Roman"/>
          <w:i/>
          <w:color w:val="000000" w:themeColor="text1"/>
          <w:sz w:val="28"/>
          <w:szCs w:val="28"/>
        </w:rPr>
        <w:t>in vivo</w:t>
      </w:r>
      <w:r w:rsidR="00606047" w:rsidRPr="00CC7883">
        <w:rPr>
          <w:rFonts w:ascii="Times New Roman" w:hAnsi="Times New Roman" w:cs="Times New Roman"/>
          <w:color w:val="000000" w:themeColor="text1"/>
          <w:sz w:val="28"/>
          <w:szCs w:val="28"/>
        </w:rPr>
        <w:t xml:space="preserve"> характеризувався збільшенням кількості продихів на </w:t>
      </w:r>
      <w:r w:rsidRPr="00CC7883">
        <w:rPr>
          <w:rFonts w:ascii="Times New Roman" w:hAnsi="Times New Roman" w:cs="Times New Roman"/>
          <w:color w:val="000000" w:themeColor="text1"/>
          <w:sz w:val="28"/>
          <w:szCs w:val="28"/>
        </w:rPr>
        <w:t>1 мм</w:t>
      </w:r>
      <w:r w:rsidRPr="00CC7883">
        <w:rPr>
          <w:rFonts w:ascii="Times New Roman" w:hAnsi="Times New Roman" w:cs="Times New Roman"/>
          <w:color w:val="000000" w:themeColor="text1"/>
          <w:sz w:val="28"/>
          <w:szCs w:val="28"/>
          <w:vertAlign w:val="superscript"/>
        </w:rPr>
        <w:t>2</w:t>
      </w:r>
      <w:r w:rsidR="00606047" w:rsidRPr="00CC7883">
        <w:rPr>
          <w:rFonts w:ascii="Times New Roman" w:hAnsi="Times New Roman" w:cs="Times New Roman"/>
          <w:color w:val="000000" w:themeColor="text1"/>
          <w:sz w:val="28"/>
          <w:szCs w:val="28"/>
        </w:rPr>
        <w:t xml:space="preserve"> (</w:t>
      </w:r>
      <w:r w:rsidR="002A3244">
        <w:rPr>
          <w:rFonts w:ascii="Times New Roman" w:hAnsi="Times New Roman" w:cs="Times New Roman"/>
          <w:color w:val="000000" w:themeColor="text1"/>
          <w:sz w:val="28"/>
          <w:szCs w:val="28"/>
        </w:rPr>
        <w:t>у</w:t>
      </w:r>
      <w:r w:rsidR="00606047" w:rsidRPr="00CC7883">
        <w:rPr>
          <w:rFonts w:ascii="Times New Roman" w:hAnsi="Times New Roman" w:cs="Times New Roman"/>
          <w:color w:val="000000" w:themeColor="text1"/>
          <w:sz w:val="28"/>
          <w:szCs w:val="28"/>
        </w:rPr>
        <w:t xml:space="preserve"> 2,2–2,5 раз</w:t>
      </w:r>
      <w:r w:rsidR="000F7714">
        <w:rPr>
          <w:rFonts w:ascii="Times New Roman" w:hAnsi="Times New Roman" w:cs="Times New Roman"/>
          <w:color w:val="000000" w:themeColor="text1"/>
          <w:sz w:val="28"/>
          <w:szCs w:val="28"/>
        </w:rPr>
        <w:t>а</w:t>
      </w:r>
      <w:r w:rsidR="00606047" w:rsidRPr="00CC7883">
        <w:rPr>
          <w:rFonts w:ascii="Times New Roman" w:hAnsi="Times New Roman" w:cs="Times New Roman"/>
          <w:color w:val="000000" w:themeColor="text1"/>
          <w:sz w:val="28"/>
          <w:szCs w:val="28"/>
        </w:rPr>
        <w:t>) та збільшення</w:t>
      </w:r>
      <w:r w:rsidR="003C15E2">
        <w:rPr>
          <w:rFonts w:ascii="Times New Roman" w:hAnsi="Times New Roman" w:cs="Times New Roman"/>
          <w:color w:val="000000" w:themeColor="text1"/>
          <w:sz w:val="28"/>
          <w:szCs w:val="28"/>
        </w:rPr>
        <w:t>м</w:t>
      </w:r>
      <w:r w:rsidR="00606047" w:rsidRPr="00CC7883">
        <w:rPr>
          <w:rFonts w:ascii="Times New Roman" w:hAnsi="Times New Roman" w:cs="Times New Roman"/>
          <w:color w:val="000000" w:themeColor="text1"/>
          <w:sz w:val="28"/>
          <w:szCs w:val="28"/>
        </w:rPr>
        <w:t xml:space="preserve"> їх кількості на листковій пластинці (у 3,2–4,3 раз</w:t>
      </w:r>
      <w:r w:rsidR="000F7714">
        <w:rPr>
          <w:rFonts w:ascii="Times New Roman" w:hAnsi="Times New Roman" w:cs="Times New Roman"/>
          <w:color w:val="000000" w:themeColor="text1"/>
          <w:sz w:val="28"/>
          <w:szCs w:val="28"/>
        </w:rPr>
        <w:t>а</w:t>
      </w:r>
      <w:r w:rsidR="00606047" w:rsidRPr="00CC7883">
        <w:rPr>
          <w:rFonts w:ascii="Times New Roman" w:hAnsi="Times New Roman" w:cs="Times New Roman"/>
          <w:color w:val="000000" w:themeColor="text1"/>
          <w:sz w:val="28"/>
          <w:szCs w:val="28"/>
        </w:rPr>
        <w:t>).</w:t>
      </w:r>
    </w:p>
    <w:p w:rsidR="00654F20" w:rsidRPr="002D7A70" w:rsidRDefault="00665FAB" w:rsidP="00654F20">
      <w:pPr>
        <w:pStyle w:val="Standard"/>
        <w:widowControl w:val="0"/>
        <w:tabs>
          <w:tab w:val="left" w:pos="709"/>
          <w:tab w:val="left" w:pos="2694"/>
          <w:tab w:val="left" w:pos="3686"/>
        </w:tabs>
        <w:suppressAutoHyphens w:val="0"/>
        <w:spacing w:line="360" w:lineRule="auto"/>
        <w:jc w:val="both"/>
        <w:rPr>
          <w:rFonts w:ascii="Times New Roman" w:hAnsi="Times New Roman" w:cs="Times New Roman"/>
          <w:color w:val="000000" w:themeColor="text1"/>
          <w:spacing w:val="-4"/>
          <w:sz w:val="28"/>
          <w:szCs w:val="28"/>
        </w:rPr>
      </w:pPr>
      <w:r>
        <w:rPr>
          <w:rFonts w:ascii="Times New Roman" w:hAnsi="Times New Roman" w:cs="Times New Roman"/>
          <w:color w:val="000000" w:themeColor="text1"/>
          <w:sz w:val="28"/>
          <w:szCs w:val="28"/>
        </w:rPr>
        <w:tab/>
      </w:r>
      <w:r w:rsidR="00654F20" w:rsidRPr="002D7A70">
        <w:rPr>
          <w:rFonts w:ascii="Times New Roman" w:hAnsi="Times New Roman" w:cs="Times New Roman"/>
          <w:color w:val="000000" w:themeColor="text1"/>
          <w:spacing w:val="-4"/>
          <w:sz w:val="28"/>
          <w:szCs w:val="28"/>
        </w:rPr>
        <w:t xml:space="preserve">Отримані результати свідчать також і про те, що в умовах </w:t>
      </w:r>
      <w:r w:rsidR="00654F20" w:rsidRPr="002D7A70">
        <w:rPr>
          <w:rFonts w:ascii="Times New Roman" w:hAnsi="Times New Roman" w:cs="Times New Roman"/>
          <w:i/>
          <w:iCs/>
          <w:color w:val="000000" w:themeColor="text1"/>
          <w:spacing w:val="-4"/>
          <w:sz w:val="28"/>
          <w:szCs w:val="28"/>
          <w:lang w:eastAsia="en-US"/>
        </w:rPr>
        <w:t>in vivo</w:t>
      </w:r>
      <w:r w:rsidR="00654F20" w:rsidRPr="002D7A70">
        <w:rPr>
          <w:rFonts w:ascii="Times New Roman" w:hAnsi="Times New Roman" w:cs="Times New Roman"/>
          <w:color w:val="000000" w:themeColor="text1"/>
          <w:spacing w:val="-4"/>
          <w:sz w:val="28"/>
          <w:szCs w:val="28"/>
        </w:rPr>
        <w:t xml:space="preserve"> відбувається загартування листкової тканини й формування більшої кількості продихів, що є одним із адаптивних механізмів рослин до абіотичного стресу.</w:t>
      </w:r>
    </w:p>
    <w:p w:rsidR="00654F20" w:rsidRPr="002D7A70" w:rsidRDefault="00654F20" w:rsidP="00654F20">
      <w:pPr>
        <w:pStyle w:val="Standard"/>
        <w:widowControl w:val="0"/>
        <w:tabs>
          <w:tab w:val="left" w:pos="3300"/>
        </w:tabs>
        <w:suppressAutoHyphens w:val="0"/>
        <w:spacing w:line="360" w:lineRule="auto"/>
        <w:ind w:firstLine="709"/>
        <w:jc w:val="both"/>
        <w:rPr>
          <w:rFonts w:ascii="Times New Roman" w:hAnsi="Times New Roman" w:cs="Times New Roman"/>
          <w:color w:val="000000" w:themeColor="text1"/>
          <w:spacing w:val="-4"/>
          <w:sz w:val="28"/>
          <w:szCs w:val="28"/>
        </w:rPr>
      </w:pPr>
      <w:r w:rsidRPr="002D7A70">
        <w:rPr>
          <w:rFonts w:ascii="Times New Roman" w:hAnsi="Times New Roman" w:cs="Times New Roman"/>
          <w:i/>
          <w:color w:val="000000" w:themeColor="text1"/>
          <w:spacing w:val="-4"/>
          <w:sz w:val="28"/>
          <w:szCs w:val="28"/>
        </w:rPr>
        <w:t>Кількісні параметри продихів</w:t>
      </w:r>
      <w:r w:rsidRPr="002D7A70">
        <w:rPr>
          <w:rFonts w:ascii="Times New Roman" w:hAnsi="Times New Roman" w:cs="Times New Roman"/>
          <w:color w:val="000000" w:themeColor="text1"/>
          <w:spacing w:val="-4"/>
          <w:sz w:val="28"/>
          <w:szCs w:val="28"/>
        </w:rPr>
        <w:t xml:space="preserve">. У контрольних рослин, які культивували на поживному середовищі </w:t>
      </w:r>
      <w:r w:rsidRPr="002D7A70">
        <w:rPr>
          <w:rFonts w:ascii="Times New Roman" w:hAnsi="Times New Roman" w:cs="Times New Roman"/>
          <w:i/>
          <w:iCs/>
          <w:color w:val="000000" w:themeColor="text1"/>
          <w:spacing w:val="-4"/>
          <w:sz w:val="28"/>
          <w:szCs w:val="28"/>
        </w:rPr>
        <w:t>in vitro</w:t>
      </w:r>
      <w:r w:rsidRPr="002D7A70">
        <w:rPr>
          <w:rFonts w:ascii="Times New Roman" w:hAnsi="Times New Roman" w:cs="Times New Roman"/>
          <w:color w:val="000000" w:themeColor="text1"/>
          <w:spacing w:val="-4"/>
          <w:sz w:val="28"/>
          <w:szCs w:val="28"/>
        </w:rPr>
        <w:t xml:space="preserve">, продихи загалом характеризувалися більшими розмірами довжини і ширини. Після переведення мікроклонів винограду до умов </w:t>
      </w:r>
      <w:r w:rsidRPr="002D7A70">
        <w:rPr>
          <w:rFonts w:ascii="Times New Roman" w:hAnsi="Times New Roman" w:cs="Times New Roman"/>
          <w:i/>
          <w:color w:val="000000" w:themeColor="text1"/>
          <w:spacing w:val="-4"/>
          <w:sz w:val="28"/>
          <w:szCs w:val="28"/>
        </w:rPr>
        <w:t>in vivo</w:t>
      </w:r>
      <w:r w:rsidRPr="002D7A70">
        <w:rPr>
          <w:rFonts w:ascii="Times New Roman" w:hAnsi="Times New Roman" w:cs="Times New Roman"/>
          <w:color w:val="000000" w:themeColor="text1"/>
          <w:spacing w:val="-4"/>
          <w:sz w:val="28"/>
          <w:szCs w:val="28"/>
        </w:rPr>
        <w:t xml:space="preserve"> було відзначено зменшення морфометричних параметрів продихів: їх довжина зменшувалася до 17,8–18,2 мкм, а ширина – до 12,4–13,1 мкм, що було менше за контрольні значення на 24,1–25,9 % і 27,0–30,8 % (рис.</w:t>
      </w:r>
      <w:r w:rsidRPr="002D7A70">
        <w:rPr>
          <w:rFonts w:ascii="Times New Roman" w:hAnsi="Times New Roman" w:cs="Times New Roman"/>
          <w:bCs/>
          <w:color w:val="000000" w:themeColor="text1"/>
          <w:spacing w:val="-4"/>
          <w:sz w:val="28"/>
          <w:szCs w:val="28"/>
        </w:rPr>
        <w:t xml:space="preserve"> </w:t>
      </w:r>
      <w:r w:rsidRPr="002D7A70">
        <w:rPr>
          <w:rFonts w:ascii="Times New Roman" w:hAnsi="Times New Roman" w:cs="Times New Roman"/>
          <w:color w:val="000000" w:themeColor="text1"/>
          <w:spacing w:val="-4"/>
          <w:sz w:val="28"/>
          <w:szCs w:val="28"/>
        </w:rPr>
        <w:t xml:space="preserve">6.12). </w:t>
      </w:r>
    </w:p>
    <w:p w:rsidR="00654F20" w:rsidRPr="00CC7883" w:rsidRDefault="00654F20" w:rsidP="00047411">
      <w:pPr>
        <w:pStyle w:val="Standard"/>
        <w:widowControl w:val="0"/>
        <w:tabs>
          <w:tab w:val="left" w:pos="709"/>
          <w:tab w:val="left" w:pos="2694"/>
          <w:tab w:val="left" w:pos="3686"/>
        </w:tabs>
        <w:suppressAutoHyphens w:val="0"/>
        <w:spacing w:line="360" w:lineRule="auto"/>
        <w:jc w:val="both"/>
        <w:rPr>
          <w:rFonts w:ascii="Times New Roman" w:hAnsi="Times New Roman" w:cs="Times New Roman"/>
          <w:i/>
          <w:color w:val="000000" w:themeColor="text1"/>
          <w:sz w:val="28"/>
          <w:szCs w:val="28"/>
        </w:rPr>
        <w:sectPr w:rsidR="00654F20" w:rsidRPr="00CC7883" w:rsidSect="000C1AF6">
          <w:pgSz w:w="11906" w:h="16838" w:code="9"/>
          <w:pgMar w:top="1134" w:right="851" w:bottom="1134" w:left="1701" w:header="709" w:footer="709" w:gutter="0"/>
          <w:cols w:space="708"/>
          <w:docGrid w:linePitch="360"/>
        </w:sectPr>
      </w:pPr>
    </w:p>
    <w:p w:rsidR="000F7641" w:rsidRPr="00CC7883" w:rsidRDefault="000F7641" w:rsidP="00047411">
      <w:pPr>
        <w:pStyle w:val="Standard"/>
        <w:widowControl w:val="0"/>
        <w:tabs>
          <w:tab w:val="left" w:pos="709"/>
          <w:tab w:val="left" w:pos="2694"/>
          <w:tab w:val="left" w:pos="3686"/>
        </w:tabs>
        <w:suppressAutoHyphens w:val="0"/>
        <w:spacing w:line="360" w:lineRule="auto"/>
        <w:jc w:val="right"/>
        <w:rPr>
          <w:rFonts w:ascii="Times New Roman" w:hAnsi="Times New Roman" w:cs="Times New Roman"/>
          <w:i/>
          <w:color w:val="000000" w:themeColor="text1"/>
          <w:sz w:val="28"/>
          <w:szCs w:val="28"/>
        </w:rPr>
      </w:pPr>
      <w:r w:rsidRPr="00CC7883">
        <w:rPr>
          <w:rFonts w:ascii="Times New Roman" w:hAnsi="Times New Roman" w:cs="Times New Roman"/>
          <w:i/>
          <w:color w:val="000000" w:themeColor="text1"/>
          <w:sz w:val="28"/>
          <w:szCs w:val="28"/>
        </w:rPr>
        <w:lastRenderedPageBreak/>
        <w:t>Таблиця 6.1</w:t>
      </w:r>
    </w:p>
    <w:p w:rsidR="002D7A70"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b/>
          <w:color w:val="000000" w:themeColor="text1"/>
          <w:sz w:val="28"/>
          <w:szCs w:val="28"/>
        </w:rPr>
      </w:pPr>
      <w:r w:rsidRPr="00CC7883">
        <w:rPr>
          <w:rFonts w:ascii="Times New Roman" w:hAnsi="Times New Roman" w:cs="Times New Roman"/>
          <w:b/>
          <w:color w:val="000000" w:themeColor="text1"/>
          <w:sz w:val="28"/>
          <w:szCs w:val="28"/>
        </w:rPr>
        <w:t xml:space="preserve">Формування та структура продихового апарату нижнього епідермісу листків мікроклонів винограду </w:t>
      </w:r>
      <w:r w:rsidR="000C7F0C">
        <w:rPr>
          <w:rFonts w:ascii="Times New Roman" w:hAnsi="Times New Roman" w:cs="Times New Roman"/>
          <w:b/>
          <w:color w:val="000000" w:themeColor="text1"/>
          <w:sz w:val="28"/>
          <w:szCs w:val="28"/>
        </w:rPr>
        <w:t xml:space="preserve">в умовах </w:t>
      </w:r>
    </w:p>
    <w:p w:rsidR="000F7641" w:rsidRPr="00CC7883" w:rsidRDefault="000C7F0C"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b/>
          <w:color w:val="000000" w:themeColor="text1"/>
          <w:sz w:val="28"/>
          <w:szCs w:val="28"/>
        </w:rPr>
      </w:pPr>
      <w:r w:rsidRPr="000C7F0C">
        <w:rPr>
          <w:rFonts w:ascii="Times New Roman" w:hAnsi="Times New Roman" w:cs="Times New Roman"/>
          <w:b/>
          <w:i/>
          <w:iCs/>
          <w:color w:val="000000" w:themeColor="text1"/>
          <w:sz w:val="28"/>
          <w:szCs w:val="28"/>
          <w:lang w:val="en-US"/>
        </w:rPr>
        <w:t>in</w:t>
      </w:r>
      <w:r w:rsidRPr="00F62136">
        <w:rPr>
          <w:rFonts w:ascii="Times New Roman" w:hAnsi="Times New Roman" w:cs="Times New Roman"/>
          <w:b/>
          <w:i/>
          <w:iCs/>
          <w:color w:val="000000" w:themeColor="text1"/>
          <w:sz w:val="28"/>
          <w:szCs w:val="28"/>
          <w:lang w:val="ru-RU"/>
        </w:rPr>
        <w:t xml:space="preserve"> </w:t>
      </w:r>
      <w:r w:rsidRPr="000C7F0C">
        <w:rPr>
          <w:rFonts w:ascii="Times New Roman" w:hAnsi="Times New Roman" w:cs="Times New Roman"/>
          <w:b/>
          <w:i/>
          <w:iCs/>
          <w:color w:val="000000" w:themeColor="text1"/>
          <w:sz w:val="28"/>
          <w:szCs w:val="28"/>
          <w:lang w:val="en-US"/>
        </w:rPr>
        <w:t>vivo</w:t>
      </w:r>
      <w:r w:rsidR="000F7641" w:rsidRPr="00CC7883">
        <w:rPr>
          <w:rFonts w:ascii="Times New Roman" w:hAnsi="Times New Roman" w:cs="Times New Roman"/>
          <w:b/>
          <w:color w:val="000000" w:themeColor="text1"/>
          <w:sz w:val="28"/>
          <w:szCs w:val="28"/>
        </w:rPr>
        <w:t xml:space="preserve"> </w:t>
      </w:r>
    </w:p>
    <w:tbl>
      <w:tblPr>
        <w:tblW w:w="4937" w:type="pct"/>
        <w:tblInd w:w="108" w:type="dxa"/>
        <w:tblLayout w:type="fixed"/>
        <w:tblCellMar>
          <w:left w:w="10" w:type="dxa"/>
          <w:right w:w="10" w:type="dxa"/>
        </w:tblCellMar>
        <w:tblLook w:val="04A0"/>
      </w:tblPr>
      <w:tblGrid>
        <w:gridCol w:w="1060"/>
        <w:gridCol w:w="1803"/>
        <w:gridCol w:w="2390"/>
        <w:gridCol w:w="1802"/>
        <w:gridCol w:w="1801"/>
        <w:gridCol w:w="1606"/>
        <w:gridCol w:w="2008"/>
        <w:gridCol w:w="2130"/>
      </w:tblGrid>
      <w:tr w:rsidR="000F7641" w:rsidRPr="002D7A70" w:rsidTr="004F7772">
        <w:trPr>
          <w:cantSplit/>
          <w:trHeight w:val="2644"/>
        </w:trPr>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vAlign w:val="center"/>
          </w:tcPr>
          <w:p w:rsidR="000F7641" w:rsidRPr="002D7A70" w:rsidRDefault="000F7641" w:rsidP="00047411">
            <w:pPr>
              <w:widowControl w:val="0"/>
              <w:ind w:left="113" w:right="113"/>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Варіанти досліду</w:t>
            </w:r>
          </w:p>
        </w:tc>
        <w:tc>
          <w:tcPr>
            <w:tcW w:w="18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vAlign w:val="center"/>
          </w:tcPr>
          <w:p w:rsidR="000F7641" w:rsidRPr="002D7A70" w:rsidRDefault="000F7641" w:rsidP="00047411">
            <w:pPr>
              <w:widowControl w:val="0"/>
              <w:ind w:left="113" w:right="113"/>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Кількість продихів на 1 мм</w:t>
            </w:r>
            <w:r w:rsidRPr="002D7A70">
              <w:rPr>
                <w:rFonts w:ascii="Times New Roman" w:hAnsi="Times New Roman" w:cs="Times New Roman"/>
                <w:color w:val="000000" w:themeColor="text1"/>
                <w:sz w:val="28"/>
                <w:szCs w:val="28"/>
                <w:vertAlign w:val="superscript"/>
              </w:rPr>
              <w:t>2</w:t>
            </w:r>
            <w:r w:rsidRPr="002D7A70">
              <w:rPr>
                <w:rFonts w:ascii="Times New Roman" w:hAnsi="Times New Roman" w:cs="Times New Roman"/>
                <w:color w:val="000000" w:themeColor="text1"/>
                <w:sz w:val="28"/>
                <w:szCs w:val="28"/>
              </w:rPr>
              <w:t>, шт.</w:t>
            </w:r>
          </w:p>
        </w:tc>
        <w:tc>
          <w:tcPr>
            <w:tcW w:w="2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vAlign w:val="center"/>
          </w:tcPr>
          <w:p w:rsidR="000F7641" w:rsidRPr="002D7A70" w:rsidRDefault="000F7641" w:rsidP="00047411">
            <w:pPr>
              <w:widowControl w:val="0"/>
              <w:ind w:left="113" w:right="113"/>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Загальна кількість продихів на листковій пластинці, шт.</w:t>
            </w:r>
          </w:p>
        </w:tc>
        <w:tc>
          <w:tcPr>
            <w:tcW w:w="18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vAlign w:val="center"/>
          </w:tcPr>
          <w:p w:rsidR="000F7641" w:rsidRPr="002D7A70" w:rsidRDefault="000F7641" w:rsidP="00047411">
            <w:pPr>
              <w:widowControl w:val="0"/>
              <w:ind w:left="113" w:right="113"/>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Довжина продихів, мкм</w:t>
            </w:r>
          </w:p>
        </w:tc>
        <w:tc>
          <w:tcPr>
            <w:tcW w:w="18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vAlign w:val="center"/>
          </w:tcPr>
          <w:p w:rsidR="000F7641" w:rsidRPr="002D7A70" w:rsidRDefault="000F7641" w:rsidP="00047411">
            <w:pPr>
              <w:widowControl w:val="0"/>
              <w:ind w:left="113" w:right="113"/>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Ширина продихів, мкм</w:t>
            </w:r>
          </w:p>
        </w:tc>
        <w:tc>
          <w:tcPr>
            <w:tcW w:w="1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vAlign w:val="center"/>
          </w:tcPr>
          <w:p w:rsidR="000F7641" w:rsidRPr="002D7A70" w:rsidRDefault="000F7641" w:rsidP="00047411">
            <w:pPr>
              <w:widowControl w:val="0"/>
              <w:ind w:left="113" w:right="113"/>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Ширина замикаючих клітин, мкм</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vAlign w:val="center"/>
          </w:tcPr>
          <w:p w:rsidR="000F7641" w:rsidRPr="002D7A70" w:rsidRDefault="000F7641" w:rsidP="00047411">
            <w:pPr>
              <w:widowControl w:val="0"/>
              <w:ind w:left="113" w:right="113"/>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Ширина продихової щілини, мкм</w:t>
            </w:r>
          </w:p>
        </w:tc>
        <w:tc>
          <w:tcPr>
            <w:tcW w:w="2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extDirection w:val="btLr"/>
            <w:vAlign w:val="center"/>
          </w:tcPr>
          <w:p w:rsidR="000F7641" w:rsidRPr="002D7A70" w:rsidRDefault="000F7641" w:rsidP="00047411">
            <w:pPr>
              <w:widowControl w:val="0"/>
              <w:ind w:left="113" w:right="113"/>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Площа продихів, мкм</w:t>
            </w:r>
            <w:r w:rsidRPr="002D7A70">
              <w:rPr>
                <w:rFonts w:ascii="Times New Roman" w:hAnsi="Times New Roman" w:cs="Times New Roman"/>
                <w:color w:val="000000" w:themeColor="text1"/>
                <w:sz w:val="28"/>
                <w:szCs w:val="28"/>
                <w:vertAlign w:val="superscript"/>
              </w:rPr>
              <w:t>2</w:t>
            </w:r>
          </w:p>
        </w:tc>
      </w:tr>
      <w:tr w:rsidR="000F7641" w:rsidRPr="002D7A70" w:rsidTr="004F7772">
        <w:trPr>
          <w:trHeight w:val="269"/>
        </w:trPr>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w:t>
            </w:r>
          </w:p>
        </w:tc>
        <w:tc>
          <w:tcPr>
            <w:tcW w:w="18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27,2±1,5</w:t>
            </w:r>
          </w:p>
        </w:tc>
        <w:tc>
          <w:tcPr>
            <w:tcW w:w="2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452,3±9,2</w:t>
            </w:r>
          </w:p>
        </w:tc>
        <w:tc>
          <w:tcPr>
            <w:tcW w:w="1802" w:type="dxa"/>
            <w:tcBorders>
              <w:bottom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23,8±0,9</w:t>
            </w:r>
          </w:p>
        </w:tc>
        <w:tc>
          <w:tcPr>
            <w:tcW w:w="18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18,0±0,7</w:t>
            </w:r>
          </w:p>
        </w:tc>
        <w:tc>
          <w:tcPr>
            <w:tcW w:w="1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4,3±0,2</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10,2±0,5</w:t>
            </w:r>
          </w:p>
        </w:tc>
        <w:tc>
          <w:tcPr>
            <w:tcW w:w="2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2200DD"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336,3</w:t>
            </w:r>
            <w:r w:rsidR="000F7641" w:rsidRPr="002D7A70">
              <w:rPr>
                <w:rFonts w:ascii="Times New Roman" w:hAnsi="Times New Roman" w:cs="Times New Roman"/>
                <w:color w:val="000000" w:themeColor="text1"/>
                <w:sz w:val="28"/>
                <w:szCs w:val="28"/>
              </w:rPr>
              <w:t>±10,0</w:t>
            </w:r>
          </w:p>
        </w:tc>
      </w:tr>
      <w:tr w:rsidR="000F7641" w:rsidRPr="002D7A70" w:rsidTr="004F7772">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2</w:t>
            </w:r>
          </w:p>
        </w:tc>
        <w:tc>
          <w:tcPr>
            <w:tcW w:w="18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26,1±1,2</w:t>
            </w:r>
          </w:p>
        </w:tc>
        <w:tc>
          <w:tcPr>
            <w:tcW w:w="2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396,3±9,8</w:t>
            </w:r>
          </w:p>
        </w:tc>
        <w:tc>
          <w:tcPr>
            <w:tcW w:w="1802" w:type="dxa"/>
            <w:tcBorders>
              <w:top w:val="single" w:sz="4" w:space="0" w:color="000000"/>
              <w:bottom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24,2±0,8</w:t>
            </w:r>
          </w:p>
        </w:tc>
        <w:tc>
          <w:tcPr>
            <w:tcW w:w="18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17,9±0,6</w:t>
            </w:r>
          </w:p>
        </w:tc>
        <w:tc>
          <w:tcPr>
            <w:tcW w:w="1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4,1±0,1</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10,4±0,5</w:t>
            </w:r>
          </w:p>
        </w:tc>
        <w:tc>
          <w:tcPr>
            <w:tcW w:w="2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2200DD"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340,0</w:t>
            </w:r>
            <w:r w:rsidR="000F7641" w:rsidRPr="002D7A70">
              <w:rPr>
                <w:rFonts w:ascii="Times New Roman" w:hAnsi="Times New Roman" w:cs="Times New Roman"/>
                <w:color w:val="000000" w:themeColor="text1"/>
                <w:sz w:val="28"/>
                <w:szCs w:val="28"/>
              </w:rPr>
              <w:t>±10,2</w:t>
            </w:r>
          </w:p>
        </w:tc>
      </w:tr>
      <w:tr w:rsidR="000F7641" w:rsidRPr="002D7A70" w:rsidTr="004F7772">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3</w:t>
            </w:r>
          </w:p>
        </w:tc>
        <w:tc>
          <w:tcPr>
            <w:tcW w:w="18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59,0±1,4</w:t>
            </w:r>
          </w:p>
        </w:tc>
        <w:tc>
          <w:tcPr>
            <w:tcW w:w="2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1743,3±15,0</w:t>
            </w:r>
          </w:p>
        </w:tc>
        <w:tc>
          <w:tcPr>
            <w:tcW w:w="1802" w:type="dxa"/>
            <w:tcBorders>
              <w:top w:val="single" w:sz="4" w:space="0" w:color="000000"/>
              <w:bottom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18,2±0,6</w:t>
            </w:r>
          </w:p>
        </w:tc>
        <w:tc>
          <w:tcPr>
            <w:tcW w:w="18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13,1±0,4</w:t>
            </w:r>
          </w:p>
        </w:tc>
        <w:tc>
          <w:tcPr>
            <w:tcW w:w="1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4,8±0,2</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3,5±0,1</w:t>
            </w:r>
          </w:p>
        </w:tc>
        <w:tc>
          <w:tcPr>
            <w:tcW w:w="2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2200DD"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187,2</w:t>
            </w:r>
            <w:r w:rsidR="000F7641" w:rsidRPr="002D7A70">
              <w:rPr>
                <w:rFonts w:ascii="Times New Roman" w:hAnsi="Times New Roman" w:cs="Times New Roman"/>
                <w:color w:val="000000" w:themeColor="text1"/>
                <w:sz w:val="28"/>
                <w:szCs w:val="28"/>
              </w:rPr>
              <w:t>±6,2</w:t>
            </w:r>
          </w:p>
        </w:tc>
      </w:tr>
      <w:tr w:rsidR="000F7641" w:rsidRPr="002D7A70" w:rsidTr="004F7772">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4</w:t>
            </w:r>
          </w:p>
        </w:tc>
        <w:tc>
          <w:tcPr>
            <w:tcW w:w="18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60,7±1,7</w:t>
            </w:r>
          </w:p>
        </w:tc>
        <w:tc>
          <w:tcPr>
            <w:tcW w:w="2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1838,1±13,2</w:t>
            </w:r>
          </w:p>
        </w:tc>
        <w:tc>
          <w:tcPr>
            <w:tcW w:w="1802" w:type="dxa"/>
            <w:tcBorders>
              <w:top w:val="single" w:sz="4" w:space="0" w:color="000000"/>
              <w:bottom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17,8±0,5</w:t>
            </w:r>
          </w:p>
        </w:tc>
        <w:tc>
          <w:tcPr>
            <w:tcW w:w="18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12,7±0,3</w:t>
            </w:r>
          </w:p>
        </w:tc>
        <w:tc>
          <w:tcPr>
            <w:tcW w:w="1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5,1±0,3</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2,5±0,2</w:t>
            </w:r>
          </w:p>
        </w:tc>
        <w:tc>
          <w:tcPr>
            <w:tcW w:w="2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2200DD"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177,7</w:t>
            </w:r>
            <w:r w:rsidR="000F7641" w:rsidRPr="002D7A70">
              <w:rPr>
                <w:rFonts w:ascii="Times New Roman" w:hAnsi="Times New Roman" w:cs="Times New Roman"/>
                <w:color w:val="000000" w:themeColor="text1"/>
                <w:sz w:val="28"/>
                <w:szCs w:val="28"/>
              </w:rPr>
              <w:t>±6,0</w:t>
            </w:r>
          </w:p>
        </w:tc>
      </w:tr>
      <w:tr w:rsidR="000F7641" w:rsidRPr="002D7A70" w:rsidTr="004F7772">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5</w:t>
            </w:r>
          </w:p>
        </w:tc>
        <w:tc>
          <w:tcPr>
            <w:tcW w:w="18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66,5±1,8</w:t>
            </w:r>
          </w:p>
        </w:tc>
        <w:tc>
          <w:tcPr>
            <w:tcW w:w="2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1372,4±15,8</w:t>
            </w:r>
          </w:p>
        </w:tc>
        <w:tc>
          <w:tcPr>
            <w:tcW w:w="1802" w:type="dxa"/>
            <w:tcBorders>
              <w:top w:val="single" w:sz="4" w:space="0" w:color="000000"/>
              <w:bottom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17,8±0,5</w:t>
            </w:r>
          </w:p>
        </w:tc>
        <w:tc>
          <w:tcPr>
            <w:tcW w:w="18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12,4±0,3</w:t>
            </w:r>
          </w:p>
        </w:tc>
        <w:tc>
          <w:tcPr>
            <w:tcW w:w="1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5,5±0,3</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1,4±0,1</w:t>
            </w:r>
          </w:p>
        </w:tc>
        <w:tc>
          <w:tcPr>
            <w:tcW w:w="2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2200DD"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173,8</w:t>
            </w:r>
            <w:r w:rsidR="000F7641" w:rsidRPr="002D7A70">
              <w:rPr>
                <w:rFonts w:ascii="Times New Roman" w:hAnsi="Times New Roman" w:cs="Times New Roman"/>
                <w:color w:val="000000" w:themeColor="text1"/>
                <w:sz w:val="28"/>
                <w:szCs w:val="28"/>
              </w:rPr>
              <w:t>±5,8</w:t>
            </w:r>
          </w:p>
        </w:tc>
      </w:tr>
      <w:tr w:rsidR="000F7641" w:rsidRPr="002D7A70" w:rsidTr="004F7772">
        <w:tc>
          <w:tcPr>
            <w:tcW w:w="1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6</w:t>
            </w:r>
          </w:p>
        </w:tc>
        <w:tc>
          <w:tcPr>
            <w:tcW w:w="18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63,2±1,4</w:t>
            </w:r>
          </w:p>
        </w:tc>
        <w:tc>
          <w:tcPr>
            <w:tcW w:w="23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1425,9±16,0</w:t>
            </w:r>
          </w:p>
        </w:tc>
        <w:tc>
          <w:tcPr>
            <w:tcW w:w="1802" w:type="dxa"/>
            <w:tcBorders>
              <w:top w:val="single" w:sz="4" w:space="0" w:color="000000"/>
              <w:bottom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18,0±0,7</w:t>
            </w:r>
          </w:p>
        </w:tc>
        <w:tc>
          <w:tcPr>
            <w:tcW w:w="18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12,7±0,3</w:t>
            </w:r>
          </w:p>
        </w:tc>
        <w:tc>
          <w:tcPr>
            <w:tcW w:w="160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5,5±0,3</w:t>
            </w:r>
          </w:p>
        </w:tc>
        <w:tc>
          <w:tcPr>
            <w:tcW w:w="200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0F7641"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1,7±0,2</w:t>
            </w:r>
          </w:p>
        </w:tc>
        <w:tc>
          <w:tcPr>
            <w:tcW w:w="2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0F7641" w:rsidRPr="002D7A70" w:rsidRDefault="002200DD" w:rsidP="00047411">
            <w:pPr>
              <w:widowControl w:val="0"/>
              <w:jc w:val="center"/>
              <w:rPr>
                <w:rFonts w:ascii="Times New Roman" w:hAnsi="Times New Roman" w:cs="Times New Roman"/>
                <w:color w:val="000000" w:themeColor="text1"/>
                <w:sz w:val="28"/>
                <w:szCs w:val="28"/>
              </w:rPr>
            </w:pPr>
            <w:r w:rsidRPr="002D7A70">
              <w:rPr>
                <w:rFonts w:ascii="Times New Roman" w:hAnsi="Times New Roman" w:cs="Times New Roman"/>
                <w:color w:val="000000" w:themeColor="text1"/>
                <w:sz w:val="28"/>
                <w:szCs w:val="28"/>
              </w:rPr>
              <w:t>179,5</w:t>
            </w:r>
            <w:r w:rsidR="000F7641" w:rsidRPr="002D7A70">
              <w:rPr>
                <w:rFonts w:ascii="Times New Roman" w:hAnsi="Times New Roman" w:cs="Times New Roman"/>
                <w:color w:val="000000" w:themeColor="text1"/>
                <w:sz w:val="28"/>
                <w:szCs w:val="28"/>
              </w:rPr>
              <w:t>±6,0</w:t>
            </w:r>
          </w:p>
        </w:tc>
      </w:tr>
    </w:tbl>
    <w:p w:rsidR="000F7641" w:rsidRPr="00CC7883" w:rsidRDefault="000F7641" w:rsidP="00047411">
      <w:pPr>
        <w:widowControl w:val="0"/>
        <w:jc w:val="both"/>
        <w:rPr>
          <w:rFonts w:ascii="Times New Roman" w:hAnsi="Times New Roman" w:cs="Times New Roman"/>
          <w:color w:val="000000" w:themeColor="text1"/>
        </w:rPr>
      </w:pPr>
      <w:r w:rsidRPr="00CC7883">
        <w:rPr>
          <w:rFonts w:ascii="Times New Roman" w:hAnsi="Times New Roman" w:cs="Times New Roman"/>
          <w:color w:val="000000" w:themeColor="text1"/>
        </w:rPr>
        <w:t>Примітка: 1,2 – контроль 1, 2 (середні значення контролів всіх сортів); 3 –</w:t>
      </w:r>
      <w:r w:rsidR="00D466B4">
        <w:rPr>
          <w:rFonts w:ascii="Times New Roman" w:hAnsi="Times New Roman" w:cs="Times New Roman"/>
          <w:color w:val="000000" w:themeColor="text1"/>
        </w:rPr>
        <w:t xml:space="preserve"> </w:t>
      </w:r>
      <w:r w:rsidRPr="00CC7883">
        <w:rPr>
          <w:rFonts w:ascii="Times New Roman" w:hAnsi="Times New Roman" w:cs="Times New Roman"/>
          <w:color w:val="000000" w:themeColor="text1"/>
        </w:rPr>
        <w:t>«Добриня»; 4 – «Гарант»; 5 – «Ярило»; 6 – «Загрей».</w:t>
      </w:r>
    </w:p>
    <w:p w:rsidR="00A1090D" w:rsidRPr="00CC7883" w:rsidRDefault="00A1090D" w:rsidP="00047411">
      <w:pPr>
        <w:widowControl w:val="0"/>
        <w:spacing w:line="360" w:lineRule="auto"/>
        <w:jc w:val="both"/>
        <w:rPr>
          <w:rFonts w:ascii="Times New Roman" w:hAnsi="Times New Roman" w:cs="Times New Roman"/>
          <w:color w:val="000000" w:themeColor="text1"/>
        </w:rPr>
      </w:pPr>
    </w:p>
    <w:p w:rsidR="007C4F1A" w:rsidRDefault="007C4F1A" w:rsidP="00047411">
      <w:pPr>
        <w:widowControl w:val="0"/>
        <w:spacing w:line="360" w:lineRule="auto"/>
        <w:jc w:val="center"/>
        <w:rPr>
          <w:rFonts w:ascii="Times New Roman" w:hAnsi="Times New Roman" w:cs="Times New Roman"/>
          <w:color w:val="000000" w:themeColor="text1"/>
        </w:rPr>
      </w:pPr>
    </w:p>
    <w:p w:rsidR="002D7A70" w:rsidRPr="00CC7883" w:rsidRDefault="002D7A70" w:rsidP="00047411">
      <w:pPr>
        <w:widowControl w:val="0"/>
        <w:spacing w:line="360" w:lineRule="auto"/>
        <w:jc w:val="center"/>
        <w:rPr>
          <w:rFonts w:ascii="Times New Roman" w:hAnsi="Times New Roman" w:cs="Times New Roman"/>
          <w:color w:val="000000" w:themeColor="text1"/>
        </w:rPr>
        <w:sectPr w:rsidR="002D7A70" w:rsidRPr="00CC7883" w:rsidSect="004F7772">
          <w:headerReference w:type="default" r:id="rId153"/>
          <w:footerReference w:type="default" r:id="rId154"/>
          <w:pgSz w:w="16838" w:h="11906" w:orient="landscape" w:code="9"/>
          <w:pgMar w:top="1701" w:right="1134" w:bottom="851" w:left="1134" w:header="709" w:footer="709" w:gutter="0"/>
          <w:cols w:space="708"/>
          <w:docGrid w:linePitch="360"/>
        </w:sectPr>
      </w:pPr>
    </w:p>
    <w:p w:rsidR="002D7A70" w:rsidRDefault="002D7A70"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p>
    <w:p w:rsidR="002D7A70" w:rsidRDefault="002D7A70"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895975" cy="3179135"/>
            <wp:effectExtent l="19050" t="0" r="9525" b="2215"/>
            <wp:docPr id="101760895"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5"/>
              </a:graphicData>
            </a:graphic>
          </wp:inline>
        </w:drawing>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І</w:t>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24550" cy="3381153"/>
            <wp:effectExtent l="19050" t="0" r="19050" b="0"/>
            <wp:docPr id="1975490916"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6"/>
              </a:graphicData>
            </a:graphic>
          </wp:inline>
        </w:drawing>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ІІ</w:t>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Рис. 6.11. Формування продихового апарату нижнього епідермісу листків мікроклонів винограду </w:t>
      </w:r>
      <w:r w:rsidRPr="00CC7883">
        <w:rPr>
          <w:rFonts w:ascii="Times New Roman" w:hAnsi="Times New Roman" w:cs="Times New Roman"/>
          <w:bCs/>
          <w:color w:val="000000" w:themeColor="text1"/>
          <w:sz w:val="28"/>
          <w:szCs w:val="28"/>
        </w:rPr>
        <w:t>на</w:t>
      </w:r>
      <w:r w:rsidRPr="00CC7883">
        <w:rPr>
          <w:rFonts w:ascii="Times New Roman" w:hAnsi="Times New Roman" w:cs="Times New Roman"/>
          <w:color w:val="000000" w:themeColor="text1"/>
          <w:sz w:val="28"/>
          <w:szCs w:val="28"/>
        </w:rPr>
        <w:t xml:space="preserve"> мінеральному субстраті агроперліт + вермикуліт </w:t>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color w:val="000000" w:themeColor="text1"/>
          <w:szCs w:val="28"/>
        </w:rPr>
        <w:t xml:space="preserve">І </w:t>
      </w: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Cs w:val="28"/>
        </w:rPr>
        <w:t xml:space="preserve"> кількість продихів на 1 мм</w:t>
      </w:r>
      <w:r w:rsidRPr="00CC7883">
        <w:rPr>
          <w:rFonts w:ascii="Times New Roman" w:hAnsi="Times New Roman" w:cs="Times New Roman"/>
          <w:color w:val="000000" w:themeColor="text1"/>
          <w:szCs w:val="28"/>
          <w:vertAlign w:val="superscript"/>
        </w:rPr>
        <w:t>2</w:t>
      </w:r>
      <w:r w:rsidRPr="00CC7883">
        <w:rPr>
          <w:rFonts w:ascii="Times New Roman" w:hAnsi="Times New Roman" w:cs="Times New Roman"/>
          <w:color w:val="000000" w:themeColor="text1"/>
          <w:szCs w:val="28"/>
        </w:rPr>
        <w:t xml:space="preserve">; ІІ </w:t>
      </w:r>
      <w:r w:rsidRPr="00CC7883">
        <w:rPr>
          <w:rFonts w:ascii="Times New Roman" w:hAnsi="Times New Roman" w:cs="Times New Roman"/>
          <w:color w:val="000000" w:themeColor="text1"/>
          <w:sz w:val="28"/>
          <w:szCs w:val="28"/>
        </w:rPr>
        <w:t>–</w:t>
      </w:r>
      <w:r w:rsidR="00A21D55"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rPr>
        <w:t>загальна кількість продихів на листковій пластинці</w:t>
      </w:r>
    </w:p>
    <w:p w:rsidR="004E3E2C" w:rsidRPr="00CC7883" w:rsidRDefault="004E3E2C"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rPr>
      </w:pPr>
    </w:p>
    <w:p w:rsidR="000F7641" w:rsidRPr="00CC7883" w:rsidRDefault="000F7641" w:rsidP="00047411">
      <w:pPr>
        <w:pStyle w:val="Standard"/>
        <w:widowControl w:val="0"/>
        <w:tabs>
          <w:tab w:val="left" w:pos="3300"/>
        </w:tabs>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lastRenderedPageBreak/>
        <w:drawing>
          <wp:inline distT="0" distB="0" distL="0" distR="0">
            <wp:extent cx="5905500" cy="2857500"/>
            <wp:effectExtent l="19050" t="0" r="19050" b="0"/>
            <wp:docPr id="7984856"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7"/>
              </a:graphicData>
            </a:graphic>
          </wp:inline>
        </w:drawing>
      </w:r>
    </w:p>
    <w:p w:rsidR="000F7641" w:rsidRPr="00CC7883" w:rsidRDefault="000F7641" w:rsidP="00047411">
      <w:pPr>
        <w:pStyle w:val="Standard"/>
        <w:widowControl w:val="0"/>
        <w:tabs>
          <w:tab w:val="left" w:pos="3300"/>
        </w:tabs>
        <w:suppressAutoHyphens w:val="0"/>
        <w:spacing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І</w:t>
      </w:r>
    </w:p>
    <w:p w:rsidR="000F7641" w:rsidRPr="00CC7883" w:rsidRDefault="000F7641" w:rsidP="00047411">
      <w:pPr>
        <w:pStyle w:val="Standard"/>
        <w:widowControl w:val="0"/>
        <w:tabs>
          <w:tab w:val="left" w:pos="3300"/>
        </w:tabs>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895975" cy="2857500"/>
            <wp:effectExtent l="19050" t="0" r="9525" b="0"/>
            <wp:docPr id="1644211898"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1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8"/>
              </a:graphicData>
            </a:graphic>
          </wp:inline>
        </w:drawing>
      </w:r>
    </w:p>
    <w:p w:rsidR="000F7641" w:rsidRPr="00CC7883" w:rsidRDefault="000F7641" w:rsidP="00047411">
      <w:pPr>
        <w:pStyle w:val="Standard"/>
        <w:widowControl w:val="0"/>
        <w:tabs>
          <w:tab w:val="left" w:pos="3300"/>
        </w:tabs>
        <w:suppressAutoHyphens w:val="0"/>
        <w:spacing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ІІ</w:t>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Рис. 6.12. Довжина і ширина продихів нижнього епідермісу листків мікроклонів винограду на мінеральному субстраті агроперліт + вермикуліт </w:t>
      </w:r>
    </w:p>
    <w:p w:rsidR="002D7A70" w:rsidRDefault="000F7641" w:rsidP="00047411">
      <w:pPr>
        <w:pStyle w:val="Standard"/>
        <w:widowControl w:val="0"/>
        <w:suppressAutoHyphens w:val="0"/>
        <w:spacing w:line="360" w:lineRule="auto"/>
        <w:jc w:val="center"/>
        <w:rPr>
          <w:rFonts w:ascii="Times New Roman" w:hAnsi="Times New Roman" w:cs="Times New Roman"/>
          <w:color w:val="000000" w:themeColor="text1"/>
          <w:szCs w:val="28"/>
        </w:rPr>
      </w:pPr>
      <w:r w:rsidRPr="00CC7883">
        <w:rPr>
          <w:rFonts w:ascii="Times New Roman" w:hAnsi="Times New Roman" w:cs="Times New Roman"/>
          <w:color w:val="000000" w:themeColor="text1"/>
          <w:szCs w:val="28"/>
        </w:rPr>
        <w:t>І – довжина продихів; ІІ – ширина продихів</w:t>
      </w:r>
    </w:p>
    <w:p w:rsidR="002D7A70" w:rsidRPr="002D7A70" w:rsidRDefault="002D7A70" w:rsidP="002D7A70">
      <w:pPr>
        <w:rPr>
          <w:lang w:eastAsia="zh-CN" w:bidi="hi-IN"/>
        </w:rPr>
      </w:pPr>
    </w:p>
    <w:p w:rsidR="002D7A70" w:rsidRPr="00CC7883" w:rsidRDefault="002D7A70" w:rsidP="002D7A70">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i/>
          <w:color w:val="000000" w:themeColor="text1"/>
          <w:sz w:val="28"/>
          <w:szCs w:val="28"/>
        </w:rPr>
        <w:t>Ширина замикаючих клітин продихів</w:t>
      </w:r>
      <w:r w:rsidRPr="00CC7883">
        <w:rPr>
          <w:rFonts w:ascii="Times New Roman" w:hAnsi="Times New Roman" w:cs="Times New Roman"/>
          <w:color w:val="000000" w:themeColor="text1"/>
          <w:sz w:val="28"/>
          <w:szCs w:val="28"/>
        </w:rPr>
        <w:t xml:space="preserve">. Після перенесення мікроклонів винограду в умови </w:t>
      </w:r>
      <w:r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цей показник дорівнював 5,1–5,5 мкм, і це було більше відносно контролю на 14,3–31,0 % (рис.</w:t>
      </w:r>
      <w:r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 xml:space="preserve">6.13). </w:t>
      </w:r>
    </w:p>
    <w:p w:rsidR="002D7A70" w:rsidRPr="00CC7883" w:rsidRDefault="002D7A70" w:rsidP="002D7A70">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 xml:space="preserve">Встановлені зміни свідчать про формування клітин з більшою </w:t>
      </w:r>
      <w:r>
        <w:rPr>
          <w:rFonts w:ascii="Times New Roman" w:hAnsi="Times New Roman" w:cs="Times New Roman"/>
          <w:color w:val="000000" w:themeColor="text1"/>
          <w:sz w:val="28"/>
          <w:szCs w:val="28"/>
        </w:rPr>
        <w:t>шириною</w:t>
      </w:r>
      <w:r w:rsidRPr="00CC7883">
        <w:rPr>
          <w:rFonts w:ascii="Times New Roman" w:hAnsi="Times New Roman" w:cs="Times New Roman"/>
          <w:color w:val="000000" w:themeColor="text1"/>
          <w:sz w:val="28"/>
          <w:szCs w:val="28"/>
        </w:rPr>
        <w:t xml:space="preserve">, що підвищує їхню механічну міцність та сприяє ефективнішому </w:t>
      </w:r>
    </w:p>
    <w:p w:rsidR="000F7641" w:rsidRPr="002D7A70" w:rsidRDefault="000F7641" w:rsidP="002D7A70">
      <w:pPr>
        <w:rPr>
          <w:lang w:eastAsia="zh-CN" w:bidi="hi-IN"/>
        </w:rPr>
      </w:pP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895975" cy="2755075"/>
            <wp:effectExtent l="19050" t="0" r="9525" b="7175"/>
            <wp:docPr id="619984019"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9"/>
              </a:graphicData>
            </a:graphic>
          </wp:inline>
        </w:drawing>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Рис. 6.13. Ширина замикаючих клітин продихів нижнього епідермісу листків мікроклонів винограду на мінеральному субстраті агроперліт + вермикуліт </w:t>
      </w:r>
    </w:p>
    <w:p w:rsidR="000F7641"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p>
    <w:p w:rsidR="002D7A70" w:rsidRPr="00CC7883" w:rsidRDefault="002D7A70" w:rsidP="00AE66F4">
      <w:pPr>
        <w:pStyle w:val="Standard"/>
        <w:widowControl w:val="0"/>
        <w:suppressAutoHyphens w:val="0"/>
        <w:spacing w:line="360" w:lineRule="auto"/>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змиканню продихової щілини. Така перебудова має адаптивний характер і вказує на вдосконалення роботи продихового апарату при переході рослин до ґрунтових умов.</w:t>
      </w:r>
    </w:p>
    <w:p w:rsidR="002D7A70" w:rsidRDefault="002D7A70" w:rsidP="002D7A70">
      <w:pPr>
        <w:pStyle w:val="Standard"/>
        <w:widowControl w:val="0"/>
        <w:suppressAutoHyphens w:val="0"/>
        <w:spacing w:line="360" w:lineRule="auto"/>
        <w:ind w:firstLine="709"/>
        <w:jc w:val="both"/>
        <w:rPr>
          <w:rFonts w:ascii="Times New Roman" w:hAnsi="Times New Roman" w:cs="Times New Roman"/>
          <w:i/>
          <w:color w:val="000000" w:themeColor="text1"/>
          <w:sz w:val="28"/>
          <w:szCs w:val="28"/>
        </w:rPr>
      </w:pPr>
      <w:r w:rsidRPr="00CC7883">
        <w:rPr>
          <w:rFonts w:ascii="Times New Roman" w:hAnsi="Times New Roman" w:cs="Times New Roman"/>
          <w:i/>
          <w:color w:val="000000" w:themeColor="text1"/>
          <w:sz w:val="28"/>
          <w:szCs w:val="28"/>
        </w:rPr>
        <w:t>Ширина продихової щілини продих</w:t>
      </w:r>
      <w:r>
        <w:rPr>
          <w:rFonts w:ascii="Times New Roman" w:hAnsi="Times New Roman" w:cs="Times New Roman"/>
          <w:i/>
          <w:color w:val="000000" w:themeColor="text1"/>
          <w:sz w:val="28"/>
          <w:szCs w:val="28"/>
        </w:rPr>
        <w:t>ового апарату</w:t>
      </w:r>
      <w:r w:rsidRPr="00CC7883">
        <w:rPr>
          <w:rFonts w:ascii="Times New Roman" w:hAnsi="Times New Roman" w:cs="Times New Roman"/>
          <w:color w:val="000000" w:themeColor="text1"/>
          <w:sz w:val="28"/>
          <w:szCs w:val="28"/>
        </w:rPr>
        <w:t>. У мікроклонів, що культивували на поживному середовищі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ширина продихової щілини була на рівні 10,3</w:t>
      </w:r>
      <w:r>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мкм (рис.</w:t>
      </w:r>
      <w:r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6.14).</w:t>
      </w:r>
    </w:p>
    <w:p w:rsidR="000F7641" w:rsidRPr="00CC7883" w:rsidRDefault="000F7641" w:rsidP="00047411">
      <w:pPr>
        <w:pStyle w:val="Standard"/>
        <w:widowControl w:val="0"/>
        <w:suppressAutoHyphens w:val="0"/>
        <w:spacing w:line="360" w:lineRule="auto"/>
        <w:jc w:val="both"/>
        <w:rPr>
          <w:rFonts w:ascii="Times New Roman" w:hAnsi="Times New Roman" w:cs="Times New Roman"/>
          <w:color w:val="000000" w:themeColor="text1"/>
        </w:rPr>
      </w:pPr>
      <w:r w:rsidRPr="00CC7883">
        <w:rPr>
          <w:rFonts w:ascii="Times New Roman" w:hAnsi="Times New Roman" w:cs="Times New Roman"/>
          <w:noProof/>
          <w:color w:val="000000" w:themeColor="text1"/>
          <w:lang w:val="ru-RU" w:eastAsia="ru-RU" w:bidi="ar-SA"/>
        </w:rPr>
        <w:drawing>
          <wp:inline distT="0" distB="0" distL="0" distR="0">
            <wp:extent cx="5923313" cy="2303813"/>
            <wp:effectExtent l="19050" t="0" r="20287" b="1237"/>
            <wp:docPr id="339971430" name="Діаграма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0"/>
              </a:graphicData>
            </a:graphic>
          </wp:inline>
        </w:drawing>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Рис. 6.14. Ширина продихової щілини продих</w:t>
      </w:r>
      <w:r w:rsidR="00DB68A3">
        <w:rPr>
          <w:rFonts w:ascii="Times New Roman" w:hAnsi="Times New Roman" w:cs="Times New Roman"/>
          <w:color w:val="000000" w:themeColor="text1"/>
          <w:sz w:val="28"/>
          <w:szCs w:val="28"/>
        </w:rPr>
        <w:t>ового апарату</w:t>
      </w:r>
      <w:r w:rsidRPr="00CC7883">
        <w:rPr>
          <w:rFonts w:ascii="Times New Roman" w:hAnsi="Times New Roman" w:cs="Times New Roman"/>
          <w:color w:val="000000" w:themeColor="text1"/>
          <w:sz w:val="28"/>
          <w:szCs w:val="28"/>
        </w:rPr>
        <w:t xml:space="preserve"> нижнього епідермісу листків мікроклонів винограду на мінеральному субстраті агроперліт + вермикуліт </w:t>
      </w:r>
    </w:p>
    <w:p w:rsidR="00AE66F4" w:rsidRPr="00CC7883" w:rsidRDefault="00AE66F4" w:rsidP="00AE66F4">
      <w:pPr>
        <w:pStyle w:val="Standard"/>
        <w:widowControl w:val="0"/>
        <w:suppressAutoHyphens w:val="0"/>
        <w:spacing w:line="360" w:lineRule="auto"/>
        <w:ind w:right="140" w:firstLine="709"/>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lastRenderedPageBreak/>
        <w:t xml:space="preserve">Після перенесення рослин винограду до умов </w:t>
      </w:r>
      <w:r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спостерігалося істотне зменшення цього показника до 1,4–3,5 мкм, тобто </w:t>
      </w:r>
      <w:r>
        <w:rPr>
          <w:rFonts w:ascii="Times New Roman" w:hAnsi="Times New Roman" w:cs="Times New Roman"/>
          <w:color w:val="000000" w:themeColor="text1"/>
          <w:sz w:val="28"/>
          <w:szCs w:val="28"/>
        </w:rPr>
        <w:t>відносно</w:t>
      </w:r>
      <w:r w:rsidRPr="00CC7883">
        <w:rPr>
          <w:rFonts w:ascii="Times New Roman" w:hAnsi="Times New Roman" w:cs="Times New Roman"/>
          <w:color w:val="000000" w:themeColor="text1"/>
          <w:sz w:val="28"/>
          <w:szCs w:val="28"/>
        </w:rPr>
        <w:t xml:space="preserve"> контролю відзначали її зменшення на 66,1–86,2 %. Така тенденція свідчить про суттєве посилення здатності замикаючих клітин контролювати ступінь відкриття продихів. Зменшення ширини продихової щілини можна трактувати як ключовий анатомічний механізм адаптації, що забезпечує більш жорсткий контроль за транспірацією та оптимізує водний режим рослин під час переходу від умов </w:t>
      </w:r>
      <w:r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до </w:t>
      </w:r>
      <w:r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rPr>
      </w:pPr>
      <w:r w:rsidRPr="00CC7883">
        <w:rPr>
          <w:rFonts w:ascii="Times New Roman" w:hAnsi="Times New Roman" w:cs="Times New Roman"/>
          <w:i/>
          <w:color w:val="000000" w:themeColor="text1"/>
          <w:sz w:val="28"/>
          <w:szCs w:val="28"/>
        </w:rPr>
        <w:t>Площа продихів</w:t>
      </w:r>
      <w:r w:rsidRPr="00CC7883">
        <w:rPr>
          <w:rFonts w:ascii="Times New Roman" w:hAnsi="Times New Roman" w:cs="Times New Roman"/>
          <w:color w:val="000000" w:themeColor="text1"/>
          <w:sz w:val="28"/>
          <w:szCs w:val="28"/>
        </w:rPr>
        <w:t>. У контрольних варіантах (</w:t>
      </w:r>
      <w:r w:rsidR="001221F9"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площа продихів становила </w:t>
      </w:r>
      <w:r w:rsidR="00BB5568" w:rsidRPr="00CC7883">
        <w:rPr>
          <w:rFonts w:ascii="Times New Roman" w:hAnsi="Times New Roman" w:cs="Times New Roman"/>
          <w:color w:val="000000" w:themeColor="text1"/>
          <w:sz w:val="28"/>
          <w:szCs w:val="28"/>
        </w:rPr>
        <w:t>336,3</w:t>
      </w:r>
      <w:r w:rsidRPr="00CC7883">
        <w:rPr>
          <w:rFonts w:ascii="Times New Roman" w:hAnsi="Times New Roman" w:cs="Times New Roman"/>
          <w:color w:val="000000" w:themeColor="text1"/>
          <w:sz w:val="28"/>
          <w:szCs w:val="28"/>
        </w:rPr>
        <w:t>–</w:t>
      </w:r>
      <w:r w:rsidR="00BB5568" w:rsidRPr="00CC7883">
        <w:rPr>
          <w:rFonts w:ascii="Times New Roman" w:hAnsi="Times New Roman" w:cs="Times New Roman"/>
          <w:color w:val="000000" w:themeColor="text1"/>
          <w:sz w:val="28"/>
          <w:szCs w:val="28"/>
        </w:rPr>
        <w:t>340,0</w:t>
      </w:r>
      <w:r w:rsidRPr="00CC7883">
        <w:rPr>
          <w:rFonts w:ascii="Times New Roman" w:hAnsi="Times New Roman" w:cs="Times New Roman"/>
          <w:color w:val="000000" w:themeColor="text1"/>
          <w:sz w:val="28"/>
          <w:szCs w:val="28"/>
        </w:rPr>
        <w:t xml:space="preserve">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 xml:space="preserve"> (</w:t>
      </w:r>
      <w:r w:rsidR="00356530" w:rsidRPr="00CC7883">
        <w:rPr>
          <w:rFonts w:ascii="Times New Roman" w:hAnsi="Times New Roman" w:cs="Times New Roman"/>
          <w:color w:val="000000" w:themeColor="text1"/>
          <w:sz w:val="28"/>
          <w:szCs w:val="28"/>
        </w:rPr>
        <w:t>рис.</w:t>
      </w:r>
      <w:r w:rsidR="00356530"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 xml:space="preserve">6.15). </w:t>
      </w:r>
    </w:p>
    <w:p w:rsidR="000F7641" w:rsidRPr="00CC7883" w:rsidRDefault="002200DD" w:rsidP="00047411">
      <w:pPr>
        <w:pStyle w:val="Standard"/>
        <w:widowControl w:val="0"/>
        <w:suppressAutoHyphens w:val="0"/>
        <w:spacing w:line="360" w:lineRule="auto"/>
        <w:jc w:val="both"/>
        <w:rPr>
          <w:rFonts w:ascii="Times New Roman" w:hAnsi="Times New Roman" w:cs="Times New Roman"/>
          <w:color w:val="000000" w:themeColor="text1"/>
        </w:rPr>
      </w:pPr>
      <w:r w:rsidRPr="00CC7883">
        <w:rPr>
          <w:noProof/>
          <w:color w:val="000000" w:themeColor="text1"/>
          <w:lang w:val="ru-RU" w:eastAsia="ru-RU" w:bidi="ar-SA"/>
        </w:rPr>
        <w:drawing>
          <wp:inline distT="0" distB="0" distL="0" distR="0">
            <wp:extent cx="5916328" cy="2904375"/>
            <wp:effectExtent l="19050" t="0" r="27272" b="0"/>
            <wp:docPr id="537076806" name="Диаграмма 53707680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16="http://schemas.microsoft.com/office/drawing/2014/main" xmlns:arto="http://schemas.microsoft.com/office/word/2006/arto"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0000000-0008-0000-04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1"/>
              </a:graphicData>
            </a:graphic>
          </wp:inline>
        </w:drawing>
      </w:r>
    </w:p>
    <w:p w:rsidR="000F7641" w:rsidRPr="00CC7883" w:rsidRDefault="000F7641" w:rsidP="00047411">
      <w:pPr>
        <w:pStyle w:val="Standard"/>
        <w:widowControl w:val="0"/>
        <w:tabs>
          <w:tab w:val="left" w:pos="709"/>
          <w:tab w:val="left" w:pos="2694"/>
          <w:tab w:val="left" w:pos="3686"/>
        </w:tabs>
        <w:suppressAutoHyphens w:val="0"/>
        <w:spacing w:line="36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Рис. 6.15. Площа продихів нижнього епідермісу листків мікроклонів винограду на мінеральному субстраті агроперліт + вермикуліт </w:t>
      </w:r>
    </w:p>
    <w:p w:rsidR="000F7641" w:rsidRPr="00CC7883" w:rsidRDefault="000F7641" w:rsidP="00047411">
      <w:pPr>
        <w:pStyle w:val="Standard"/>
        <w:widowControl w:val="0"/>
        <w:suppressAutoHyphens w:val="0"/>
        <w:spacing w:line="360" w:lineRule="auto"/>
        <w:jc w:val="center"/>
        <w:rPr>
          <w:rFonts w:ascii="Times New Roman" w:hAnsi="Times New Roman" w:cs="Times New Roman"/>
          <w:color w:val="000000" w:themeColor="text1"/>
          <w:sz w:val="28"/>
          <w:szCs w:val="28"/>
        </w:rPr>
      </w:pPr>
    </w:p>
    <w:p w:rsidR="00AE66F4" w:rsidRPr="00CC7883" w:rsidRDefault="00AE66F4" w:rsidP="00AE66F4">
      <w:pPr>
        <w:pStyle w:val="Standard"/>
        <w:widowControl w:val="0"/>
        <w:suppressAutoHyphens w:val="0"/>
        <w:spacing w:line="360" w:lineRule="auto"/>
        <w:jc w:val="both"/>
        <w:rPr>
          <w:rFonts w:ascii="Times New Roman" w:hAnsi="Times New Roman" w:cs="Times New Roman"/>
          <w:color w:val="000000" w:themeColor="text1"/>
        </w:rPr>
      </w:pPr>
      <w:r w:rsidRPr="00CC7883">
        <w:rPr>
          <w:rFonts w:ascii="Times New Roman" w:hAnsi="Times New Roman" w:cs="Times New Roman"/>
          <w:color w:val="000000" w:themeColor="text1"/>
          <w:sz w:val="28"/>
          <w:szCs w:val="28"/>
        </w:rPr>
        <w:t xml:space="preserve">Після переведення рослин до умов </w:t>
      </w:r>
      <w:r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цей показник зменшувався майже удвічі, до рівня 173,8–187,2 мкм</w:t>
      </w:r>
      <w:r w:rsidRPr="00CC7883">
        <w:rPr>
          <w:rFonts w:ascii="Times New Roman" w:hAnsi="Times New Roman" w:cs="Times New Roman"/>
          <w:color w:val="000000" w:themeColor="text1"/>
          <w:sz w:val="28"/>
          <w:szCs w:val="28"/>
          <w:vertAlign w:val="superscript"/>
        </w:rPr>
        <w:t>2</w:t>
      </w:r>
      <w:r w:rsidRPr="00CC7883">
        <w:rPr>
          <w:rFonts w:ascii="Times New Roman" w:hAnsi="Times New Roman" w:cs="Times New Roman"/>
          <w:color w:val="000000" w:themeColor="text1"/>
          <w:sz w:val="28"/>
          <w:szCs w:val="28"/>
        </w:rPr>
        <w:t>.</w:t>
      </w:r>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Отримані дані свідчать, що зменшення площі продиху є наслідком формування дрібніших та щільніших продихів, які характерні для листків рослин, адаптованих до умов </w:t>
      </w:r>
      <w:r w:rsidR="001221F9" w:rsidRPr="00CC7883">
        <w:rPr>
          <w:rFonts w:ascii="Times New Roman" w:hAnsi="Times New Roman" w:cs="Times New Roman"/>
          <w:i/>
          <w:color w:val="000000" w:themeColor="text1"/>
          <w:sz w:val="28"/>
          <w:szCs w:val="28"/>
        </w:rPr>
        <w:t>in vivo</w:t>
      </w:r>
      <w:r w:rsidRPr="00CC7883">
        <w:rPr>
          <w:rFonts w:ascii="Times New Roman" w:hAnsi="Times New Roman" w:cs="Times New Roman"/>
          <w:color w:val="000000" w:themeColor="text1"/>
          <w:sz w:val="28"/>
          <w:szCs w:val="28"/>
        </w:rPr>
        <w:t xml:space="preserve">. Така перебудова підвищує ефективність регуляції газообміну і транспірації, що розглядається як ключовий механізм загартування мікроклонів винограду після виходу з умов </w:t>
      </w:r>
      <w:r w:rsidR="001221F9"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w:t>
      </w:r>
    </w:p>
    <w:p w:rsidR="000F7641" w:rsidRPr="00CC7883" w:rsidRDefault="000F7641" w:rsidP="00047411">
      <w:pPr>
        <w:pStyle w:val="Standard"/>
        <w:widowControl w:val="0"/>
        <w:suppressAutoHyphens w:val="0"/>
        <w:spacing w:line="360" w:lineRule="auto"/>
        <w:ind w:firstLine="709"/>
        <w:jc w:val="both"/>
        <w:outlineLvl w:val="1"/>
        <w:rPr>
          <w:rFonts w:ascii="Times New Roman" w:hAnsi="Times New Roman" w:cs="Times New Roman"/>
          <w:b/>
          <w:bCs/>
          <w:color w:val="000000" w:themeColor="text1"/>
          <w:sz w:val="28"/>
          <w:szCs w:val="28"/>
        </w:rPr>
      </w:pPr>
      <w:bookmarkStart w:id="106" w:name="_Toc220058954"/>
      <w:r w:rsidRPr="00CC7883">
        <w:rPr>
          <w:rFonts w:ascii="Times New Roman" w:hAnsi="Times New Roman" w:cs="Times New Roman"/>
          <w:b/>
          <w:bCs/>
          <w:color w:val="000000" w:themeColor="text1"/>
          <w:sz w:val="28"/>
          <w:szCs w:val="28"/>
        </w:rPr>
        <w:lastRenderedPageBreak/>
        <w:t>Висновки до розділу 6</w:t>
      </w:r>
      <w:bookmarkEnd w:id="106"/>
    </w:p>
    <w:p w:rsidR="000F7641" w:rsidRPr="00CC7883" w:rsidRDefault="000F7641" w:rsidP="00047411">
      <w:pPr>
        <w:widowControl w:val="0"/>
        <w:spacing w:after="0" w:line="360" w:lineRule="auto"/>
        <w:jc w:val="center"/>
        <w:rPr>
          <w:rFonts w:ascii="Times New Roman" w:hAnsi="Times New Roman" w:cs="Times New Roman"/>
          <w:color w:val="000000" w:themeColor="text1"/>
          <w:kern w:val="0"/>
          <w:sz w:val="28"/>
          <w:szCs w:val="28"/>
        </w:rPr>
      </w:pPr>
    </w:p>
    <w:p w:rsidR="000F7641" w:rsidRPr="00CC7883" w:rsidRDefault="000F7641" w:rsidP="00047411">
      <w:pPr>
        <w:pStyle w:val="a7"/>
        <w:widowControl w:val="0"/>
        <w:numPr>
          <w:ilvl w:val="0"/>
          <w:numId w:val="46"/>
        </w:numPr>
        <w:spacing w:after="0" w:line="360" w:lineRule="auto"/>
        <w:ind w:left="0" w:firstLine="0"/>
        <w:jc w:val="both"/>
        <w:rPr>
          <w:rFonts w:ascii="Times New Roman" w:hAnsi="Times New Roman" w:cs="Times New Roman"/>
          <w:color w:val="000000" w:themeColor="text1"/>
          <w:kern w:val="0"/>
          <w:sz w:val="28"/>
          <w:szCs w:val="28"/>
        </w:rPr>
      </w:pPr>
      <w:r w:rsidRPr="00CC7883">
        <w:rPr>
          <w:rFonts w:ascii="Times New Roman" w:eastAsia="Times New Roman" w:hAnsi="Times New Roman" w:cs="Times New Roman"/>
          <w:color w:val="000000" w:themeColor="text1"/>
          <w:kern w:val="0"/>
          <w:sz w:val="28"/>
          <w:szCs w:val="28"/>
          <w:lang w:eastAsia="ru-RU"/>
        </w:rPr>
        <w:t xml:space="preserve">Формування продихового апарату мікроклональних рослин винограду має важливе значення з точки зору переведення мікроклонів з контрольованих умов </w:t>
      </w:r>
      <w:r w:rsidRPr="00CC7883">
        <w:rPr>
          <w:rFonts w:ascii="Times New Roman" w:eastAsia="Times New Roman" w:hAnsi="Times New Roman" w:cs="Times New Roman"/>
          <w:i/>
          <w:color w:val="000000" w:themeColor="text1"/>
          <w:kern w:val="0"/>
          <w:sz w:val="28"/>
          <w:szCs w:val="28"/>
          <w:lang w:eastAsia="ru-RU"/>
        </w:rPr>
        <w:t>in vitro</w:t>
      </w:r>
      <w:r w:rsidRPr="00CC7883">
        <w:rPr>
          <w:rFonts w:ascii="Times New Roman" w:eastAsia="Times New Roman" w:hAnsi="Times New Roman" w:cs="Times New Roman"/>
          <w:color w:val="000000" w:themeColor="text1"/>
          <w:kern w:val="0"/>
          <w:sz w:val="28"/>
          <w:szCs w:val="28"/>
          <w:lang w:eastAsia="ru-RU"/>
        </w:rPr>
        <w:t xml:space="preserve"> в неконтрольовані умови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kern w:val="0"/>
          <w:sz w:val="28"/>
          <w:szCs w:val="28"/>
          <w:lang w:eastAsia="ru-RU"/>
        </w:rPr>
        <w:t>, оскільки саме від стану продихів залежить здатність рослини регулювати транспірацію, підтримувати водний баланс та забезпечувати ефективний газообмін під час адаптації до більш стресових і мінливих умов зовнішнього середовища. На основі отриманих результатів встановлено, що основні показники, які характеризують його роботу (кількість продихів на 1 мм</w:t>
      </w:r>
      <w:r w:rsidRPr="00CC7883">
        <w:rPr>
          <w:rFonts w:ascii="Times New Roman" w:eastAsia="Times New Roman" w:hAnsi="Times New Roman" w:cs="Times New Roman"/>
          <w:color w:val="000000" w:themeColor="text1"/>
          <w:kern w:val="0"/>
          <w:sz w:val="28"/>
          <w:szCs w:val="28"/>
          <w:vertAlign w:val="superscript"/>
          <w:lang w:eastAsia="ru-RU"/>
        </w:rPr>
        <w:t>2</w:t>
      </w:r>
      <w:r w:rsidRPr="00CC7883">
        <w:rPr>
          <w:rFonts w:ascii="Times New Roman" w:eastAsia="Times New Roman" w:hAnsi="Times New Roman" w:cs="Times New Roman"/>
          <w:color w:val="000000" w:themeColor="text1"/>
          <w:kern w:val="0"/>
          <w:sz w:val="28"/>
          <w:szCs w:val="28"/>
          <w:lang w:eastAsia="ru-RU"/>
        </w:rPr>
        <w:t xml:space="preserve"> листкової пластинки, загальна кількість продихів на листкову пластинку, кількісні параметри продихів, ширина замикаючих клітин продихів, ширина продихової щілини, площа продихів)</w:t>
      </w:r>
      <w:r w:rsidR="004A07D2">
        <w:rPr>
          <w:rFonts w:ascii="Times New Roman" w:eastAsia="Times New Roman" w:hAnsi="Times New Roman" w:cs="Times New Roman"/>
          <w:color w:val="000000" w:themeColor="text1"/>
          <w:kern w:val="0"/>
          <w:sz w:val="28"/>
          <w:szCs w:val="28"/>
          <w:lang w:eastAsia="ru-RU"/>
        </w:rPr>
        <w:t>,</w:t>
      </w:r>
      <w:r w:rsidRPr="00CC7883">
        <w:rPr>
          <w:rFonts w:ascii="Times New Roman" w:eastAsia="Times New Roman" w:hAnsi="Times New Roman" w:cs="Times New Roman"/>
          <w:color w:val="000000" w:themeColor="text1"/>
          <w:kern w:val="0"/>
          <w:sz w:val="28"/>
          <w:szCs w:val="28"/>
          <w:lang w:eastAsia="ru-RU"/>
        </w:rPr>
        <w:t xml:space="preserve"> залежали від умов культивування, типів поживного середовища та субстратів.</w:t>
      </w:r>
    </w:p>
    <w:p w:rsidR="000F7641" w:rsidRPr="00CC7883" w:rsidRDefault="000F7641" w:rsidP="00047411">
      <w:pPr>
        <w:pStyle w:val="a7"/>
        <w:widowControl w:val="0"/>
        <w:numPr>
          <w:ilvl w:val="0"/>
          <w:numId w:val="46"/>
        </w:numPr>
        <w:spacing w:after="0" w:line="360" w:lineRule="auto"/>
        <w:ind w:left="0" w:firstLine="0"/>
        <w:jc w:val="both"/>
        <w:rPr>
          <w:rFonts w:ascii="Times New Roman" w:hAnsi="Times New Roman" w:cs="Times New Roman"/>
          <w:color w:val="000000" w:themeColor="text1"/>
          <w:kern w:val="0"/>
          <w:sz w:val="28"/>
          <w:szCs w:val="28"/>
        </w:rPr>
      </w:pPr>
      <w:r w:rsidRPr="00CC7883">
        <w:rPr>
          <w:rFonts w:ascii="Times New Roman" w:hAnsi="Times New Roman" w:cs="Times New Roman"/>
          <w:color w:val="000000" w:themeColor="text1"/>
          <w:kern w:val="0"/>
          <w:sz w:val="28"/>
          <w:szCs w:val="28"/>
        </w:rPr>
        <w:t>Загальна тенденція, яку було встановлено у процесі дослідження</w:t>
      </w:r>
      <w:r w:rsidR="00293D0F">
        <w:rPr>
          <w:rFonts w:ascii="Times New Roman" w:hAnsi="Times New Roman" w:cs="Times New Roman"/>
          <w:color w:val="000000" w:themeColor="text1"/>
          <w:kern w:val="0"/>
          <w:sz w:val="28"/>
          <w:szCs w:val="28"/>
        </w:rPr>
        <w:t>,</w:t>
      </w:r>
      <w:r w:rsidRPr="00CC7883">
        <w:rPr>
          <w:rFonts w:ascii="Times New Roman" w:hAnsi="Times New Roman" w:cs="Times New Roman"/>
          <w:color w:val="000000" w:themeColor="text1"/>
          <w:kern w:val="0"/>
          <w:sz w:val="28"/>
          <w:szCs w:val="28"/>
        </w:rPr>
        <w:t xml:space="preserve"> полягала у тому, що структуровані поживні середовища та мінеральні субстрати забезпечували інтенсивніше формування продихів, ніж стандартне поживне середовище MS, у т. ч. з високою концентрацією фітогормонів. Показано, що контрольні мікроклони винограду підщепних сортів мали 26,7–32,2 шт., а технічних – 23,0–25,0 шт. продихів на 1 мм² листкової пластинки; загальна кількість продихів на листковій пластинці змінювалася в межах 469,3–643,3 шт. у підщепних та 292,1–357,5 шт. у технічних сортів. </w:t>
      </w:r>
    </w:p>
    <w:p w:rsidR="000F7641" w:rsidRPr="00CC7883" w:rsidRDefault="000F7641" w:rsidP="00047411">
      <w:pPr>
        <w:widowControl w:val="0"/>
        <w:spacing w:after="0" w:line="360" w:lineRule="auto"/>
        <w:ind w:firstLine="709"/>
        <w:jc w:val="both"/>
        <w:rPr>
          <w:rFonts w:ascii="Times New Roman" w:hAnsi="Times New Roman" w:cs="Times New Roman"/>
          <w:color w:val="000000" w:themeColor="text1"/>
          <w:kern w:val="0"/>
          <w:sz w:val="28"/>
          <w:szCs w:val="28"/>
        </w:rPr>
      </w:pPr>
      <w:r w:rsidRPr="00CC7883">
        <w:rPr>
          <w:rFonts w:ascii="Times New Roman" w:hAnsi="Times New Roman" w:cs="Times New Roman"/>
          <w:color w:val="000000" w:themeColor="text1"/>
          <w:kern w:val="0"/>
          <w:sz w:val="28"/>
          <w:szCs w:val="28"/>
        </w:rPr>
        <w:t xml:space="preserve">Особливо вираженими були зміни даних показників у мікроклонів після культивування на структурованих поживних середовищах (сьомий–дванадцятий варіанти), де щільність продихів на одиницю площі листкової пластинки збільшувалась досить суттєво. Слід зазначити, що на структурованих поживних середовищах із меншим вмістом фітогормонів щільність утворення продихів була більшою порівняно з аналогічними варіантами, але з більшим вмістом фітогормонів у </w:t>
      </w:r>
      <w:r w:rsidR="00D9742A">
        <w:rPr>
          <w:rFonts w:ascii="Times New Roman" w:hAnsi="Times New Roman" w:cs="Times New Roman"/>
          <w:color w:val="000000" w:themeColor="text1"/>
          <w:kern w:val="0"/>
          <w:sz w:val="28"/>
          <w:szCs w:val="28"/>
        </w:rPr>
        <w:t xml:space="preserve">поживному середовищі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color w:val="000000" w:themeColor="text1"/>
          <w:kern w:val="0"/>
          <w:sz w:val="28"/>
          <w:szCs w:val="28"/>
        </w:rPr>
        <w:t xml:space="preserve">. Так, у мікроклональних рослин цих варіантів формувалось найбільше </w:t>
      </w:r>
      <w:r w:rsidRPr="00CC7883">
        <w:rPr>
          <w:rFonts w:ascii="Times New Roman" w:hAnsi="Times New Roman" w:cs="Times New Roman"/>
          <w:color w:val="000000" w:themeColor="text1"/>
          <w:kern w:val="0"/>
          <w:sz w:val="28"/>
          <w:szCs w:val="28"/>
        </w:rPr>
        <w:lastRenderedPageBreak/>
        <w:t xml:space="preserve">продихів: 32,4–46,0 шт. на 1 мм² у підщепних та 28,0–36,0 шт. у технічних сортів, загальна кількість продихів була у межах 690,1–1035,0 шт. і 462,0–704,0 шт. відповідно до сортів. Таке збільшення продихів на одиницю площі листка вважається адаптивним явищем, оскільки підсилює можливість регулювати газообмін у середовищах із неконтрольованою вологістю та температурним режимом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kern w:val="0"/>
          <w:sz w:val="28"/>
          <w:szCs w:val="28"/>
        </w:rPr>
        <w:t>. Також це свідчить про те, що за умов використання поживних середовищ з меншим фітогормональним навантаженням та більш насичених повітрям у рослин активізується розвиток епідермальних тканин, що є важливим механізмом підготовки до подальшої зміни середовища.</w:t>
      </w:r>
    </w:p>
    <w:p w:rsidR="000F7641" w:rsidRPr="00CC7883" w:rsidRDefault="000F7641" w:rsidP="00047411">
      <w:pPr>
        <w:widowControl w:val="0"/>
        <w:spacing w:after="0" w:line="360" w:lineRule="auto"/>
        <w:ind w:firstLine="709"/>
        <w:jc w:val="both"/>
        <w:rPr>
          <w:rFonts w:ascii="Times New Roman" w:hAnsi="Times New Roman" w:cs="Times New Roman"/>
          <w:color w:val="000000" w:themeColor="text1"/>
          <w:kern w:val="0"/>
          <w:sz w:val="28"/>
          <w:szCs w:val="28"/>
        </w:rPr>
      </w:pPr>
      <w:r w:rsidRPr="00CC7883">
        <w:rPr>
          <w:rFonts w:ascii="Times New Roman" w:hAnsi="Times New Roman" w:cs="Times New Roman"/>
          <w:color w:val="000000" w:themeColor="text1"/>
          <w:kern w:val="0"/>
          <w:sz w:val="28"/>
          <w:szCs w:val="28"/>
        </w:rPr>
        <w:t>Культивування мікроклонів винограду на мінеральних поживних субстратах (агроперліт, вермикуліт, їх суміші) супроводжувалось утворенням більшої кількості продихів на одиницю площі листкової пластинки (42,0–48,5</w:t>
      </w:r>
      <w:r w:rsidR="0057279A" w:rsidRPr="00CC7883">
        <w:rPr>
          <w:rFonts w:ascii="Times New Roman" w:hAnsi="Times New Roman" w:cs="Times New Roman"/>
          <w:color w:val="000000" w:themeColor="text1"/>
          <w:kern w:val="0"/>
          <w:sz w:val="28"/>
          <w:szCs w:val="28"/>
        </w:rPr>
        <w:t> </w:t>
      </w:r>
      <w:r w:rsidRPr="00CC7883">
        <w:rPr>
          <w:rFonts w:ascii="Times New Roman" w:hAnsi="Times New Roman" w:cs="Times New Roman"/>
          <w:color w:val="000000" w:themeColor="text1"/>
          <w:kern w:val="0"/>
          <w:sz w:val="28"/>
          <w:szCs w:val="28"/>
        </w:rPr>
        <w:t>шт. на 1 мм² у підщепних та 32,0–38,5 шт. у технічних сортів), проте одночасно призводило до зменшення загальної кількості продихів на листок внаслідок формування меншої за площею листкової пластинки. Така морфогенетична перебудова продихового апарату сприяла підвищеній здатності до регуляції транспіраційних процесів.</w:t>
      </w:r>
    </w:p>
    <w:p w:rsidR="000F7641" w:rsidRPr="00CC7883" w:rsidRDefault="000F7641" w:rsidP="00047411">
      <w:pPr>
        <w:widowControl w:val="0"/>
        <w:spacing w:after="0" w:line="360" w:lineRule="auto"/>
        <w:ind w:firstLine="709"/>
        <w:jc w:val="both"/>
        <w:rPr>
          <w:rFonts w:ascii="Times New Roman" w:hAnsi="Times New Roman" w:cs="Times New Roman"/>
          <w:color w:val="000000" w:themeColor="text1"/>
          <w:kern w:val="0"/>
          <w:sz w:val="28"/>
          <w:szCs w:val="28"/>
        </w:rPr>
      </w:pPr>
      <w:r w:rsidRPr="00CC7883">
        <w:rPr>
          <w:rFonts w:ascii="Times New Roman" w:hAnsi="Times New Roman" w:cs="Times New Roman"/>
          <w:color w:val="000000" w:themeColor="text1"/>
          <w:kern w:val="0"/>
          <w:sz w:val="28"/>
          <w:szCs w:val="28"/>
        </w:rPr>
        <w:t xml:space="preserve">Переведення мікроклонів винограду до умов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kern w:val="0"/>
          <w:sz w:val="28"/>
          <w:szCs w:val="28"/>
        </w:rPr>
        <w:t xml:space="preserve"> сприяло тому, що кількість продихів, як загальна, так і на одиницю площі листкової пластинки, збільшувалася в середньому у 1,5–2,0 раз</w:t>
      </w:r>
      <w:r w:rsidR="000F7714">
        <w:rPr>
          <w:rFonts w:ascii="Times New Roman" w:hAnsi="Times New Roman" w:cs="Times New Roman"/>
          <w:color w:val="000000" w:themeColor="text1"/>
          <w:kern w:val="0"/>
          <w:sz w:val="28"/>
          <w:szCs w:val="28"/>
        </w:rPr>
        <w:t>а</w:t>
      </w:r>
      <w:r w:rsidRPr="00CC7883">
        <w:rPr>
          <w:rFonts w:ascii="Times New Roman" w:hAnsi="Times New Roman" w:cs="Times New Roman"/>
          <w:color w:val="000000" w:themeColor="text1"/>
          <w:kern w:val="0"/>
          <w:sz w:val="28"/>
          <w:szCs w:val="28"/>
        </w:rPr>
        <w:t xml:space="preserve"> і 2,5–10,1 раз</w:t>
      </w:r>
      <w:r w:rsidR="000F7714">
        <w:rPr>
          <w:rFonts w:ascii="Times New Roman" w:hAnsi="Times New Roman" w:cs="Times New Roman"/>
          <w:color w:val="000000" w:themeColor="text1"/>
          <w:kern w:val="0"/>
          <w:sz w:val="28"/>
          <w:szCs w:val="28"/>
        </w:rPr>
        <w:t>а</w:t>
      </w:r>
      <w:r w:rsidRPr="00CC7883">
        <w:rPr>
          <w:rFonts w:ascii="Times New Roman" w:hAnsi="Times New Roman" w:cs="Times New Roman"/>
          <w:color w:val="000000" w:themeColor="text1"/>
          <w:kern w:val="0"/>
          <w:sz w:val="28"/>
          <w:szCs w:val="28"/>
        </w:rPr>
        <w:t xml:space="preserve"> порівняно з рослинами, що культивували </w:t>
      </w:r>
      <w:r w:rsidRPr="00CC7883">
        <w:rPr>
          <w:rFonts w:ascii="Times New Roman" w:hAnsi="Times New Roman" w:cs="Times New Roman"/>
          <w:i/>
          <w:color w:val="000000" w:themeColor="text1"/>
          <w:kern w:val="0"/>
          <w:sz w:val="28"/>
          <w:szCs w:val="28"/>
        </w:rPr>
        <w:t>in vitro</w:t>
      </w:r>
      <w:r w:rsidRPr="00CC7883">
        <w:rPr>
          <w:rFonts w:ascii="Times New Roman" w:hAnsi="Times New Roman" w:cs="Times New Roman"/>
          <w:color w:val="000000" w:themeColor="text1"/>
          <w:kern w:val="0"/>
          <w:sz w:val="28"/>
          <w:szCs w:val="28"/>
        </w:rPr>
        <w:t>. Це означає, що рослини за змінних умов довкілля активно перебудовують продиховий апарат у напрямку підвищення стійкості до абіотичних факторів.</w:t>
      </w:r>
    </w:p>
    <w:p w:rsidR="000F7641" w:rsidRPr="00CC7883" w:rsidRDefault="000F7641" w:rsidP="00047411">
      <w:pPr>
        <w:widowControl w:val="0"/>
        <w:numPr>
          <w:ilvl w:val="0"/>
          <w:numId w:val="46"/>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контрольних варіантах формувалися продихи середнього розміру, характерні для контрольованих умов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Довжина продихів у контрольних рослин підщепних сортів дорівнювала 24,0–24,9 мкм, у технічних – 23,3–24,2</w:t>
      </w:r>
      <w:r w:rsidR="0057279A"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мкм; ширина – 18,0–18,8 мкм і 17,1–17,8 мкм відповідно. Додавання до поживного середовища препарату Радіфарм сприяло помірному збільшенню розмірів продихів (довжина 25,8 мкм, </w:t>
      </w:r>
      <w:r w:rsidRPr="00CC7883">
        <w:rPr>
          <w:rFonts w:ascii="Times New Roman" w:hAnsi="Times New Roman" w:cs="Times New Roman"/>
          <w:color w:val="000000" w:themeColor="text1"/>
          <w:sz w:val="28"/>
          <w:szCs w:val="28"/>
        </w:rPr>
        <w:lastRenderedPageBreak/>
        <w:t>ширина 19,9 мкм у підщепних сортів та 24,7 мкм та 18,7 мкм відповідно у технічних сортів), що свідчить про активізацію ростових процесів; додавання препарату Clonex gel не дало очікуваного результату, розмірні характеристики продихів епідермісу листкової пластинки були меншими за контрольні.</w:t>
      </w:r>
    </w:p>
    <w:p w:rsidR="000F7641" w:rsidRPr="00CC7883" w:rsidRDefault="000F7641" w:rsidP="00047411">
      <w:pPr>
        <w:widowControl w:val="0"/>
        <w:spacing w:after="0" w:line="360" w:lineRule="auto"/>
        <w:ind w:firstLine="709"/>
        <w:jc w:val="both"/>
        <w:outlineLvl w:val="2"/>
        <w:rPr>
          <w:rFonts w:ascii="Times New Roman" w:hAnsi="Times New Roman" w:cs="Times New Roman"/>
          <w:color w:val="000000" w:themeColor="text1"/>
          <w:sz w:val="28"/>
          <w:szCs w:val="28"/>
        </w:rPr>
      </w:pPr>
      <w:bookmarkStart w:id="107" w:name="_Toc220058955"/>
      <w:r w:rsidRPr="00CC7883">
        <w:rPr>
          <w:rFonts w:ascii="Times New Roman" w:hAnsi="Times New Roman" w:cs="Times New Roman"/>
          <w:color w:val="000000" w:themeColor="text1"/>
          <w:sz w:val="28"/>
          <w:szCs w:val="28"/>
        </w:rPr>
        <w:t>Найбільші продихи формувалися у мікроклонів винограду після культивування на структурованих поживних середовищах, їх довжина і ширина досягали найбільших значень (27,0 мкм (довжина) та 21,5 мкм (ширина) у підщепних і відповідно 25,5 мкм та 20,1 мкм у технічних), незалежно від сорту. Ці показники перевищували контроль у середньому на 5,3–25,1 % у підщепних сортів та на 1,7–27,0 % у технічних сортів. Це потенційно забезпечує кращий газообмін</w:t>
      </w:r>
      <w:r w:rsidR="00D9742A">
        <w:rPr>
          <w:rFonts w:ascii="Times New Roman" w:hAnsi="Times New Roman" w:cs="Times New Roman"/>
          <w:color w:val="000000" w:themeColor="text1"/>
          <w:sz w:val="28"/>
          <w:szCs w:val="28"/>
        </w:rPr>
        <w:t xml:space="preserve"> і</w:t>
      </w:r>
      <w:r w:rsidRPr="00CC7883">
        <w:rPr>
          <w:rFonts w:ascii="Times New Roman" w:hAnsi="Times New Roman" w:cs="Times New Roman"/>
          <w:color w:val="000000" w:themeColor="text1"/>
          <w:sz w:val="28"/>
          <w:szCs w:val="28"/>
        </w:rPr>
        <w:t xml:space="preserve"> активність </w:t>
      </w:r>
      <w:r w:rsidR="00D9742A">
        <w:rPr>
          <w:rFonts w:ascii="Times New Roman" w:hAnsi="Times New Roman" w:cs="Times New Roman"/>
          <w:color w:val="000000" w:themeColor="text1"/>
          <w:sz w:val="28"/>
          <w:szCs w:val="28"/>
        </w:rPr>
        <w:t xml:space="preserve">продихового апарату </w:t>
      </w:r>
      <w:r w:rsidRPr="00CC7883">
        <w:rPr>
          <w:rFonts w:ascii="Times New Roman" w:hAnsi="Times New Roman" w:cs="Times New Roman"/>
          <w:color w:val="000000" w:themeColor="text1"/>
          <w:sz w:val="28"/>
          <w:szCs w:val="28"/>
        </w:rPr>
        <w:t xml:space="preserve">у контрольованих умовах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color w:val="000000" w:themeColor="text1"/>
          <w:sz w:val="28"/>
          <w:szCs w:val="28"/>
        </w:rPr>
        <w:t>, але робить рослини більш уразливими до водного стресу у подальшому.</w:t>
      </w:r>
      <w:bookmarkEnd w:id="107"/>
      <w:r w:rsidRPr="00CC7883">
        <w:rPr>
          <w:rFonts w:ascii="Times New Roman" w:hAnsi="Times New Roman" w:cs="Times New Roman"/>
          <w:color w:val="000000" w:themeColor="text1"/>
          <w:sz w:val="28"/>
          <w:szCs w:val="28"/>
        </w:rPr>
        <w:t xml:space="preserve"> </w:t>
      </w:r>
    </w:p>
    <w:p w:rsidR="000F7641" w:rsidRPr="00CC7883" w:rsidRDefault="000F7641" w:rsidP="00047411">
      <w:pPr>
        <w:widowControl w:val="0"/>
        <w:spacing w:after="0" w:line="360" w:lineRule="auto"/>
        <w:ind w:firstLine="709"/>
        <w:jc w:val="both"/>
        <w:outlineLvl w:val="2"/>
        <w:rPr>
          <w:rFonts w:ascii="Times New Roman" w:hAnsi="Times New Roman" w:cs="Times New Roman"/>
          <w:color w:val="000000" w:themeColor="text1"/>
          <w:sz w:val="28"/>
          <w:szCs w:val="28"/>
        </w:rPr>
      </w:pPr>
      <w:bookmarkStart w:id="108" w:name="_Toc220058956"/>
      <w:r w:rsidRPr="00CC7883">
        <w:rPr>
          <w:rFonts w:ascii="Times New Roman" w:hAnsi="Times New Roman" w:cs="Times New Roman"/>
          <w:color w:val="000000" w:themeColor="text1"/>
          <w:sz w:val="28"/>
          <w:szCs w:val="28"/>
        </w:rPr>
        <w:t xml:space="preserve">Після культивування мікроклонів винограду на мінеральних субстратах </w:t>
      </w:r>
      <w:r w:rsidR="004A07D2">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агроперліт, вермикуліт та їх суміші від</w:t>
      </w:r>
      <w:r w:rsidR="00703B24">
        <w:rPr>
          <w:rFonts w:ascii="Times New Roman" w:hAnsi="Times New Roman" w:cs="Times New Roman"/>
          <w:color w:val="000000" w:themeColor="text1"/>
          <w:sz w:val="28"/>
          <w:szCs w:val="28"/>
        </w:rPr>
        <w:t>значали</w:t>
      </w:r>
      <w:r w:rsidRPr="00CC7883">
        <w:rPr>
          <w:rFonts w:ascii="Times New Roman" w:hAnsi="Times New Roman" w:cs="Times New Roman"/>
          <w:color w:val="000000" w:themeColor="text1"/>
          <w:sz w:val="28"/>
          <w:szCs w:val="28"/>
        </w:rPr>
        <w:t xml:space="preserve"> чітке зменшення довжини та ширини продихів порівняно з контролем. У підщепних сортів («Добриня» та «Гарант») довжина продихів зменшувалася від 24,0–24,9 мкм – у контролі, до 21,6–22,4 мкм – на мінеральних субстратах (зменшення відносно контролю оцінювали у 7,9–12,1 %); ширина продихів зменшувалась від 17,1–18,5 мкм до 15,9–17,9 мкм (зменшення відносно контролю оцінювали у 2,2–13,1 %). У технічних сортів («Ярило» та «Загрей») було встановлено аналогічну закономірність. Зменшення морфометричних характеристик продихів було значним і достовірним для всіх сортів.</w:t>
      </w:r>
      <w:bookmarkEnd w:id="108"/>
      <w:r w:rsidRPr="00CC7883">
        <w:rPr>
          <w:rFonts w:ascii="Times New Roman" w:hAnsi="Times New Roman" w:cs="Times New Roman"/>
          <w:color w:val="000000" w:themeColor="text1"/>
          <w:sz w:val="28"/>
          <w:szCs w:val="28"/>
        </w:rPr>
        <w:t xml:space="preserve"> </w:t>
      </w:r>
    </w:p>
    <w:p w:rsidR="000F7641" w:rsidRPr="00CC7883" w:rsidRDefault="000F7641" w:rsidP="00047411">
      <w:pPr>
        <w:widowControl w:val="0"/>
        <w:spacing w:after="0" w:line="360" w:lineRule="auto"/>
        <w:ind w:firstLine="709"/>
        <w:jc w:val="both"/>
        <w:outlineLvl w:val="2"/>
        <w:rPr>
          <w:rFonts w:ascii="Times New Roman" w:hAnsi="Times New Roman" w:cs="Times New Roman"/>
          <w:color w:val="000000" w:themeColor="text1"/>
          <w:sz w:val="28"/>
          <w:szCs w:val="28"/>
        </w:rPr>
      </w:pPr>
      <w:bookmarkStart w:id="109" w:name="_Toc220058957"/>
      <w:r w:rsidRPr="00CC7883">
        <w:rPr>
          <w:rFonts w:ascii="Times New Roman" w:hAnsi="Times New Roman" w:cs="Times New Roman"/>
          <w:color w:val="000000" w:themeColor="text1"/>
          <w:sz w:val="28"/>
          <w:szCs w:val="28"/>
        </w:rPr>
        <w:t xml:space="preserve">Після переведення мікроклонів винограду у неконтрольовані умови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szCs w:val="28"/>
        </w:rPr>
        <w:t xml:space="preserve"> відзначали різку перебудову продихового апарату. Продихи характеризувалися значно меншими розмірами: їх довжина зменшувалась на 26,0–32,2 % (з 24,6–26,2 мкм до 17,8–18,2 мкм), ширина </w:t>
      </w:r>
      <w:r w:rsidR="004963F6"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на 29,3–41,1 % (з 18,5–21,1 мкм до 12,4–13,1 мкм).</w:t>
      </w:r>
      <w:bookmarkEnd w:id="109"/>
      <w:r w:rsidRPr="00CC7883">
        <w:rPr>
          <w:rFonts w:ascii="Times New Roman" w:hAnsi="Times New Roman" w:cs="Times New Roman"/>
          <w:color w:val="000000" w:themeColor="text1"/>
          <w:sz w:val="28"/>
          <w:szCs w:val="28"/>
        </w:rPr>
        <w:t xml:space="preserve"> </w:t>
      </w:r>
    </w:p>
    <w:p w:rsidR="000F7641" w:rsidRPr="00CC7883" w:rsidRDefault="000F7641" w:rsidP="00047411">
      <w:pPr>
        <w:widowControl w:val="0"/>
        <w:numPr>
          <w:ilvl w:val="0"/>
          <w:numId w:val="23"/>
        </w:numPr>
        <w:spacing w:after="0" w:line="360" w:lineRule="auto"/>
        <w:ind w:left="0" w:firstLine="0"/>
        <w:jc w:val="both"/>
        <w:outlineLvl w:val="2"/>
        <w:rPr>
          <w:rFonts w:ascii="Times New Roman" w:eastAsia="Times New Roman" w:hAnsi="Times New Roman" w:cs="Times New Roman"/>
          <w:bCs/>
          <w:color w:val="000000" w:themeColor="text1"/>
          <w:kern w:val="0"/>
          <w:sz w:val="28"/>
          <w:szCs w:val="28"/>
          <w:lang w:eastAsia="ru-RU"/>
        </w:rPr>
      </w:pPr>
      <w:bookmarkStart w:id="110" w:name="_Toc220058958"/>
      <w:r w:rsidRPr="00CC7883">
        <w:rPr>
          <w:rFonts w:ascii="Times New Roman" w:eastAsia="Times New Roman" w:hAnsi="Times New Roman" w:cs="Times New Roman"/>
          <w:bCs/>
          <w:color w:val="000000" w:themeColor="text1"/>
          <w:kern w:val="0"/>
          <w:sz w:val="28"/>
          <w:szCs w:val="28"/>
          <w:lang w:eastAsia="ru-RU"/>
        </w:rPr>
        <w:t xml:space="preserve">У мікроклонів винограду ширина замикаючих клітин продихів змінювалася залежно від умов культивування: у контрольних варіантах вона </w:t>
      </w:r>
      <w:r w:rsidRPr="00CC7883">
        <w:rPr>
          <w:rFonts w:ascii="Times New Roman" w:eastAsia="Times New Roman" w:hAnsi="Times New Roman" w:cs="Times New Roman"/>
          <w:bCs/>
          <w:color w:val="000000" w:themeColor="text1"/>
          <w:kern w:val="0"/>
          <w:sz w:val="28"/>
          <w:szCs w:val="28"/>
          <w:lang w:eastAsia="ru-RU"/>
        </w:rPr>
        <w:lastRenderedPageBreak/>
        <w:t>дорівнювала 4,0–4,8 мкм у підщепних сортів та 4,1–4,4 мкм у технічних.</w:t>
      </w:r>
      <w:r w:rsidR="006B21FC" w:rsidRPr="00CC7883">
        <w:rPr>
          <w:rFonts w:ascii="Times New Roman" w:eastAsia="Times New Roman" w:hAnsi="Times New Roman" w:cs="Times New Roman"/>
          <w:bCs/>
          <w:color w:val="000000" w:themeColor="text1"/>
          <w:kern w:val="0"/>
          <w:sz w:val="28"/>
          <w:szCs w:val="28"/>
          <w:lang w:eastAsia="ru-RU"/>
        </w:rPr>
        <w:t xml:space="preserve"> </w:t>
      </w:r>
      <w:r w:rsidRPr="00CC7883">
        <w:rPr>
          <w:rFonts w:ascii="Times New Roman" w:eastAsia="Times New Roman" w:hAnsi="Times New Roman" w:cs="Times New Roman"/>
          <w:bCs/>
          <w:color w:val="000000" w:themeColor="text1"/>
          <w:kern w:val="0"/>
          <w:sz w:val="28"/>
          <w:szCs w:val="28"/>
          <w:lang w:eastAsia="ru-RU"/>
        </w:rPr>
        <w:t>Застосування біологічно активних препаратів сприяло її збільшенню</w:t>
      </w:r>
      <w:r w:rsidR="00A21D55" w:rsidRPr="00CC7883">
        <w:rPr>
          <w:rFonts w:ascii="Times New Roman" w:eastAsia="Times New Roman" w:hAnsi="Times New Roman" w:cs="Times New Roman"/>
          <w:bCs/>
          <w:color w:val="000000" w:themeColor="text1"/>
          <w:kern w:val="0"/>
          <w:sz w:val="28"/>
          <w:szCs w:val="28"/>
          <w:lang w:eastAsia="ru-RU"/>
        </w:rPr>
        <w:t xml:space="preserve"> </w:t>
      </w:r>
      <w:r w:rsidRPr="00CC7883">
        <w:rPr>
          <w:rFonts w:ascii="Times New Roman" w:eastAsia="Times New Roman" w:hAnsi="Times New Roman" w:cs="Times New Roman"/>
          <w:bCs/>
          <w:color w:val="000000" w:themeColor="text1"/>
          <w:kern w:val="0"/>
          <w:sz w:val="28"/>
          <w:szCs w:val="28"/>
          <w:lang w:eastAsia="ru-RU"/>
        </w:rPr>
        <w:t>до 5,5 мкм.</w:t>
      </w:r>
      <w:r w:rsidR="00AC0FEB" w:rsidRPr="00CC7883">
        <w:rPr>
          <w:rFonts w:ascii="Times New Roman" w:eastAsia="Times New Roman" w:hAnsi="Times New Roman" w:cs="Times New Roman"/>
          <w:bCs/>
          <w:color w:val="000000" w:themeColor="text1"/>
          <w:kern w:val="0"/>
          <w:sz w:val="28"/>
          <w:szCs w:val="28"/>
          <w:lang w:eastAsia="ru-RU"/>
        </w:rPr>
        <w:t xml:space="preserve"> </w:t>
      </w:r>
      <w:r w:rsidRPr="00CC7883">
        <w:rPr>
          <w:rFonts w:ascii="Times New Roman" w:eastAsia="Times New Roman" w:hAnsi="Times New Roman" w:cs="Times New Roman"/>
          <w:bCs/>
          <w:color w:val="000000" w:themeColor="text1"/>
          <w:kern w:val="0"/>
          <w:sz w:val="28"/>
          <w:szCs w:val="28"/>
          <w:lang w:eastAsia="ru-RU"/>
        </w:rPr>
        <w:t xml:space="preserve">На структурованих поживних середовищах цей показник був меншим за контрольні значення на 2,5–38,8 %, проте у мікроклонів, які культивували на поживному середовищі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eastAsia="Times New Roman" w:hAnsi="Times New Roman" w:cs="Times New Roman"/>
          <w:bCs/>
          <w:color w:val="000000" w:themeColor="text1"/>
          <w:kern w:val="0"/>
          <w:sz w:val="28"/>
          <w:szCs w:val="28"/>
          <w:lang w:eastAsia="ru-RU"/>
        </w:rPr>
        <w:t xml:space="preserve"> із меншим вмістом фітогормонів</w:t>
      </w:r>
      <w:r w:rsidR="007B28E2">
        <w:rPr>
          <w:rFonts w:ascii="Times New Roman" w:eastAsia="Times New Roman" w:hAnsi="Times New Roman" w:cs="Times New Roman"/>
          <w:bCs/>
          <w:color w:val="000000" w:themeColor="text1"/>
          <w:kern w:val="0"/>
          <w:sz w:val="28"/>
          <w:szCs w:val="28"/>
          <w:lang w:eastAsia="ru-RU"/>
        </w:rPr>
        <w:t>,</w:t>
      </w:r>
      <w:r w:rsidRPr="00CC7883">
        <w:rPr>
          <w:rFonts w:ascii="Times New Roman" w:eastAsia="Times New Roman" w:hAnsi="Times New Roman" w:cs="Times New Roman"/>
          <w:bCs/>
          <w:color w:val="000000" w:themeColor="text1"/>
          <w:kern w:val="0"/>
          <w:sz w:val="28"/>
          <w:szCs w:val="28"/>
          <w:lang w:eastAsia="ru-RU"/>
        </w:rPr>
        <w:t xml:space="preserve"> формувалися замикаючі клітини з більшою шириною у середньому на 1,0–10,5 % (порівняно з варіантами, де поживні середовища містили більшу кількість фітогормонів). Використання у якості поживних середовищ мінеральних субстратів (агроперліт, вермикуліт та їх суміші) сприяло збільшенню ширин</w:t>
      </w:r>
      <w:r w:rsidR="00D9742A">
        <w:rPr>
          <w:rFonts w:ascii="Times New Roman" w:eastAsia="Times New Roman" w:hAnsi="Times New Roman" w:cs="Times New Roman"/>
          <w:bCs/>
          <w:color w:val="000000" w:themeColor="text1"/>
          <w:kern w:val="0"/>
          <w:sz w:val="28"/>
          <w:szCs w:val="28"/>
          <w:lang w:eastAsia="ru-RU"/>
        </w:rPr>
        <w:t>и</w:t>
      </w:r>
      <w:r w:rsidRPr="00CC7883">
        <w:rPr>
          <w:rFonts w:ascii="Times New Roman" w:eastAsia="Times New Roman" w:hAnsi="Times New Roman" w:cs="Times New Roman"/>
          <w:bCs/>
          <w:color w:val="000000" w:themeColor="text1"/>
          <w:kern w:val="0"/>
          <w:sz w:val="28"/>
          <w:szCs w:val="28"/>
          <w:lang w:eastAsia="ru-RU"/>
        </w:rPr>
        <w:t xml:space="preserve"> замикаючих клітин на 7,6–26,1 % порівняно з контролем. Після перенесення мікроклонів у ґрунтові умови цей показник збільшувався до 5,1–5,5 мкм, що на 9,9–26,0 % перевищувало контрольні значення.</w:t>
      </w:r>
      <w:bookmarkEnd w:id="110"/>
      <w:r w:rsidRPr="00CC7883">
        <w:rPr>
          <w:rFonts w:ascii="Times New Roman" w:eastAsia="Times New Roman" w:hAnsi="Times New Roman" w:cs="Times New Roman"/>
          <w:bCs/>
          <w:color w:val="000000" w:themeColor="text1"/>
          <w:kern w:val="0"/>
          <w:sz w:val="28"/>
          <w:szCs w:val="28"/>
          <w:lang w:eastAsia="ru-RU"/>
        </w:rPr>
        <w:t xml:space="preserve"> </w:t>
      </w:r>
    </w:p>
    <w:p w:rsidR="000F7641" w:rsidRPr="00CC7883" w:rsidRDefault="000F7641" w:rsidP="00047411">
      <w:pPr>
        <w:widowControl w:val="0"/>
        <w:numPr>
          <w:ilvl w:val="0"/>
          <w:numId w:val="23"/>
        </w:numPr>
        <w:spacing w:after="0" w:line="360" w:lineRule="auto"/>
        <w:ind w:left="0" w:firstLine="0"/>
        <w:contextualSpacing/>
        <w:jc w:val="both"/>
        <w:rPr>
          <w:rFonts w:ascii="Times New Roman" w:eastAsia="Times New Roman" w:hAnsi="Times New Roman" w:cs="Times New Roman"/>
          <w:color w:val="000000" w:themeColor="text1"/>
          <w:kern w:val="0"/>
          <w:sz w:val="28"/>
          <w:szCs w:val="28"/>
          <w:lang w:eastAsia="ru-RU"/>
        </w:rPr>
      </w:pPr>
      <w:r w:rsidRPr="00CC7883">
        <w:rPr>
          <w:rFonts w:ascii="Times New Roman" w:eastAsia="Times New Roman" w:hAnsi="Times New Roman" w:cs="Times New Roman"/>
          <w:color w:val="000000" w:themeColor="text1"/>
          <w:kern w:val="0"/>
          <w:sz w:val="28"/>
          <w:szCs w:val="28"/>
          <w:lang w:eastAsia="ru-RU"/>
        </w:rPr>
        <w:t>Ширина продихової щілини нижнього епідермісу листків мікроклонів винограду також є важливим показником функціонального стану продихового апарату рослин. На основі аналізу експериментальних результатів встановлено наступне. У мікроклонів контрольних варіант</w:t>
      </w:r>
      <w:r w:rsidR="005228CB">
        <w:rPr>
          <w:rFonts w:ascii="Times New Roman" w:eastAsia="Times New Roman" w:hAnsi="Times New Roman" w:cs="Times New Roman"/>
          <w:color w:val="000000" w:themeColor="text1"/>
          <w:kern w:val="0"/>
          <w:sz w:val="28"/>
          <w:szCs w:val="28"/>
          <w:lang w:eastAsia="ru-RU"/>
        </w:rPr>
        <w:t>ів</w:t>
      </w:r>
      <w:r w:rsidRPr="00CC7883">
        <w:rPr>
          <w:rFonts w:ascii="Times New Roman" w:eastAsia="Times New Roman" w:hAnsi="Times New Roman" w:cs="Times New Roman"/>
          <w:color w:val="000000" w:themeColor="text1"/>
          <w:kern w:val="0"/>
          <w:sz w:val="28"/>
          <w:szCs w:val="28"/>
          <w:lang w:eastAsia="ru-RU"/>
        </w:rPr>
        <w:t xml:space="preserve"> вона дорівнювала 10,0–10,5 мкм. Використання структурованих поживних середовищ із агроперлітом і вермикулітом сприяло збільшенню ширини продихової щілини продих</w:t>
      </w:r>
      <w:r w:rsidR="00572E8B">
        <w:rPr>
          <w:rFonts w:ascii="Times New Roman" w:eastAsia="Times New Roman" w:hAnsi="Times New Roman" w:cs="Times New Roman"/>
          <w:color w:val="000000" w:themeColor="text1"/>
          <w:kern w:val="0"/>
          <w:sz w:val="28"/>
          <w:szCs w:val="28"/>
          <w:lang w:eastAsia="ru-RU"/>
        </w:rPr>
        <w:t>ового апарату</w:t>
      </w:r>
      <w:r w:rsidRPr="00CC7883">
        <w:rPr>
          <w:rFonts w:ascii="Times New Roman" w:eastAsia="Times New Roman" w:hAnsi="Times New Roman" w:cs="Times New Roman"/>
          <w:color w:val="000000" w:themeColor="text1"/>
          <w:kern w:val="0"/>
          <w:sz w:val="28"/>
          <w:szCs w:val="28"/>
          <w:lang w:eastAsia="ru-RU"/>
        </w:rPr>
        <w:t xml:space="preserve"> до 11,0–13,9 мкм, що свідчить про посилення транспіраційних процесів у мікроклонів. Використання мінеральних субстратів</w:t>
      </w:r>
      <w:r w:rsidR="00572E8B">
        <w:rPr>
          <w:rFonts w:ascii="Times New Roman" w:eastAsia="Times New Roman" w:hAnsi="Times New Roman" w:cs="Times New Roman"/>
          <w:color w:val="000000" w:themeColor="text1"/>
          <w:kern w:val="0"/>
          <w:sz w:val="28"/>
          <w:szCs w:val="28"/>
          <w:lang w:eastAsia="ru-RU"/>
        </w:rPr>
        <w:t>,</w:t>
      </w:r>
      <w:r w:rsidRPr="00CC7883">
        <w:rPr>
          <w:rFonts w:ascii="Times New Roman" w:eastAsia="Times New Roman" w:hAnsi="Times New Roman" w:cs="Times New Roman"/>
          <w:color w:val="000000" w:themeColor="text1"/>
          <w:kern w:val="0"/>
          <w:sz w:val="28"/>
          <w:szCs w:val="28"/>
          <w:lang w:eastAsia="ru-RU"/>
        </w:rPr>
        <w:t xml:space="preserve"> навпаки, призводило до достовірного зменшення ширини продихової щілини на 19,5–39,0 % порівняно з контролем, що вказує на більшу здатність рослин контролювати водний баланс в умовах недостатнього зволоження. Після перенесення мікроклонів винограду в умови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kern w:val="0"/>
          <w:sz w:val="28"/>
          <w:szCs w:val="28"/>
          <w:lang w:eastAsia="ru-RU"/>
        </w:rPr>
        <w:t xml:space="preserve"> відбувалося значне зменшення до 1,4–3,5 мкм ширини продихової щілини. </w:t>
      </w:r>
      <w:r w:rsidR="00E248E8">
        <w:rPr>
          <w:rFonts w:ascii="Times New Roman" w:eastAsia="NSimSun" w:hAnsi="Times New Roman" w:cs="Times New Roman"/>
          <w:color w:val="000000" w:themeColor="text1"/>
          <w:kern w:val="3"/>
          <w:sz w:val="28"/>
          <w:szCs w:val="28"/>
        </w:rPr>
        <w:t>Порівняно</w:t>
      </w:r>
      <w:r w:rsidRPr="00CC7883">
        <w:rPr>
          <w:rFonts w:ascii="Times New Roman" w:eastAsia="Times New Roman" w:hAnsi="Times New Roman" w:cs="Times New Roman"/>
          <w:color w:val="000000" w:themeColor="text1"/>
          <w:kern w:val="0"/>
          <w:sz w:val="28"/>
          <w:szCs w:val="28"/>
          <w:lang w:eastAsia="ru-RU"/>
        </w:rPr>
        <w:t xml:space="preserve"> з контролем вона була меншою на 64,3–88,1</w:t>
      </w:r>
      <w:r w:rsidR="0057279A" w:rsidRPr="00CC7883">
        <w:rPr>
          <w:rFonts w:ascii="Times New Roman" w:eastAsia="Times New Roman" w:hAnsi="Times New Roman" w:cs="Times New Roman"/>
          <w:color w:val="000000" w:themeColor="text1"/>
          <w:kern w:val="0"/>
          <w:sz w:val="28"/>
          <w:szCs w:val="28"/>
          <w:lang w:eastAsia="ru-RU"/>
        </w:rPr>
        <w:t> </w:t>
      </w:r>
      <w:r w:rsidRPr="00CC7883">
        <w:rPr>
          <w:rFonts w:ascii="Times New Roman" w:eastAsia="Times New Roman" w:hAnsi="Times New Roman" w:cs="Times New Roman"/>
          <w:color w:val="000000" w:themeColor="text1"/>
          <w:kern w:val="0"/>
          <w:sz w:val="28"/>
          <w:szCs w:val="28"/>
          <w:lang w:eastAsia="ru-RU"/>
        </w:rPr>
        <w:t xml:space="preserve">%. </w:t>
      </w:r>
    </w:p>
    <w:p w:rsidR="000F7641" w:rsidRPr="00CC7883" w:rsidRDefault="000F7641" w:rsidP="00047411">
      <w:pPr>
        <w:widowControl w:val="0"/>
        <w:numPr>
          <w:ilvl w:val="0"/>
          <w:numId w:val="23"/>
        </w:numPr>
        <w:spacing w:after="0" w:line="360" w:lineRule="auto"/>
        <w:ind w:left="0" w:firstLine="0"/>
        <w:contextualSpacing/>
        <w:jc w:val="both"/>
        <w:outlineLvl w:val="2"/>
        <w:rPr>
          <w:rFonts w:ascii="Times New Roman" w:hAnsi="Times New Roman" w:cs="Times New Roman"/>
          <w:color w:val="000000" w:themeColor="text1"/>
          <w:sz w:val="28"/>
          <w:szCs w:val="28"/>
        </w:rPr>
      </w:pPr>
      <w:bookmarkStart w:id="111" w:name="_Toc220058959"/>
      <w:r w:rsidRPr="00CC7883">
        <w:rPr>
          <w:rFonts w:ascii="Times New Roman" w:eastAsia="Times New Roman" w:hAnsi="Times New Roman" w:cs="Times New Roman"/>
          <w:color w:val="000000" w:themeColor="text1"/>
          <w:kern w:val="0"/>
          <w:sz w:val="28"/>
          <w:szCs w:val="28"/>
          <w:lang w:eastAsia="ru-RU"/>
        </w:rPr>
        <w:t xml:space="preserve">Площа продихів нижнього епідермісу листків мікроклонів винограду є комплексним показником функціонального стану продихового апарату, оскільки цей показник враховує довжину та ширину продихів і </w:t>
      </w:r>
      <w:r w:rsidRPr="00CC7883">
        <w:rPr>
          <w:rFonts w:ascii="Times New Roman" w:eastAsia="Times New Roman" w:hAnsi="Times New Roman" w:cs="Times New Roman"/>
          <w:color w:val="000000" w:themeColor="text1"/>
          <w:kern w:val="0"/>
          <w:sz w:val="28"/>
          <w:szCs w:val="28"/>
          <w:lang w:eastAsia="ru-RU"/>
        </w:rPr>
        <w:lastRenderedPageBreak/>
        <w:t>безпосередньо визначає ефективність газообміну та транспірації. Культивування мікроклонів на структурованих поживних середовищах характеризувалося найбільшими значеннями цього показника (</w:t>
      </w:r>
      <w:r w:rsidR="007E3285" w:rsidRPr="00CC7883">
        <w:rPr>
          <w:rFonts w:ascii="Times New Roman" w:eastAsia="Times New Roman" w:hAnsi="Times New Roman" w:cs="Times New Roman"/>
          <w:color w:val="000000" w:themeColor="text1"/>
          <w:kern w:val="0"/>
          <w:sz w:val="28"/>
          <w:szCs w:val="28"/>
          <w:lang w:eastAsia="ru-RU"/>
        </w:rPr>
        <w:t>416,8</w:t>
      </w:r>
      <w:r w:rsidRPr="00CC7883">
        <w:rPr>
          <w:rFonts w:ascii="Times New Roman" w:eastAsia="Times New Roman" w:hAnsi="Times New Roman" w:cs="Times New Roman"/>
          <w:color w:val="000000" w:themeColor="text1"/>
          <w:kern w:val="0"/>
          <w:sz w:val="28"/>
          <w:szCs w:val="28"/>
          <w:lang w:eastAsia="ru-RU"/>
        </w:rPr>
        <w:t>–</w:t>
      </w:r>
      <w:r w:rsidR="007E3285" w:rsidRPr="00CC7883">
        <w:rPr>
          <w:rFonts w:ascii="Times New Roman" w:eastAsia="Times New Roman" w:hAnsi="Times New Roman" w:cs="Times New Roman"/>
          <w:color w:val="000000" w:themeColor="text1"/>
          <w:kern w:val="0"/>
          <w:sz w:val="28"/>
          <w:szCs w:val="28"/>
          <w:lang w:eastAsia="ru-RU"/>
        </w:rPr>
        <w:t>505,4</w:t>
      </w:r>
      <w:r w:rsidR="00FB0BAF">
        <w:rPr>
          <w:lang w:eastAsia="ru-RU"/>
        </w:rPr>
        <w:t> </w:t>
      </w:r>
      <w:r w:rsidRPr="00CC7883">
        <w:rPr>
          <w:rFonts w:ascii="Times New Roman" w:eastAsia="Times New Roman" w:hAnsi="Times New Roman" w:cs="Times New Roman"/>
          <w:color w:val="000000" w:themeColor="text1"/>
          <w:kern w:val="0"/>
          <w:sz w:val="28"/>
          <w:szCs w:val="28"/>
          <w:lang w:eastAsia="ru-RU"/>
        </w:rPr>
        <w:t xml:space="preserve">мкм² у підщепних та </w:t>
      </w:r>
      <w:r w:rsidR="007E3285" w:rsidRPr="00CC7883">
        <w:rPr>
          <w:rFonts w:ascii="Times New Roman" w:eastAsia="Times New Roman" w:hAnsi="Times New Roman" w:cs="Times New Roman"/>
          <w:color w:val="000000" w:themeColor="text1"/>
          <w:kern w:val="0"/>
          <w:sz w:val="28"/>
          <w:szCs w:val="28"/>
          <w:lang w:eastAsia="ru-RU"/>
        </w:rPr>
        <w:t>335,7</w:t>
      </w:r>
      <w:r w:rsidRPr="00CC7883">
        <w:rPr>
          <w:rFonts w:ascii="Times New Roman" w:eastAsia="Times New Roman" w:hAnsi="Times New Roman" w:cs="Times New Roman"/>
          <w:color w:val="000000" w:themeColor="text1"/>
          <w:kern w:val="0"/>
          <w:sz w:val="28"/>
          <w:szCs w:val="28"/>
          <w:lang w:eastAsia="ru-RU"/>
        </w:rPr>
        <w:t>–</w:t>
      </w:r>
      <w:r w:rsidR="007E3285" w:rsidRPr="00CC7883">
        <w:rPr>
          <w:rFonts w:ascii="Times New Roman" w:eastAsia="Times New Roman" w:hAnsi="Times New Roman" w:cs="Times New Roman"/>
          <w:color w:val="000000" w:themeColor="text1"/>
          <w:kern w:val="0"/>
          <w:sz w:val="28"/>
          <w:szCs w:val="28"/>
          <w:lang w:eastAsia="ru-RU"/>
        </w:rPr>
        <w:t>490,1</w:t>
      </w:r>
      <w:r w:rsidRPr="00CC7883">
        <w:rPr>
          <w:rFonts w:ascii="Times New Roman" w:eastAsia="Times New Roman" w:hAnsi="Times New Roman" w:cs="Times New Roman"/>
          <w:color w:val="000000" w:themeColor="text1"/>
          <w:kern w:val="0"/>
          <w:sz w:val="28"/>
          <w:szCs w:val="28"/>
          <w:lang w:eastAsia="ru-RU"/>
        </w:rPr>
        <w:t xml:space="preserve"> мкм² у технічних сортів). Використання для культивування мікроклонів винограду мінеральних субстратів, навпаки, зменшувало площу продихів, формуючи компактніший та більш щільний продиховий апарат. Найбільше це було виражено у мікроклонів винограду після культивування на суміші мінеральних субстратів агроперліт + вермикуліт. Найвагомішим було зменшення цього показника у мікроклональних рослин після перенесення в умови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kern w:val="0"/>
          <w:sz w:val="28"/>
          <w:szCs w:val="28"/>
          <w:lang w:eastAsia="ru-RU"/>
        </w:rPr>
        <w:t>. Площа продихів зменшувалася майже удвічі, що відображає перебудову продихового апарату: формуються менші, щільніші продихи, здатні ефективніше регулювати газообмін і транспірацію.</w:t>
      </w:r>
      <w:bookmarkEnd w:id="111"/>
    </w:p>
    <w:p w:rsidR="000F7641" w:rsidRPr="00CC7883" w:rsidRDefault="000F7641" w:rsidP="00047411">
      <w:pPr>
        <w:pStyle w:val="Standard"/>
        <w:widowControl w:val="0"/>
        <w:suppressAutoHyphens w:val="0"/>
        <w:spacing w:line="360" w:lineRule="auto"/>
        <w:ind w:firstLine="709"/>
        <w:jc w:val="both"/>
        <w:rPr>
          <w:rFonts w:ascii="Times New Roman" w:hAnsi="Times New Roman" w:cs="Times New Roman"/>
          <w:color w:val="000000" w:themeColor="text1"/>
        </w:rPr>
      </w:pPr>
    </w:p>
    <w:p w:rsidR="003D09AE" w:rsidRPr="00CC7883" w:rsidRDefault="003D09AE" w:rsidP="00047411">
      <w:pPr>
        <w:widowControl w:val="0"/>
        <w:rPr>
          <w:rFonts w:ascii="Times New Roman" w:eastAsia="Times New Roman" w:hAnsi="Times New Roman" w:cs="Times New Roman"/>
          <w:color w:val="000000" w:themeColor="text1"/>
          <w:kern w:val="0"/>
          <w:sz w:val="28"/>
          <w:szCs w:val="28"/>
          <w:lang w:eastAsia="uk-UA"/>
        </w:rPr>
      </w:pPr>
      <w:r w:rsidRPr="00CC7883">
        <w:rPr>
          <w:rFonts w:ascii="Times New Roman" w:eastAsia="Times New Roman" w:hAnsi="Times New Roman" w:cs="Times New Roman"/>
          <w:color w:val="000000" w:themeColor="text1"/>
          <w:kern w:val="0"/>
          <w:sz w:val="28"/>
          <w:szCs w:val="28"/>
          <w:lang w:eastAsia="uk-UA"/>
        </w:rPr>
        <w:br w:type="page"/>
      </w:r>
    </w:p>
    <w:p w:rsidR="00882E3D" w:rsidRPr="00CC7883" w:rsidRDefault="00882E3D" w:rsidP="00047411">
      <w:pPr>
        <w:widowControl w:val="0"/>
        <w:spacing w:after="0" w:line="360" w:lineRule="auto"/>
        <w:ind w:firstLine="720"/>
        <w:jc w:val="center"/>
        <w:outlineLvl w:val="0"/>
        <w:rPr>
          <w:rFonts w:ascii="Times New Roman" w:hAnsi="Times New Roman" w:cs="Times New Roman"/>
          <w:b/>
          <w:color w:val="000000" w:themeColor="text1"/>
          <w:sz w:val="28"/>
          <w:szCs w:val="28"/>
        </w:rPr>
      </w:pPr>
      <w:bookmarkStart w:id="112" w:name="_Toc220058960"/>
      <w:r w:rsidRPr="00CC7883">
        <w:rPr>
          <w:rFonts w:ascii="Times New Roman" w:hAnsi="Times New Roman" w:cs="Times New Roman"/>
          <w:b/>
          <w:color w:val="000000" w:themeColor="text1"/>
          <w:sz w:val="28"/>
          <w:szCs w:val="28"/>
        </w:rPr>
        <w:lastRenderedPageBreak/>
        <w:t>РОЗДІЛ 7</w:t>
      </w:r>
      <w:bookmarkEnd w:id="112"/>
    </w:p>
    <w:p w:rsidR="00882E3D" w:rsidRPr="00CC7883" w:rsidRDefault="00882E3D" w:rsidP="00047411">
      <w:pPr>
        <w:widowControl w:val="0"/>
        <w:spacing w:after="0" w:line="360" w:lineRule="auto"/>
        <w:ind w:firstLine="720"/>
        <w:jc w:val="center"/>
        <w:outlineLvl w:val="0"/>
        <w:rPr>
          <w:rFonts w:ascii="Times New Roman" w:hAnsi="Times New Roman" w:cs="Times New Roman"/>
          <w:b/>
          <w:i/>
          <w:color w:val="000000" w:themeColor="text1"/>
          <w:sz w:val="28"/>
          <w:szCs w:val="28"/>
        </w:rPr>
      </w:pPr>
      <w:bookmarkStart w:id="113" w:name="_Toc220058961"/>
      <w:r w:rsidRPr="00CC7883">
        <w:rPr>
          <w:rFonts w:ascii="Times New Roman" w:hAnsi="Times New Roman" w:cs="Times New Roman"/>
          <w:b/>
          <w:color w:val="000000" w:themeColor="text1"/>
          <w:sz w:val="28"/>
          <w:szCs w:val="28"/>
        </w:rPr>
        <w:t xml:space="preserve">ПРИЖИВЛЮВАНІСТЬ МІКРОКЛОНІВ ВИНОГРАДУ В УМОВАХ </w:t>
      </w:r>
      <w:r w:rsidRPr="00CC7883">
        <w:rPr>
          <w:rFonts w:ascii="Times New Roman" w:hAnsi="Times New Roman" w:cs="Times New Roman"/>
          <w:b/>
          <w:i/>
          <w:color w:val="000000" w:themeColor="text1"/>
          <w:sz w:val="28"/>
          <w:szCs w:val="28"/>
        </w:rPr>
        <w:t>IN</w:t>
      </w:r>
      <w:r w:rsidR="00894C28" w:rsidRPr="00CC7883">
        <w:rPr>
          <w:rFonts w:ascii="Times New Roman" w:hAnsi="Times New Roman" w:cs="Times New Roman"/>
          <w:b/>
          <w:i/>
          <w:color w:val="000000" w:themeColor="text1"/>
          <w:sz w:val="28"/>
          <w:szCs w:val="28"/>
        </w:rPr>
        <w:t> </w:t>
      </w:r>
      <w:r w:rsidRPr="00CC7883">
        <w:rPr>
          <w:rFonts w:ascii="Times New Roman" w:hAnsi="Times New Roman" w:cs="Times New Roman"/>
          <w:b/>
          <w:i/>
          <w:color w:val="000000" w:themeColor="text1"/>
          <w:sz w:val="28"/>
          <w:szCs w:val="28"/>
        </w:rPr>
        <w:t>VIVO</w:t>
      </w:r>
      <w:bookmarkEnd w:id="113"/>
    </w:p>
    <w:p w:rsidR="00882E3D" w:rsidRPr="00CC7883" w:rsidRDefault="00882E3D" w:rsidP="00047411">
      <w:pPr>
        <w:widowControl w:val="0"/>
        <w:spacing w:after="0" w:line="360" w:lineRule="auto"/>
        <w:ind w:firstLine="720"/>
        <w:jc w:val="both"/>
        <w:rPr>
          <w:rFonts w:ascii="Times New Roman" w:hAnsi="Times New Roman" w:cs="Times New Roman"/>
          <w:iCs/>
          <w:color w:val="000000" w:themeColor="text1"/>
          <w:sz w:val="28"/>
          <w:szCs w:val="28"/>
        </w:rPr>
      </w:pPr>
    </w:p>
    <w:p w:rsidR="00882E3D" w:rsidRPr="00CC7883" w:rsidRDefault="00882E3D" w:rsidP="00047411">
      <w:pPr>
        <w:widowControl w:val="0"/>
        <w:spacing w:after="0" w:line="360" w:lineRule="auto"/>
        <w:ind w:firstLine="720"/>
        <w:jc w:val="both"/>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 xml:space="preserve">Після культивування в умовах </w:t>
      </w:r>
      <w:r w:rsidRPr="00CC7883">
        <w:rPr>
          <w:rFonts w:ascii="Times New Roman" w:hAnsi="Times New Roman" w:cs="Times New Roman"/>
          <w:i/>
          <w:color w:val="000000" w:themeColor="text1"/>
          <w:sz w:val="28"/>
          <w:szCs w:val="28"/>
        </w:rPr>
        <w:t>in vitro</w:t>
      </w:r>
      <w:r w:rsidRPr="00CC7883">
        <w:rPr>
          <w:rFonts w:ascii="Times New Roman" w:hAnsi="Times New Roman" w:cs="Times New Roman"/>
          <w:iCs/>
          <w:color w:val="000000" w:themeColor="text1"/>
          <w:sz w:val="28"/>
          <w:szCs w:val="28"/>
        </w:rPr>
        <w:t xml:space="preserve"> мікроклони винограду потребують поступового переходу до неконтрольованих умов довкілля. Саме цей етап – </w:t>
      </w:r>
      <w:r w:rsidRPr="00CC7883">
        <w:rPr>
          <w:rFonts w:ascii="Times New Roman" w:hAnsi="Times New Roman" w:cs="Times New Roman"/>
          <w:i/>
          <w:iCs/>
          <w:color w:val="000000" w:themeColor="text1"/>
          <w:sz w:val="28"/>
          <w:szCs w:val="28"/>
        </w:rPr>
        <w:t>адаптації</w:t>
      </w:r>
      <w:r w:rsidRPr="00CC7883">
        <w:rPr>
          <w:rFonts w:ascii="Times New Roman" w:hAnsi="Times New Roman" w:cs="Times New Roman"/>
          <w:iCs/>
          <w:color w:val="000000" w:themeColor="text1"/>
          <w:sz w:val="28"/>
          <w:szCs w:val="28"/>
        </w:rPr>
        <w:t xml:space="preserve"> – є одним із найважливіших, від нього залежить подальше приживлювання і розвиток рослин. На цьому етапі мікроклональні рослини стикаються з різними змінами, такими як неконтрольоване освітлення, вологість повітря, вільний газообмін і відсутність стерильності. У таких умовах мікроклони починають поступово перебудовувати процеси життєдіяльності. Починають працювати продихи, активується фотосинтез, формується більш щільна кутикула, відновлюється здатність утримувати воду клітинами тощо. Саме тому рівень приживлюваності ми розглядаємо як показник того, наскільки добре мікроклони здатні адаптуватися до умов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iCs/>
          <w:color w:val="000000" w:themeColor="text1"/>
          <w:sz w:val="28"/>
          <w:szCs w:val="28"/>
        </w:rPr>
        <w:t>.</w:t>
      </w:r>
    </w:p>
    <w:p w:rsidR="005367A2" w:rsidRPr="00CC7883" w:rsidRDefault="00340159" w:rsidP="00047411">
      <w:pPr>
        <w:pStyle w:val="a7"/>
        <w:widowControl w:val="0"/>
        <w:autoSpaceDN w:val="0"/>
        <w:spacing w:after="0" w:line="360" w:lineRule="auto"/>
        <w:ind w:left="0" w:firstLine="708"/>
        <w:contextualSpacing w:val="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 умовах</w:t>
      </w:r>
      <w:r w:rsidR="005367A2" w:rsidRPr="00CC7883">
        <w:rPr>
          <w:rFonts w:ascii="Times New Roman" w:hAnsi="Times New Roman" w:cs="Times New Roman"/>
          <w:color w:val="000000" w:themeColor="text1"/>
          <w:sz w:val="28"/>
          <w:szCs w:val="28"/>
        </w:rPr>
        <w:t xml:space="preserve"> адаптаційної кімнати</w:t>
      </w:r>
      <w:r w:rsidRPr="00CC7883">
        <w:rPr>
          <w:rFonts w:ascii="Times New Roman" w:hAnsi="Times New Roman" w:cs="Times New Roman"/>
          <w:color w:val="000000" w:themeColor="text1"/>
          <w:sz w:val="28"/>
          <w:szCs w:val="28"/>
        </w:rPr>
        <w:t xml:space="preserve"> рослини</w:t>
      </w:r>
      <w:r w:rsidR="005367A2" w:rsidRPr="00CC7883">
        <w:rPr>
          <w:rFonts w:ascii="Times New Roman" w:hAnsi="Times New Roman" w:cs="Times New Roman"/>
          <w:color w:val="000000" w:themeColor="text1"/>
          <w:sz w:val="28"/>
          <w:szCs w:val="28"/>
        </w:rPr>
        <w:t xml:space="preserve"> культивували за умов природного освітлення, кімнатної температури та характерної для приміщення вологості повітря. Полив здійснювали дистильованою водою один раз на 3–5 діб. </w:t>
      </w:r>
    </w:p>
    <w:p w:rsidR="005367A2" w:rsidRPr="00CC7883" w:rsidRDefault="005367A2" w:rsidP="00047411">
      <w:pPr>
        <w:widowControl w:val="0"/>
        <w:spacing w:after="0" w:line="360" w:lineRule="auto"/>
        <w:ind w:firstLine="720"/>
        <w:jc w:val="both"/>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 xml:space="preserve">Надалі визначали приживлюваність мікроклонів винограду сортів «Добриня», «Гарант», «Ярило», «Загрей», обліки проводили протягом трьох місяців після перенесення з культурального боксу в адаптаційну кімнату. Аналізували дві групи рослин: ті, що попередньо культивували на модифікованих поживних середовищах MS, і ті, що культивували на поживних мінеральних субстратах. </w:t>
      </w:r>
    </w:p>
    <w:p w:rsidR="00260AC6" w:rsidRPr="00CC7883" w:rsidRDefault="00882E3D"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Поживні середовища</w:t>
      </w:r>
      <w:r w:rsidRPr="00CC7883">
        <w:rPr>
          <w:rFonts w:ascii="Times New Roman" w:hAnsi="Times New Roman" w:cs="Times New Roman"/>
          <w:iCs/>
          <w:color w:val="000000" w:themeColor="text1"/>
          <w:sz w:val="28"/>
          <w:szCs w:val="28"/>
        </w:rPr>
        <w:t xml:space="preserve">. </w:t>
      </w:r>
      <w:r w:rsidR="00260AC6" w:rsidRPr="00CC7883">
        <w:rPr>
          <w:rFonts w:ascii="Times New Roman" w:hAnsi="Times New Roman" w:cs="Times New Roman"/>
          <w:color w:val="000000" w:themeColor="text1"/>
          <w:sz w:val="28"/>
          <w:szCs w:val="28"/>
        </w:rPr>
        <w:t xml:space="preserve">У культуральні ємності з рослинами додавали 1,5–2,0 г мінерального субстрату (агроперліт), після чого ємності залишали закритими на 24 год. Далі здійснювали поступове відкривання кришечок культуральних ємностей упродовж кількох діб (один раз на добу) – </w:t>
      </w:r>
      <w:bookmarkStart w:id="114" w:name="_Hlk217728614"/>
      <w:r w:rsidR="00260AC6" w:rsidRPr="00CC7883">
        <w:rPr>
          <w:rFonts w:ascii="Times New Roman" w:hAnsi="Times New Roman" w:cs="Times New Roman"/>
          <w:color w:val="000000" w:themeColor="text1"/>
          <w:sz w:val="28"/>
          <w:szCs w:val="28"/>
        </w:rPr>
        <w:t xml:space="preserve">на </w:t>
      </w:r>
      <w:r w:rsidR="000C264A" w:rsidRPr="00CC7883">
        <w:rPr>
          <w:rFonts w:ascii="Times New Roman" w:hAnsi="Times New Roman" w:cs="Times New Roman"/>
          <w:color w:val="000000" w:themeColor="text1"/>
          <w:sz w:val="28"/>
          <w:szCs w:val="28"/>
        </w:rPr>
        <w:t>30 хв</w:t>
      </w:r>
      <w:r w:rsidR="00260AC6" w:rsidRPr="00CC7883">
        <w:rPr>
          <w:rFonts w:ascii="Times New Roman" w:hAnsi="Times New Roman" w:cs="Times New Roman"/>
          <w:color w:val="000000" w:themeColor="text1"/>
          <w:sz w:val="28"/>
          <w:szCs w:val="28"/>
        </w:rPr>
        <w:t xml:space="preserve"> у </w:t>
      </w:r>
      <w:r w:rsidR="00260AC6" w:rsidRPr="00CC7883">
        <w:rPr>
          <w:rFonts w:ascii="Times New Roman" w:hAnsi="Times New Roman" w:cs="Times New Roman"/>
          <w:color w:val="000000" w:themeColor="text1"/>
          <w:sz w:val="28"/>
          <w:szCs w:val="28"/>
        </w:rPr>
        <w:lastRenderedPageBreak/>
        <w:t>першу добу, 1 год – у другу, 2 год – у третю та 3 год – у четверту добу</w:t>
      </w:r>
      <w:bookmarkEnd w:id="114"/>
      <w:r w:rsidR="00260AC6" w:rsidRPr="00CC7883">
        <w:rPr>
          <w:rFonts w:ascii="Times New Roman" w:hAnsi="Times New Roman" w:cs="Times New Roman"/>
          <w:color w:val="000000" w:themeColor="text1"/>
          <w:sz w:val="28"/>
          <w:szCs w:val="28"/>
        </w:rPr>
        <w:t>. На п’яту добу і в наступні дві доби тривалість відкривання становила 7 год, а потім кришки знімали повністю</w:t>
      </w:r>
      <w:r w:rsidR="00FB0BAF">
        <w:rPr>
          <w:rFonts w:ascii="Times New Roman" w:hAnsi="Times New Roman" w:cs="Times New Roman"/>
          <w:color w:val="000000" w:themeColor="text1"/>
          <w:sz w:val="28"/>
          <w:szCs w:val="28"/>
        </w:rPr>
        <w:t>,</w:t>
      </w:r>
      <w:r w:rsidR="00260AC6" w:rsidRPr="00CC7883">
        <w:rPr>
          <w:rFonts w:ascii="Times New Roman" w:hAnsi="Times New Roman" w:cs="Times New Roman"/>
          <w:color w:val="000000" w:themeColor="text1"/>
          <w:sz w:val="28"/>
          <w:szCs w:val="28"/>
        </w:rPr>
        <w:t xml:space="preserve"> додавали ще 1,5–2,0 г агроперліту, </w:t>
      </w:r>
      <w:r w:rsidR="00FB0BAF">
        <w:rPr>
          <w:rFonts w:ascii="Times New Roman" w:hAnsi="Times New Roman" w:cs="Times New Roman"/>
          <w:color w:val="000000" w:themeColor="text1"/>
          <w:sz w:val="28"/>
          <w:szCs w:val="28"/>
        </w:rPr>
        <w:t>після чого рослини</w:t>
      </w:r>
      <w:r w:rsidR="00260AC6" w:rsidRPr="00CC7883">
        <w:rPr>
          <w:rFonts w:ascii="Times New Roman" w:hAnsi="Times New Roman" w:cs="Times New Roman"/>
          <w:color w:val="000000" w:themeColor="text1"/>
          <w:sz w:val="28"/>
          <w:szCs w:val="28"/>
        </w:rPr>
        <w:t xml:space="preserve"> залишали у відкритому стані ще на 7 діб.</w:t>
      </w:r>
    </w:p>
    <w:p w:rsidR="00882E3D" w:rsidRPr="00CC7883" w:rsidRDefault="00882E3D" w:rsidP="00047411">
      <w:pPr>
        <w:widowControl w:val="0"/>
        <w:spacing w:after="0" w:line="360" w:lineRule="auto"/>
        <w:ind w:firstLine="720"/>
        <w:jc w:val="both"/>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 xml:space="preserve">Після проведення передадаптації мікроклони винограду висаджували у касети, заповнені сумішшю агроперліту та вермикуліту (1:1). Безпосередньо після пересадки рослини </w:t>
      </w:r>
      <w:r w:rsidR="00840FEE" w:rsidRPr="00CC7883">
        <w:rPr>
          <w:rFonts w:ascii="Times New Roman" w:hAnsi="Times New Roman" w:cs="Times New Roman"/>
          <w:iCs/>
          <w:color w:val="000000" w:themeColor="text1"/>
          <w:sz w:val="28"/>
          <w:szCs w:val="28"/>
        </w:rPr>
        <w:t xml:space="preserve">переносили до адаптаційної кімнати та </w:t>
      </w:r>
      <w:r w:rsidRPr="00CC7883">
        <w:rPr>
          <w:rFonts w:ascii="Times New Roman" w:hAnsi="Times New Roman" w:cs="Times New Roman"/>
          <w:iCs/>
          <w:color w:val="000000" w:themeColor="text1"/>
          <w:sz w:val="28"/>
          <w:szCs w:val="28"/>
        </w:rPr>
        <w:t xml:space="preserve">накривали поліетиленовою плівкою, під якою вони </w:t>
      </w:r>
      <w:r w:rsidR="00E71B99" w:rsidRPr="00CC7883">
        <w:rPr>
          <w:rFonts w:ascii="Times New Roman" w:hAnsi="Times New Roman" w:cs="Times New Roman"/>
          <w:iCs/>
          <w:color w:val="000000" w:themeColor="text1"/>
          <w:sz w:val="28"/>
          <w:szCs w:val="28"/>
        </w:rPr>
        <w:t>знаходилися</w:t>
      </w:r>
      <w:r w:rsidRPr="00CC7883">
        <w:rPr>
          <w:rFonts w:ascii="Times New Roman" w:hAnsi="Times New Roman" w:cs="Times New Roman"/>
          <w:iCs/>
          <w:color w:val="000000" w:themeColor="text1"/>
          <w:sz w:val="28"/>
          <w:szCs w:val="28"/>
        </w:rPr>
        <w:t xml:space="preserve"> протягом чотирьох діб для забезпечення стабільної вологості та зменшення випаровування. У момент пересаджування на субстрат рослини полили один раз </w:t>
      </w:r>
      <w:r w:rsidR="00840FEE" w:rsidRPr="00CC7883">
        <w:rPr>
          <w:rFonts w:ascii="Times New Roman" w:hAnsi="Times New Roman" w:cs="Times New Roman"/>
          <w:iCs/>
          <w:color w:val="000000" w:themeColor="text1"/>
          <w:sz w:val="28"/>
          <w:szCs w:val="28"/>
        </w:rPr>
        <w:t>розчином MS</w:t>
      </w:r>
      <w:r w:rsidR="002D181C">
        <w:rPr>
          <w:rFonts w:ascii="Times New Roman" w:hAnsi="Times New Roman" w:cs="Times New Roman"/>
          <w:iCs/>
          <w:color w:val="000000" w:themeColor="text1"/>
          <w:sz w:val="28"/>
          <w:szCs w:val="28"/>
        </w:rPr>
        <w:t xml:space="preserve"> </w:t>
      </w:r>
      <w:r w:rsidR="00840FEE" w:rsidRPr="00CC7883">
        <w:rPr>
          <w:rFonts w:ascii="Times New Roman" w:hAnsi="Times New Roman" w:cs="Times New Roman"/>
          <w:iCs/>
          <w:color w:val="000000" w:themeColor="text1"/>
          <w:sz w:val="28"/>
          <w:szCs w:val="28"/>
        </w:rPr>
        <w:t xml:space="preserve">без сахарози і агару; у </w:t>
      </w:r>
      <w:r w:rsidR="002D181C" w:rsidRPr="00CC7883">
        <w:rPr>
          <w:rFonts w:ascii="Times New Roman" w:hAnsi="Times New Roman" w:cs="Times New Roman"/>
          <w:iCs/>
          <w:color w:val="000000" w:themeColor="text1"/>
          <w:sz w:val="28"/>
          <w:szCs w:val="28"/>
        </w:rPr>
        <w:t>подальші</w:t>
      </w:r>
      <w:r w:rsidR="00840FEE" w:rsidRPr="00CC7883">
        <w:rPr>
          <w:rFonts w:ascii="Times New Roman" w:hAnsi="Times New Roman" w:cs="Times New Roman"/>
          <w:iCs/>
          <w:color w:val="000000" w:themeColor="text1"/>
          <w:sz w:val="28"/>
          <w:szCs w:val="28"/>
        </w:rPr>
        <w:t xml:space="preserve"> дні використову</w:t>
      </w:r>
      <w:r w:rsidR="00095B48">
        <w:rPr>
          <w:rFonts w:ascii="Times New Roman" w:hAnsi="Times New Roman" w:cs="Times New Roman"/>
          <w:iCs/>
          <w:color w:val="000000" w:themeColor="text1"/>
          <w:sz w:val="28"/>
          <w:szCs w:val="28"/>
        </w:rPr>
        <w:t>вали</w:t>
      </w:r>
      <w:r w:rsidR="00840FEE" w:rsidRPr="00CC7883">
        <w:rPr>
          <w:rFonts w:ascii="Times New Roman" w:hAnsi="Times New Roman" w:cs="Times New Roman"/>
          <w:iCs/>
          <w:color w:val="000000" w:themeColor="text1"/>
          <w:sz w:val="28"/>
          <w:szCs w:val="28"/>
        </w:rPr>
        <w:t xml:space="preserve"> дистильовану воду</w:t>
      </w:r>
      <w:r w:rsidR="00413F1E" w:rsidRPr="00CC7883">
        <w:rPr>
          <w:rFonts w:ascii="Times New Roman" w:hAnsi="Times New Roman" w:cs="Times New Roman"/>
          <w:iCs/>
          <w:color w:val="000000" w:themeColor="text1"/>
          <w:sz w:val="28"/>
          <w:szCs w:val="28"/>
        </w:rPr>
        <w:t xml:space="preserve"> (кожні 3–5 діб)</w:t>
      </w:r>
      <w:r w:rsidRPr="00CC7883">
        <w:rPr>
          <w:rFonts w:ascii="Times New Roman" w:hAnsi="Times New Roman" w:cs="Times New Roman"/>
          <w:iCs/>
          <w:color w:val="000000" w:themeColor="text1"/>
          <w:sz w:val="28"/>
          <w:szCs w:val="28"/>
        </w:rPr>
        <w:t>, а рослини додатково обробляли фунгіцидним препаратом «Хорус» у концентрації 0,27 г на 200 л води. Подальші поливи проводили лише дистильованою водою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iCs/>
          <w:color w:val="000000" w:themeColor="text1"/>
          <w:sz w:val="28"/>
          <w:szCs w:val="28"/>
        </w:rPr>
        <w:t>7.1).</w:t>
      </w: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iCs/>
          <w:noProof/>
          <w:color w:val="000000" w:themeColor="text1"/>
          <w:sz w:val="28"/>
          <w:szCs w:val="28"/>
          <w:lang w:val="ru-RU" w:eastAsia="ru-RU"/>
        </w:rPr>
        <w:drawing>
          <wp:inline distT="0" distB="0" distL="0" distR="0">
            <wp:extent cx="3019796" cy="1545021"/>
            <wp:effectExtent l="19050" t="19050" r="9525" b="0"/>
            <wp:docPr id="1530767352"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153" cy="1559530"/>
                    </a:xfrm>
                    <a:prstGeom prst="rect">
                      <a:avLst/>
                    </a:prstGeom>
                    <a:noFill/>
                    <a:ln>
                      <a:solidFill>
                        <a:schemeClr val="tx1"/>
                      </a:solidFill>
                    </a:ln>
                  </pic:spPr>
                </pic:pic>
              </a:graphicData>
            </a:graphic>
          </wp:inline>
        </w:drawing>
      </w: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iCs/>
          <w:noProof/>
          <w:color w:val="000000" w:themeColor="text1"/>
          <w:sz w:val="28"/>
          <w:szCs w:val="28"/>
          <w:lang w:val="ru-RU" w:eastAsia="ru-RU"/>
        </w:rPr>
        <w:drawing>
          <wp:inline distT="0" distB="0" distL="0" distR="0">
            <wp:extent cx="3028850" cy="1529255"/>
            <wp:effectExtent l="19050" t="19050" r="635" b="0"/>
            <wp:docPr id="1977270775"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99303" cy="1564827"/>
                    </a:xfrm>
                    <a:prstGeom prst="rect">
                      <a:avLst/>
                    </a:prstGeom>
                    <a:noFill/>
                    <a:ln>
                      <a:solidFill>
                        <a:schemeClr val="tx1"/>
                      </a:solidFill>
                    </a:ln>
                  </pic:spPr>
                </pic:pic>
              </a:graphicData>
            </a:graphic>
          </wp:inline>
        </w:drawing>
      </w: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Рис. 7.1. Початковий етап адаптації мікроклонів винограду</w:t>
      </w:r>
      <w:r w:rsidR="00FB0BAF">
        <w:rPr>
          <w:rFonts w:ascii="Times New Roman" w:hAnsi="Times New Roman" w:cs="Times New Roman"/>
          <w:iCs/>
          <w:color w:val="000000" w:themeColor="text1"/>
          <w:sz w:val="28"/>
          <w:szCs w:val="28"/>
        </w:rPr>
        <w:t>,</w:t>
      </w:r>
      <w:r w:rsidRPr="00CC7883">
        <w:rPr>
          <w:rFonts w:ascii="Times New Roman" w:hAnsi="Times New Roman" w:cs="Times New Roman"/>
          <w:iCs/>
          <w:color w:val="000000" w:themeColor="text1"/>
          <w:sz w:val="28"/>
          <w:szCs w:val="28"/>
        </w:rPr>
        <w:t xml:space="preserve"> </w:t>
      </w:r>
      <w:r w:rsidRPr="00CC7883">
        <w:rPr>
          <w:rFonts w:ascii="Times New Roman" w:hAnsi="Times New Roman" w:cs="Times New Roman"/>
          <w:color w:val="000000" w:themeColor="text1"/>
          <w:sz w:val="28"/>
        </w:rPr>
        <w:t>культивованих на різних типах поживних середовищ</w:t>
      </w:r>
    </w:p>
    <w:p w:rsidR="00882E3D" w:rsidRPr="00CC7883" w:rsidRDefault="00882E3D" w:rsidP="00047411">
      <w:pPr>
        <w:widowControl w:val="0"/>
        <w:spacing w:after="0" w:line="360" w:lineRule="auto"/>
        <w:jc w:val="both"/>
        <w:rPr>
          <w:rFonts w:ascii="Times New Roman" w:hAnsi="Times New Roman" w:cs="Times New Roman"/>
          <w:iCs/>
          <w:color w:val="000000" w:themeColor="text1"/>
          <w:sz w:val="28"/>
          <w:szCs w:val="28"/>
        </w:rPr>
      </w:pPr>
    </w:p>
    <w:p w:rsidR="00AE4E14" w:rsidRPr="00CC7883" w:rsidRDefault="00882E3D" w:rsidP="00047411">
      <w:pPr>
        <w:widowControl w:val="0"/>
        <w:spacing w:after="0" w:line="360" w:lineRule="auto"/>
        <w:ind w:firstLine="720"/>
        <w:jc w:val="both"/>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 xml:space="preserve">Починаючи з четвертої доби адаптації, плівку поступово послаблювали з метою збільшення доступу повітря </w:t>
      </w:r>
      <w:r w:rsidR="00413F1E" w:rsidRPr="00CC7883">
        <w:rPr>
          <w:rFonts w:ascii="Times New Roman" w:hAnsi="Times New Roman" w:cs="Times New Roman"/>
          <w:iCs/>
          <w:color w:val="000000" w:themeColor="text1"/>
          <w:sz w:val="28"/>
          <w:szCs w:val="28"/>
        </w:rPr>
        <w:t xml:space="preserve">та зниження надмірної вологості: перша </w:t>
      </w:r>
      <w:r w:rsidR="00413F1E" w:rsidRPr="00CC7883">
        <w:rPr>
          <w:rFonts w:ascii="Times New Roman" w:hAnsi="Times New Roman" w:cs="Times New Roman"/>
          <w:iCs/>
          <w:color w:val="000000" w:themeColor="text1"/>
          <w:sz w:val="28"/>
          <w:szCs w:val="28"/>
        </w:rPr>
        <w:lastRenderedPageBreak/>
        <w:t>доба – 30</w:t>
      </w:r>
      <w:r w:rsidRPr="00CC7883">
        <w:rPr>
          <w:rFonts w:ascii="Times New Roman" w:hAnsi="Times New Roman" w:cs="Times New Roman"/>
          <w:iCs/>
          <w:color w:val="000000" w:themeColor="text1"/>
          <w:sz w:val="28"/>
          <w:szCs w:val="28"/>
        </w:rPr>
        <w:t xml:space="preserve"> хв</w:t>
      </w:r>
      <w:r w:rsidR="00413F1E" w:rsidRPr="00CC7883">
        <w:rPr>
          <w:rFonts w:ascii="Times New Roman" w:hAnsi="Times New Roman" w:cs="Times New Roman"/>
          <w:iCs/>
          <w:color w:val="000000" w:themeColor="text1"/>
          <w:sz w:val="28"/>
          <w:szCs w:val="28"/>
        </w:rPr>
        <w:t>, друга доба – 1 год, третя доба – 2 год, четверта доба – 3 год</w:t>
      </w:r>
      <w:r w:rsidRPr="00CC7883">
        <w:rPr>
          <w:rFonts w:ascii="Times New Roman" w:hAnsi="Times New Roman" w:cs="Times New Roman"/>
          <w:iCs/>
          <w:color w:val="000000" w:themeColor="text1"/>
          <w:sz w:val="28"/>
          <w:szCs w:val="28"/>
        </w:rPr>
        <w:t xml:space="preserve">. Через дві доби плівку щодня відкривали на 7 годин (з 8:00 до 15:00), що сприяло поступовому звиканню рослин до </w:t>
      </w:r>
      <w:r w:rsidR="00260AC6" w:rsidRPr="00CC7883">
        <w:rPr>
          <w:rFonts w:ascii="Times New Roman" w:hAnsi="Times New Roman" w:cs="Times New Roman"/>
          <w:iCs/>
          <w:color w:val="000000" w:themeColor="text1"/>
          <w:sz w:val="28"/>
          <w:szCs w:val="28"/>
        </w:rPr>
        <w:t>несприятливих</w:t>
      </w:r>
      <w:r w:rsidRPr="00CC7883">
        <w:rPr>
          <w:rFonts w:ascii="Times New Roman" w:hAnsi="Times New Roman" w:cs="Times New Roman"/>
          <w:iCs/>
          <w:color w:val="000000" w:themeColor="text1"/>
          <w:sz w:val="28"/>
          <w:szCs w:val="28"/>
        </w:rPr>
        <w:t xml:space="preserve"> зовнішніх умов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iCs/>
          <w:color w:val="000000" w:themeColor="text1"/>
          <w:sz w:val="28"/>
          <w:szCs w:val="28"/>
        </w:rPr>
        <w:t xml:space="preserve">7.2). </w:t>
      </w: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iCs/>
          <w:noProof/>
          <w:color w:val="000000" w:themeColor="text1"/>
          <w:sz w:val="28"/>
          <w:szCs w:val="28"/>
          <w:lang w:val="ru-RU" w:eastAsia="ru-RU"/>
        </w:rPr>
        <w:drawing>
          <wp:inline distT="0" distB="0" distL="0" distR="0">
            <wp:extent cx="4322445" cy="2874010"/>
            <wp:effectExtent l="19050" t="19050" r="1905" b="2540"/>
            <wp:docPr id="1184309670"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22445" cy="2874010"/>
                    </a:xfrm>
                    <a:prstGeom prst="rect">
                      <a:avLst/>
                    </a:prstGeom>
                    <a:noFill/>
                    <a:ln>
                      <a:solidFill>
                        <a:schemeClr val="tx1"/>
                      </a:solidFill>
                    </a:ln>
                  </pic:spPr>
                </pic:pic>
              </a:graphicData>
            </a:graphic>
          </wp:inline>
        </w:drawing>
      </w: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Рис. 7.2. Стан мікроклонів винограду на етапі поступового зниження вологості: часткове відкривання поліетиленової плівки протягом 7 годин на добу</w:t>
      </w:r>
    </w:p>
    <w:p w:rsidR="00882E3D" w:rsidRPr="00CC7883" w:rsidRDefault="00882E3D" w:rsidP="00047411">
      <w:pPr>
        <w:widowControl w:val="0"/>
        <w:spacing w:after="0" w:line="360" w:lineRule="auto"/>
        <w:jc w:val="both"/>
        <w:rPr>
          <w:rFonts w:ascii="Times New Roman" w:hAnsi="Times New Roman" w:cs="Times New Roman"/>
          <w:iCs/>
          <w:color w:val="000000" w:themeColor="text1"/>
          <w:sz w:val="28"/>
          <w:szCs w:val="28"/>
        </w:rPr>
      </w:pPr>
    </w:p>
    <w:p w:rsidR="00882E3D" w:rsidRPr="00CC7883" w:rsidRDefault="00882E3D" w:rsidP="00047411">
      <w:pPr>
        <w:widowControl w:val="0"/>
        <w:spacing w:after="0" w:line="360" w:lineRule="auto"/>
        <w:jc w:val="both"/>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 xml:space="preserve">Через тиждень після висадки проводили полив розчином Мурасіге-Скуга, але без додавання сахарози та агару. На 30 добу адаптації визначали кількість рослин, що збереглися після первинного періоду загартування. </w:t>
      </w:r>
    </w:p>
    <w:p w:rsidR="00574C61" w:rsidRPr="00CC7883" w:rsidRDefault="00882E3D" w:rsidP="00047411">
      <w:pPr>
        <w:widowControl w:val="0"/>
        <w:spacing w:after="0" w:line="360" w:lineRule="auto"/>
        <w:ind w:firstLine="720"/>
        <w:jc w:val="both"/>
        <w:rPr>
          <w:color w:val="000000" w:themeColor="text1"/>
        </w:rPr>
      </w:pPr>
      <w:r w:rsidRPr="00CC7883">
        <w:rPr>
          <w:rFonts w:ascii="Times New Roman" w:hAnsi="Times New Roman" w:cs="Times New Roman"/>
          <w:iCs/>
          <w:color w:val="000000" w:themeColor="text1"/>
          <w:sz w:val="28"/>
          <w:szCs w:val="28"/>
        </w:rPr>
        <w:t>На початку другого місяця касети переносили до адаптаційної кімнати, де полив здійснювали дистильованою водою. На 60 добу проводили обліки даних приживлюваності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iCs/>
          <w:color w:val="000000" w:themeColor="text1"/>
          <w:sz w:val="28"/>
          <w:szCs w:val="28"/>
        </w:rPr>
        <w:t>7.3).</w:t>
      </w:r>
    </w:p>
    <w:p w:rsidR="00823785" w:rsidRPr="00CC7883" w:rsidRDefault="00574C61" w:rsidP="00AE66F4">
      <w:pPr>
        <w:widowControl w:val="0"/>
        <w:spacing w:after="0" w:line="360" w:lineRule="auto"/>
        <w:ind w:firstLine="720"/>
        <w:jc w:val="both"/>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Впродовж третього місяця мікроклони щоденно виносили до теплиці з природними умовами освітлення, температури та вологості, збільшуючи тривалість перебування (15 хв – 6 год).</w:t>
      </w:r>
      <w:r w:rsidR="00AE66F4">
        <w:rPr>
          <w:rFonts w:ascii="Times New Roman" w:hAnsi="Times New Roman" w:cs="Times New Roman"/>
          <w:iCs/>
          <w:color w:val="000000" w:themeColor="text1"/>
          <w:sz w:val="28"/>
          <w:szCs w:val="28"/>
        </w:rPr>
        <w:t xml:space="preserve"> </w:t>
      </w:r>
      <w:r w:rsidR="00823785" w:rsidRPr="00CC7883">
        <w:rPr>
          <w:rFonts w:ascii="Times New Roman" w:hAnsi="Times New Roman" w:cs="Times New Roman"/>
          <w:iCs/>
          <w:color w:val="000000" w:themeColor="text1"/>
          <w:sz w:val="28"/>
          <w:szCs w:val="28"/>
        </w:rPr>
        <w:t>Це забезпечувало поступове формування механізмів пристосування до сонячного випромінювання, природної мікробіоти та зниженої відносної вологості. На 90 добу проводили остаточний облік за приживлюваністю адаптованих рослин (</w:t>
      </w:r>
      <w:r w:rsidR="00823785" w:rsidRPr="00CC7883">
        <w:rPr>
          <w:rFonts w:ascii="Times New Roman" w:eastAsia="NSimSun" w:hAnsi="Times New Roman" w:cs="Times New Roman"/>
          <w:color w:val="000000" w:themeColor="text1"/>
          <w:kern w:val="3"/>
          <w:sz w:val="28"/>
          <w:szCs w:val="28"/>
          <w:lang w:eastAsia="zh-CN" w:bidi="hi-IN"/>
        </w:rPr>
        <w:t>рис.</w:t>
      </w:r>
      <w:r w:rsidR="00823785" w:rsidRPr="00CC7883">
        <w:rPr>
          <w:rFonts w:ascii="Times New Roman" w:eastAsia="NSimSun" w:hAnsi="Times New Roman" w:cs="Times New Roman"/>
          <w:bCs/>
          <w:color w:val="000000" w:themeColor="text1"/>
          <w:kern w:val="3"/>
          <w:sz w:val="28"/>
          <w:szCs w:val="28"/>
          <w:lang w:eastAsia="zh-CN" w:bidi="hi-IN"/>
        </w:rPr>
        <w:t xml:space="preserve"> </w:t>
      </w:r>
      <w:r w:rsidR="00823785" w:rsidRPr="00CC7883">
        <w:rPr>
          <w:rFonts w:ascii="Times New Roman" w:hAnsi="Times New Roman" w:cs="Times New Roman"/>
          <w:iCs/>
          <w:color w:val="000000" w:themeColor="text1"/>
          <w:sz w:val="28"/>
          <w:szCs w:val="28"/>
        </w:rPr>
        <w:t>7.4).</w:t>
      </w:r>
    </w:p>
    <w:p w:rsidR="00823785" w:rsidRPr="00CC7883" w:rsidRDefault="00823785" w:rsidP="00047411">
      <w:pPr>
        <w:widowControl w:val="0"/>
        <w:spacing w:after="0" w:line="360" w:lineRule="auto"/>
        <w:ind w:firstLine="720"/>
        <w:jc w:val="both"/>
        <w:rPr>
          <w:rFonts w:ascii="Times New Roman" w:hAnsi="Times New Roman" w:cs="Times New Roman"/>
          <w:iCs/>
          <w:color w:val="000000" w:themeColor="text1"/>
          <w:sz w:val="28"/>
          <w:szCs w:val="28"/>
        </w:rPr>
      </w:pP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iCs/>
          <w:noProof/>
          <w:color w:val="000000" w:themeColor="text1"/>
          <w:sz w:val="28"/>
          <w:szCs w:val="28"/>
          <w:lang w:val="ru-RU" w:eastAsia="ru-RU"/>
        </w:rPr>
        <w:drawing>
          <wp:inline distT="0" distB="0" distL="0" distR="0">
            <wp:extent cx="4322445" cy="2874010"/>
            <wp:effectExtent l="19050" t="19050" r="1905" b="2540"/>
            <wp:docPr id="1436718075"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22445" cy="2874010"/>
                    </a:xfrm>
                    <a:prstGeom prst="rect">
                      <a:avLst/>
                    </a:prstGeom>
                    <a:noFill/>
                    <a:ln>
                      <a:solidFill>
                        <a:schemeClr val="tx1"/>
                      </a:solidFill>
                    </a:ln>
                  </pic:spPr>
                </pic:pic>
              </a:graphicData>
            </a:graphic>
          </wp:inline>
        </w:drawing>
      </w: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Рис. 7.3. Стан мікроклонів винограду після перенесення в адаптаційну кімнату на другому місяці адаптації</w:t>
      </w:r>
    </w:p>
    <w:p w:rsidR="00882E3D" w:rsidRPr="00CC7883" w:rsidRDefault="00882E3D" w:rsidP="00047411">
      <w:pPr>
        <w:widowControl w:val="0"/>
        <w:spacing w:after="0" w:line="360" w:lineRule="auto"/>
        <w:jc w:val="both"/>
        <w:rPr>
          <w:rFonts w:ascii="Times New Roman" w:hAnsi="Times New Roman" w:cs="Times New Roman"/>
          <w:iCs/>
          <w:color w:val="000000" w:themeColor="text1"/>
          <w:sz w:val="28"/>
          <w:szCs w:val="28"/>
        </w:rPr>
      </w:pP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iCs/>
          <w:noProof/>
          <w:color w:val="000000" w:themeColor="text1"/>
          <w:sz w:val="28"/>
          <w:szCs w:val="28"/>
          <w:lang w:val="ru-RU" w:eastAsia="ru-RU"/>
        </w:rPr>
        <w:drawing>
          <wp:inline distT="0" distB="0" distL="0" distR="0">
            <wp:extent cx="4657955" cy="2680138"/>
            <wp:effectExtent l="19050" t="19050" r="0" b="6350"/>
            <wp:docPr id="1824011169" name="Рисунок 1824011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60846" cy="2681801"/>
                    </a:xfrm>
                    <a:prstGeom prst="rect">
                      <a:avLst/>
                    </a:prstGeom>
                    <a:noFill/>
                    <a:ln>
                      <a:solidFill>
                        <a:schemeClr val="tx1"/>
                      </a:solidFill>
                    </a:ln>
                  </pic:spPr>
                </pic:pic>
              </a:graphicData>
            </a:graphic>
          </wp:inline>
        </w:drawing>
      </w: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Рис. 7.4. Стан мікроклонів винограду на 90-ту добу адаптації</w:t>
      </w:r>
    </w:p>
    <w:p w:rsidR="00882E3D" w:rsidRPr="00CC7883" w:rsidRDefault="00882E3D" w:rsidP="00047411">
      <w:pPr>
        <w:widowControl w:val="0"/>
        <w:spacing w:after="0" w:line="360" w:lineRule="auto"/>
        <w:jc w:val="both"/>
        <w:rPr>
          <w:rFonts w:ascii="Times New Roman" w:hAnsi="Times New Roman" w:cs="Times New Roman"/>
          <w:iCs/>
          <w:color w:val="000000" w:themeColor="text1"/>
          <w:sz w:val="28"/>
          <w:szCs w:val="28"/>
        </w:rPr>
      </w:pPr>
    </w:p>
    <w:p w:rsidR="00E52823" w:rsidRPr="00CC7883" w:rsidRDefault="00E52823" w:rsidP="00047411">
      <w:pPr>
        <w:widowControl w:val="0"/>
        <w:spacing w:after="0" w:line="360" w:lineRule="auto"/>
        <w:ind w:firstLine="720"/>
        <w:jc w:val="both"/>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Після першого місяця адаптації показники приживлюваності мікроклонів винограду, які культивували на стандартних поживних середовищах MS (контролі), дорівнювали для рослин сорту «Добриня» – 46,5 і 37,5 %, сорту «Гарант» – 53,5 і 49,0 %, сорту «Ярило» – 60,0 і 52,0 %, сорту «Загрей» – 57,0 і 47,5 %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iCs/>
          <w:color w:val="000000" w:themeColor="text1"/>
          <w:sz w:val="28"/>
          <w:szCs w:val="28"/>
        </w:rPr>
        <w:t>7.5).</w:t>
      </w:r>
    </w:p>
    <w:p w:rsidR="00882E3D" w:rsidRPr="00CC7883" w:rsidRDefault="00373089" w:rsidP="00047411">
      <w:pPr>
        <w:widowControl w:val="0"/>
        <w:tabs>
          <w:tab w:val="left" w:pos="1397"/>
        </w:tabs>
        <w:spacing w:after="0" w:line="360" w:lineRule="auto"/>
        <w:jc w:val="both"/>
        <w:rPr>
          <w:rFonts w:ascii="Times New Roman" w:hAnsi="Times New Roman" w:cs="Times New Roman"/>
          <w:iCs/>
          <w:color w:val="000000" w:themeColor="text1"/>
          <w:sz w:val="28"/>
          <w:szCs w:val="28"/>
        </w:rPr>
      </w:pPr>
      <w:r w:rsidRPr="00CC7883">
        <w:rPr>
          <w:noProof/>
          <w:color w:val="000000" w:themeColor="text1"/>
          <w:lang w:val="ru-RU" w:eastAsia="ru-RU"/>
        </w:rPr>
        <w:lastRenderedPageBreak/>
        <w:drawing>
          <wp:inline distT="0" distB="0" distL="0" distR="0">
            <wp:extent cx="5918612" cy="2885704"/>
            <wp:effectExtent l="19050" t="0" r="24988" b="0"/>
            <wp:docPr id="537076810" name="Диаграмма 5370768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7"/>
              </a:graphicData>
            </a:graphic>
          </wp:inline>
        </w:drawing>
      </w:r>
    </w:p>
    <w:p w:rsidR="00882E3D" w:rsidRPr="00CC7883" w:rsidRDefault="00373089" w:rsidP="00047411">
      <w:pPr>
        <w:widowControl w:val="0"/>
        <w:spacing w:after="0" w:line="360" w:lineRule="auto"/>
        <w:jc w:val="both"/>
        <w:rPr>
          <w:rFonts w:ascii="Times New Roman" w:hAnsi="Times New Roman" w:cs="Times New Roman"/>
          <w:iCs/>
          <w:color w:val="000000" w:themeColor="text1"/>
          <w:sz w:val="28"/>
          <w:szCs w:val="28"/>
        </w:rPr>
      </w:pPr>
      <w:r w:rsidRPr="00CC7883">
        <w:rPr>
          <w:noProof/>
          <w:color w:val="000000" w:themeColor="text1"/>
          <w:lang w:val="ru-RU" w:eastAsia="ru-RU"/>
        </w:rPr>
        <w:drawing>
          <wp:inline distT="0" distB="0" distL="0" distR="0">
            <wp:extent cx="5917598" cy="2931935"/>
            <wp:effectExtent l="19050" t="0" r="26002" b="1765"/>
            <wp:docPr id="537076811" name="Диаграмма 5370768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8"/>
              </a:graphicData>
            </a:graphic>
          </wp:inline>
        </w:drawing>
      </w:r>
    </w:p>
    <w:p w:rsidR="0018241B"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 xml:space="preserve">Рис. 7.5. Приживлюваність мікроклонів винограду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iCs/>
          <w:color w:val="000000" w:themeColor="text1"/>
          <w:sz w:val="28"/>
          <w:szCs w:val="28"/>
        </w:rPr>
        <w:t xml:space="preserve"> через </w:t>
      </w:r>
    </w:p>
    <w:p w:rsidR="00882E3D" w:rsidRPr="00CC7883"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iCs/>
          <w:color w:val="000000" w:themeColor="text1"/>
          <w:sz w:val="28"/>
          <w:szCs w:val="28"/>
        </w:rPr>
        <w:t>30 діб культивування (середнє за 20</w:t>
      </w:r>
      <w:r w:rsidR="008E344A" w:rsidRPr="00CC7883">
        <w:rPr>
          <w:rFonts w:ascii="Times New Roman" w:hAnsi="Times New Roman" w:cs="Times New Roman"/>
          <w:iCs/>
          <w:color w:val="000000" w:themeColor="text1"/>
          <w:sz w:val="28"/>
          <w:szCs w:val="28"/>
        </w:rPr>
        <w:t>19</w:t>
      </w:r>
      <w:r w:rsidRPr="00CC7883">
        <w:rPr>
          <w:rFonts w:ascii="Times New Roman" w:hAnsi="Times New Roman" w:cs="Times New Roman"/>
          <w:iCs/>
          <w:color w:val="000000" w:themeColor="text1"/>
          <w:sz w:val="28"/>
          <w:szCs w:val="28"/>
        </w:rPr>
        <w:t>–2022 рр.)</w:t>
      </w: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p>
    <w:p w:rsidR="00E52823" w:rsidRPr="00CC7883" w:rsidRDefault="00E52823" w:rsidP="00047411">
      <w:pPr>
        <w:widowControl w:val="0"/>
        <w:spacing w:after="0" w:line="360" w:lineRule="auto"/>
        <w:ind w:firstLine="720"/>
        <w:jc w:val="both"/>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 xml:space="preserve">Найбільшим показником приживлюваності характеризувалися мікроклони сьомого – 80,0 % («Добриня»), 96,0 % («Гарант»), 79,5 % («Ярило»), 75,0 % («Загрей»), дев’ятого – відповідно 85,5 %, 86,0 %, 81,0 %, 77,5 %, одинадцятого – 90,0 %, 87,5 %, 98,0 %, 94,0 % та дванадцятого варіантів – 80,0 %, 84,0 %, 80,0 %, 80,0 %. Це варіанти з додаванням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hAnsi="Times New Roman" w:cs="Times New Roman"/>
          <w:iCs/>
          <w:color w:val="000000" w:themeColor="text1"/>
          <w:sz w:val="28"/>
          <w:szCs w:val="28"/>
        </w:rPr>
        <w:t xml:space="preserve">их </w:t>
      </w:r>
      <w:r w:rsidR="004C5062">
        <w:rPr>
          <w:rFonts w:ascii="Times New Roman" w:hAnsi="Times New Roman" w:cs="Times New Roman"/>
          <w:iCs/>
          <w:color w:val="000000" w:themeColor="text1"/>
          <w:sz w:val="28"/>
          <w:szCs w:val="28"/>
        </w:rPr>
        <w:t>компонентів</w:t>
      </w:r>
      <w:r w:rsidRPr="00CC7883">
        <w:rPr>
          <w:rFonts w:ascii="Times New Roman" w:hAnsi="Times New Roman" w:cs="Times New Roman"/>
          <w:iCs/>
          <w:color w:val="000000" w:themeColor="text1"/>
          <w:sz w:val="28"/>
          <w:szCs w:val="28"/>
        </w:rPr>
        <w:t xml:space="preserve"> – агроперліту, вермикуліту та їх суміші до стандартного поживного середовища </w:t>
      </w:r>
      <w:r w:rsidR="00FE5EA9">
        <w:rPr>
          <w:rFonts w:ascii="Times New Roman" w:eastAsia="NSimSun" w:hAnsi="Times New Roman" w:cs="Times New Roman"/>
          <w:color w:val="000000" w:themeColor="text1"/>
          <w:kern w:val="3"/>
          <w:sz w:val="28"/>
          <w:szCs w:val="28"/>
          <w:lang w:val="en-US"/>
        </w:rPr>
        <w:t>M</w:t>
      </w:r>
      <w:r w:rsidR="00FE5EA9"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iCs/>
          <w:color w:val="000000" w:themeColor="text1"/>
          <w:sz w:val="28"/>
          <w:szCs w:val="28"/>
        </w:rPr>
        <w:t xml:space="preserve"> із вмістом фітогормонів – 0,3 </w:t>
      </w:r>
      <w:r w:rsidRPr="00CC7883">
        <w:rPr>
          <w:rFonts w:ascii="Times New Roman" w:hAnsi="Times New Roman" w:cs="Times New Roman"/>
          <w:iCs/>
          <w:color w:val="000000" w:themeColor="text1"/>
          <w:sz w:val="28"/>
          <w:szCs w:val="28"/>
        </w:rPr>
        <w:lastRenderedPageBreak/>
        <w:t xml:space="preserve">мг/л ІОК, 0,2 мг/л </w:t>
      </w:r>
      <w:r w:rsidR="00FB0BAF">
        <w:rPr>
          <w:rFonts w:ascii="Times New Roman" w:hAnsi="Times New Roman" w:cs="Times New Roman"/>
          <w:iCs/>
          <w:color w:val="000000" w:themeColor="text1"/>
          <w:sz w:val="28"/>
          <w:szCs w:val="28"/>
        </w:rPr>
        <w:t>6-</w:t>
      </w:r>
      <w:r w:rsidRPr="00CC7883">
        <w:rPr>
          <w:rFonts w:ascii="Times New Roman" w:hAnsi="Times New Roman" w:cs="Times New Roman"/>
          <w:iCs/>
          <w:color w:val="000000" w:themeColor="text1"/>
          <w:sz w:val="28"/>
          <w:szCs w:val="28"/>
        </w:rPr>
        <w:t>БАП. Порівняно з контролем показник приживлюваності мікроклонів винограду у цих варіантах збільшувався на 32,5–43,5 % (підщепні сорти), 18,0–38,0 % (технічні сорти) та на 16,0–17,2 %, на 12,4–14,1</w:t>
      </w:r>
      <w:r w:rsidR="000B41B9" w:rsidRPr="00CC7883">
        <w:rPr>
          <w:rFonts w:ascii="Times New Roman" w:hAnsi="Times New Roman" w:cs="Times New Roman"/>
          <w:iCs/>
          <w:color w:val="000000" w:themeColor="text1"/>
          <w:sz w:val="28"/>
          <w:szCs w:val="28"/>
        </w:rPr>
        <w:t> </w:t>
      </w:r>
      <w:r w:rsidRPr="00CC7883">
        <w:rPr>
          <w:rFonts w:ascii="Times New Roman" w:hAnsi="Times New Roman" w:cs="Times New Roman"/>
          <w:iCs/>
          <w:color w:val="000000" w:themeColor="text1"/>
          <w:sz w:val="28"/>
          <w:szCs w:val="28"/>
        </w:rPr>
        <w:t xml:space="preserve">% порівняно з іншими дослідними варіантами. У варіантах, де до поживного середовища додавали агроперліт (восьмий варіант), вермикуліт (десятий варіант), де поживне середовище містило більшу кількість фітогормонів, приживлюваність мікроклонів також була більшою </w:t>
      </w:r>
      <w:r w:rsidR="00E248E8">
        <w:rPr>
          <w:rFonts w:ascii="Times New Roman" w:eastAsia="NSimSun" w:hAnsi="Times New Roman" w:cs="Times New Roman"/>
          <w:color w:val="000000" w:themeColor="text1"/>
          <w:kern w:val="3"/>
          <w:sz w:val="28"/>
          <w:szCs w:val="28"/>
        </w:rPr>
        <w:t>порівняно</w:t>
      </w:r>
      <w:r w:rsidRPr="00CC7883">
        <w:rPr>
          <w:rFonts w:ascii="Times New Roman" w:hAnsi="Times New Roman" w:cs="Times New Roman"/>
          <w:iCs/>
          <w:color w:val="000000" w:themeColor="text1"/>
          <w:sz w:val="28"/>
          <w:szCs w:val="28"/>
        </w:rPr>
        <w:t xml:space="preserve"> з контролем, але поступалася аналогічним варіантам з їх меншим вмістом. Так, для мікроклонів підщепних сортів цей показник дорівнював 76,0–81,5 %, для мікроклонів технічних сортів </w:t>
      </w:r>
      <w:r w:rsidR="00E82857">
        <w:rPr>
          <w:rFonts w:ascii="Times New Roman" w:hAnsi="Times New Roman" w:cs="Times New Roman"/>
          <w:iCs/>
          <w:color w:val="000000" w:themeColor="text1"/>
          <w:sz w:val="28"/>
          <w:szCs w:val="28"/>
        </w:rPr>
        <w:t xml:space="preserve">– </w:t>
      </w:r>
      <w:r w:rsidRPr="00CC7883">
        <w:rPr>
          <w:rFonts w:ascii="Times New Roman" w:hAnsi="Times New Roman" w:cs="Times New Roman"/>
          <w:iCs/>
          <w:color w:val="000000" w:themeColor="text1"/>
          <w:sz w:val="28"/>
          <w:szCs w:val="28"/>
        </w:rPr>
        <w:t>64,0–75,0 %. Порівняно з контролем це на 16,5–39,5 % більше.</w:t>
      </w:r>
    </w:p>
    <w:p w:rsidR="00E52823" w:rsidRPr="00CC7883" w:rsidRDefault="00E52823" w:rsidP="00047411">
      <w:pPr>
        <w:widowControl w:val="0"/>
        <w:spacing w:after="0" w:line="360" w:lineRule="auto"/>
        <w:ind w:firstLine="720"/>
        <w:jc w:val="both"/>
        <w:rPr>
          <w:rFonts w:ascii="Times New Roman" w:hAnsi="Times New Roman" w:cs="Times New Roman"/>
          <w:iCs/>
          <w:color w:val="000000" w:themeColor="text1"/>
          <w:sz w:val="28"/>
          <w:szCs w:val="28"/>
        </w:rPr>
      </w:pPr>
      <w:r w:rsidRPr="00CC7883">
        <w:rPr>
          <w:rFonts w:ascii="Times New Roman" w:hAnsi="Times New Roman" w:cs="Times New Roman"/>
          <w:iCs/>
          <w:color w:val="000000" w:themeColor="text1"/>
          <w:sz w:val="28"/>
          <w:szCs w:val="28"/>
        </w:rPr>
        <w:t>У варіантах, де до поживного середовища додавали препарат Радіфарм (третій–четвертий варіанти)</w:t>
      </w:r>
      <w:r w:rsidR="009D6944">
        <w:rPr>
          <w:rFonts w:ascii="Times New Roman" w:hAnsi="Times New Roman" w:cs="Times New Roman"/>
          <w:iCs/>
          <w:color w:val="000000" w:themeColor="text1"/>
          <w:sz w:val="28"/>
          <w:szCs w:val="28"/>
        </w:rPr>
        <w:t>,</w:t>
      </w:r>
      <w:r w:rsidRPr="00CC7883">
        <w:rPr>
          <w:rFonts w:ascii="Times New Roman" w:hAnsi="Times New Roman" w:cs="Times New Roman"/>
          <w:iCs/>
          <w:color w:val="000000" w:themeColor="text1"/>
          <w:sz w:val="28"/>
          <w:szCs w:val="28"/>
        </w:rPr>
        <w:t xml:space="preserve"> приживлюваність мікроклонів також збільшувалася порівняно з контролем: для сорту «Добриня» до 54,5–60,0 % (що на 13,5–17,0 % більше від контрольних значень), для сорту «Гарант» до 55,0–68,0 % (що на 6,0–14,5 % більше контрольних значень). Слід зазначити, що для сорту «Ярило» дія препарату була найбільш вираженою: показник приживлюваності дорівнював 58,0–65,0 %, що на 5,0–6,0 % перевищувало контрольні значення. Для сорту «Загрей» показник приживлюваності збільшувався до 58,0–65,5 %, що перевищувало контрольні значення на 8,5–10,5 %. Подібна тенденція відзначалася у мікроклонів п’ятого і шостого варіантів після застосування препарату Clonex gel. </w:t>
      </w:r>
    </w:p>
    <w:p w:rsidR="00E52823" w:rsidRPr="00CC7883" w:rsidRDefault="00E52823"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Мікроклони, які культивували на поживних середовищах з меншим вмістом фітогормонів (0,2 мг/л 6-БАП, 0,3 мг/л ІОК)</w:t>
      </w:r>
      <w:r w:rsidR="00E82857">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краще приживалися в неконтрольованих умовах довкілля, порівняно з мікроклонами, які культивували на поживних середовищах з більшим вмістом фітогормонів (0,5</w:t>
      </w:r>
      <w:r w:rsidR="00DD163A" w:rsidRPr="00CC7883">
        <w:rPr>
          <w:rFonts w:ascii="Times New Roman" w:hAnsi="Times New Roman" w:cs="Times New Roman"/>
          <w:color w:val="000000" w:themeColor="text1"/>
          <w:sz w:val="28"/>
        </w:rPr>
        <w:t> </w:t>
      </w:r>
      <w:r w:rsidRPr="00CC7883">
        <w:rPr>
          <w:rFonts w:ascii="Times New Roman" w:hAnsi="Times New Roman" w:cs="Times New Roman"/>
          <w:color w:val="000000" w:themeColor="text1"/>
          <w:sz w:val="28"/>
        </w:rPr>
        <w:t>мг/л 6-БАП, 0,6 мг/л ІОК). Така перевага перебувала у межах 7,2–9,1 % для мікроклонів підщепних, 8,5–9,1 % для мікроклонів технічних сортів.</w:t>
      </w:r>
    </w:p>
    <w:p w:rsidR="00E52823" w:rsidRPr="00CC7883" w:rsidRDefault="00E52823"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Після двох місяців адаптації </w:t>
      </w:r>
      <w:r w:rsidRPr="00CC7883">
        <w:rPr>
          <w:rFonts w:ascii="Times New Roman" w:hAnsi="Times New Roman" w:cs="Times New Roman"/>
          <w:iCs/>
          <w:color w:val="000000" w:themeColor="text1"/>
          <w:sz w:val="28"/>
          <w:szCs w:val="28"/>
        </w:rPr>
        <w:t>показники приживлюваності мікроклонів винограду зменшувалися за всіма варіантами дослід</w:t>
      </w:r>
      <w:r w:rsidR="00D73786">
        <w:rPr>
          <w:rFonts w:ascii="Times New Roman" w:hAnsi="Times New Roman" w:cs="Times New Roman"/>
          <w:iCs/>
          <w:color w:val="000000" w:themeColor="text1"/>
          <w:sz w:val="28"/>
          <w:szCs w:val="28"/>
        </w:rPr>
        <w:t>у</w:t>
      </w:r>
      <w:r w:rsidRPr="00CC7883">
        <w:rPr>
          <w:rFonts w:ascii="Times New Roman" w:hAnsi="Times New Roman" w:cs="Times New Roman"/>
          <w:color w:val="000000" w:themeColor="text1"/>
          <w:sz w:val="28"/>
        </w:rPr>
        <w:t xml:space="preserve">, що є закономірним для </w:t>
      </w:r>
      <w:r w:rsidRPr="00CC7883">
        <w:rPr>
          <w:rFonts w:ascii="Times New Roman" w:hAnsi="Times New Roman" w:cs="Times New Roman"/>
          <w:color w:val="000000" w:themeColor="text1"/>
          <w:sz w:val="28"/>
        </w:rPr>
        <w:lastRenderedPageBreak/>
        <w:t xml:space="preserve">періоду переходу рослин до умов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Для підщепних сортів показники контролю дорівнювали 29,5–36,3 %, для технічних – 29,5–40,0 %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rPr>
        <w:t xml:space="preserve">7.6). </w:t>
      </w:r>
    </w:p>
    <w:p w:rsidR="00882E3D" w:rsidRPr="00CC7883" w:rsidRDefault="00373089" w:rsidP="00047411">
      <w:pPr>
        <w:widowControl w:val="0"/>
        <w:spacing w:after="0" w:line="360" w:lineRule="auto"/>
        <w:jc w:val="both"/>
        <w:rPr>
          <w:rFonts w:ascii="Times New Roman" w:hAnsi="Times New Roman" w:cs="Times New Roman"/>
          <w:color w:val="000000" w:themeColor="text1"/>
          <w:sz w:val="28"/>
        </w:rPr>
      </w:pPr>
      <w:r w:rsidRPr="00CC7883">
        <w:rPr>
          <w:noProof/>
          <w:color w:val="000000" w:themeColor="text1"/>
          <w:lang w:val="ru-RU" w:eastAsia="ru-RU"/>
        </w:rPr>
        <w:drawing>
          <wp:inline distT="0" distB="0" distL="0" distR="0">
            <wp:extent cx="5928393" cy="3044339"/>
            <wp:effectExtent l="19050" t="0" r="15207" b="3661"/>
            <wp:docPr id="537076812" name="Диаграмма 5370768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9"/>
              </a:graphicData>
            </a:graphic>
          </wp:inline>
        </w:drawing>
      </w:r>
    </w:p>
    <w:p w:rsidR="004523A6" w:rsidRPr="00CC7883" w:rsidRDefault="00373089" w:rsidP="00047411">
      <w:pPr>
        <w:widowControl w:val="0"/>
        <w:spacing w:after="0" w:line="360" w:lineRule="auto"/>
        <w:jc w:val="both"/>
        <w:rPr>
          <w:rFonts w:ascii="Times New Roman" w:hAnsi="Times New Roman" w:cs="Times New Roman"/>
          <w:color w:val="000000" w:themeColor="text1"/>
          <w:sz w:val="28"/>
        </w:rPr>
      </w:pPr>
      <w:r w:rsidRPr="00CC7883">
        <w:rPr>
          <w:noProof/>
          <w:color w:val="000000" w:themeColor="text1"/>
          <w:lang w:val="ru-RU" w:eastAsia="ru-RU"/>
        </w:rPr>
        <w:drawing>
          <wp:inline distT="0" distB="0" distL="0" distR="0">
            <wp:extent cx="5929028" cy="3146961"/>
            <wp:effectExtent l="19050" t="0" r="14572" b="0"/>
            <wp:docPr id="537076813" name="Диаграмма 5370768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0"/>
              </a:graphicData>
            </a:graphic>
          </wp:inline>
        </w:drawing>
      </w:r>
    </w:p>
    <w:p w:rsidR="00882E3D"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color w:val="000000" w:themeColor="text1"/>
          <w:sz w:val="28"/>
        </w:rPr>
        <w:t xml:space="preserve">Рис. 7.6. Приживлюваність мікроклонів винограду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xml:space="preserve"> через 60 діб</w:t>
      </w:r>
      <w:r w:rsidR="008E344A" w:rsidRPr="00CC7883">
        <w:rPr>
          <w:rFonts w:ascii="Times New Roman" w:hAnsi="Times New Roman" w:cs="Times New Roman"/>
          <w:iCs/>
          <w:color w:val="000000" w:themeColor="text1"/>
          <w:sz w:val="28"/>
          <w:szCs w:val="28"/>
        </w:rPr>
        <w:t xml:space="preserve"> культивування (середнє за 2019</w:t>
      </w:r>
      <w:r w:rsidRPr="00CC7883">
        <w:rPr>
          <w:rFonts w:ascii="Times New Roman" w:hAnsi="Times New Roman" w:cs="Times New Roman"/>
          <w:iCs/>
          <w:color w:val="000000" w:themeColor="text1"/>
          <w:sz w:val="28"/>
          <w:szCs w:val="28"/>
        </w:rPr>
        <w:t>–2022 рр.)</w:t>
      </w:r>
    </w:p>
    <w:p w:rsidR="0009455F" w:rsidRDefault="0009455F" w:rsidP="00047411">
      <w:pPr>
        <w:widowControl w:val="0"/>
        <w:spacing w:after="0" w:line="360" w:lineRule="auto"/>
        <w:jc w:val="center"/>
        <w:rPr>
          <w:rFonts w:ascii="Times New Roman" w:hAnsi="Times New Roman" w:cs="Times New Roman"/>
          <w:iCs/>
          <w:color w:val="000000" w:themeColor="text1"/>
          <w:sz w:val="28"/>
          <w:szCs w:val="28"/>
        </w:rPr>
      </w:pPr>
    </w:p>
    <w:p w:rsidR="0009455F" w:rsidRPr="00CC7883" w:rsidRDefault="0009455F" w:rsidP="0009455F">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Незважаючи на загальне зменшення цього показника, у </w:t>
      </w:r>
      <w:r>
        <w:rPr>
          <w:rFonts w:ascii="Times New Roman" w:hAnsi="Times New Roman" w:cs="Times New Roman"/>
          <w:color w:val="000000" w:themeColor="text1"/>
          <w:sz w:val="28"/>
        </w:rPr>
        <w:t>низці</w:t>
      </w:r>
      <w:r w:rsidRPr="00CC7883">
        <w:rPr>
          <w:rFonts w:ascii="Times New Roman" w:hAnsi="Times New Roman" w:cs="Times New Roman"/>
          <w:color w:val="000000" w:themeColor="text1"/>
          <w:sz w:val="28"/>
        </w:rPr>
        <w:t xml:space="preserve"> дослідних варіантів спостерігалося збереження високої життєздатності рослин.</w:t>
      </w:r>
    </w:p>
    <w:p w:rsidR="0009455F" w:rsidRPr="00CC7883" w:rsidRDefault="0009455F" w:rsidP="0009455F">
      <w:pPr>
        <w:widowControl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Найкращі результати були характерні для варіантів, де мікроклони культивували на поживних середовищах із агроперлітом (сьомий варіант), </w:t>
      </w:r>
      <w:r w:rsidRPr="00CC7883">
        <w:rPr>
          <w:rFonts w:ascii="Times New Roman" w:hAnsi="Times New Roman" w:cs="Times New Roman"/>
          <w:color w:val="000000" w:themeColor="text1"/>
          <w:sz w:val="28"/>
        </w:rPr>
        <w:lastRenderedPageBreak/>
        <w:t xml:space="preserve">вермикулітом (дев’ятий варіант) та сумішшю агроперліту і вермикуліту (одинадцятий, дванадцятий варіанти). У цих варіантах показник приживлюваності мікроклонів сорту «Добриня» дорівнював 72,0–84,5 %, мікроклонів сорту «Гарант» – 67,0–77,0 %, мікроклонів сорту «Ярило» – 70,0–85,5 %, мікроклонів сорту «Загрей» – 58,8–77,2 %. </w:t>
      </w:r>
      <w:r>
        <w:rPr>
          <w:rFonts w:ascii="Times New Roman" w:eastAsia="NSimSun" w:hAnsi="Times New Roman" w:cs="Times New Roman"/>
          <w:color w:val="000000" w:themeColor="text1"/>
          <w:kern w:val="3"/>
          <w:sz w:val="28"/>
          <w:szCs w:val="28"/>
        </w:rPr>
        <w:t>Порівняно</w:t>
      </w:r>
      <w:r w:rsidRPr="00CC7883">
        <w:rPr>
          <w:rFonts w:ascii="Times New Roman" w:hAnsi="Times New Roman" w:cs="Times New Roman"/>
          <w:color w:val="000000" w:themeColor="text1"/>
          <w:sz w:val="28"/>
        </w:rPr>
        <w:t xml:space="preserve"> з контрольними значеннями він був більший на 30,7–48,5 % (підщепні сорти) та на 21,9–40,5 % (технічні сорти). </w:t>
      </w:r>
      <w:r>
        <w:rPr>
          <w:rFonts w:ascii="Times New Roman" w:eastAsia="NSimSun" w:hAnsi="Times New Roman" w:cs="Times New Roman"/>
          <w:color w:val="000000" w:themeColor="text1"/>
          <w:kern w:val="3"/>
          <w:sz w:val="28"/>
          <w:szCs w:val="28"/>
        </w:rPr>
        <w:t>Порівняно</w:t>
      </w:r>
      <w:r w:rsidRPr="00CC7883">
        <w:rPr>
          <w:rFonts w:ascii="Times New Roman" w:hAnsi="Times New Roman" w:cs="Times New Roman"/>
          <w:color w:val="000000" w:themeColor="text1"/>
          <w:sz w:val="28"/>
        </w:rPr>
        <w:t xml:space="preserve"> з іншими дослідними варіантами цей показник збільшувався на 9,3–20,2 % і 9,3–10,5 %. В інших варіантах досліду з використанням структурованих поживних середовищ (восьмий, дев’ятий, десятий варіанти) показник приживлюваності був меншим, але достовірно відмінним від контролю.</w:t>
      </w:r>
    </w:p>
    <w:p w:rsidR="0009455F" w:rsidRDefault="0009455F" w:rsidP="0009455F">
      <w:pPr>
        <w:widowControl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Варіанти, де до складу поживних середовищ додавали препарат Радіфарм (третій, четвертий варіанти), приживлюваність мікроклонів була на рівні 47,0–52,0 % («Добриня», «Гарант»), 46,9–58,0 % («Ярило», «Загрей»), що на 14,0–18,0 % та на 17,4–18,0 % було більш</w:t>
      </w:r>
      <w:r>
        <w:rPr>
          <w:rFonts w:ascii="Times New Roman" w:hAnsi="Times New Roman" w:cs="Times New Roman"/>
          <w:color w:val="000000" w:themeColor="text1"/>
          <w:sz w:val="28"/>
        </w:rPr>
        <w:t>е</w:t>
      </w:r>
      <w:r w:rsidRPr="00CC7883">
        <w:rPr>
          <w:rFonts w:ascii="Times New Roman" w:hAnsi="Times New Roman" w:cs="Times New Roman"/>
          <w:color w:val="000000" w:themeColor="text1"/>
          <w:sz w:val="28"/>
        </w:rPr>
        <w:t xml:space="preserve"> за контрольні показники.</w:t>
      </w:r>
    </w:p>
    <w:p w:rsidR="0009455F" w:rsidRPr="00CC7883" w:rsidRDefault="0009455F" w:rsidP="0009455F">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Позитивний вплив БАП також від</w:t>
      </w:r>
      <w:r>
        <w:rPr>
          <w:rFonts w:ascii="Times New Roman" w:hAnsi="Times New Roman" w:cs="Times New Roman"/>
          <w:color w:val="000000" w:themeColor="text1"/>
          <w:sz w:val="28"/>
        </w:rPr>
        <w:t>значено</w:t>
      </w:r>
      <w:r w:rsidRPr="00CC7883">
        <w:rPr>
          <w:rFonts w:ascii="Times New Roman" w:hAnsi="Times New Roman" w:cs="Times New Roman"/>
          <w:color w:val="000000" w:themeColor="text1"/>
          <w:sz w:val="28"/>
        </w:rPr>
        <w:t xml:space="preserve"> і в п’ятому, шостому варіантах. У підщепних сортів показник приживлюваності був на рівні 47,0–65,5 %, у технічних сортів – 51,2–62,3 %. </w:t>
      </w:r>
    </w:p>
    <w:p w:rsidR="0009455F" w:rsidRPr="00CC7883" w:rsidRDefault="0009455F" w:rsidP="0009455F">
      <w:pPr>
        <w:widowControl w:val="0"/>
        <w:spacing w:after="0" w:line="360" w:lineRule="auto"/>
        <w:ind w:firstLine="720"/>
        <w:jc w:val="both"/>
        <w:rPr>
          <w:rFonts w:ascii="Times New Roman" w:hAnsi="Times New Roman" w:cs="Times New Roman"/>
          <w:bCs/>
          <w:color w:val="000000" w:themeColor="text1"/>
          <w:sz w:val="28"/>
        </w:rPr>
      </w:pPr>
      <w:r w:rsidRPr="00CC7883">
        <w:rPr>
          <w:rFonts w:ascii="Times New Roman" w:hAnsi="Times New Roman" w:cs="Times New Roman"/>
          <w:color w:val="000000" w:themeColor="text1"/>
          <w:sz w:val="28"/>
        </w:rPr>
        <w:t>Мікроклони, які культивували на поживних середовищах із меншим вмістом фітогормонів (0,3 мг/л ІОК,</w:t>
      </w:r>
      <w:r>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0,2 мг/л 6-БАП)</w:t>
      </w:r>
      <w:r>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характеризувалися вищим рівнем приживлюваності і після двох місяців адаптації.</w:t>
      </w:r>
      <w:r>
        <w:rPr>
          <w:rFonts w:ascii="Times New Roman" w:hAnsi="Times New Roman" w:cs="Times New Roman"/>
          <w:color w:val="000000" w:themeColor="text1"/>
          <w:sz w:val="28"/>
        </w:rPr>
        <w:t xml:space="preserve"> </w:t>
      </w:r>
      <w:r w:rsidRPr="00CC7883">
        <w:rPr>
          <w:rFonts w:ascii="Times New Roman" w:hAnsi="Times New Roman" w:cs="Times New Roman"/>
          <w:bCs/>
          <w:color w:val="000000" w:themeColor="text1"/>
          <w:sz w:val="28"/>
        </w:rPr>
        <w:t>У середньому їх приживлюваність перевищувала варіанти з підвищеним вмістом фітогормонів (0,5 мг/л 6-БАП, 0,6 мг/л ІОК) на 6,8–8,0 % для підщепних сортів і 8,5–9,1 % – для технічних сортів винограду.</w:t>
      </w:r>
    </w:p>
    <w:p w:rsidR="003B5ED9" w:rsidRPr="00CC7883" w:rsidRDefault="003B5ED9"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Після трьох місяців адаптації мікроклонів винограду їх рівень приживлюваності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xml:space="preserve"> знижувався, але у подальшому вже залишався без змін. За цей період у першому та другому варіантах (контролі) показник приживлюваності мікроклонів винограду сортів </w:t>
      </w:r>
      <w:r w:rsidRPr="00CC7883">
        <w:rPr>
          <w:rFonts w:ascii="Times New Roman" w:hAnsi="Times New Roman" w:cs="Times New Roman"/>
          <w:iCs/>
          <w:color w:val="000000" w:themeColor="text1"/>
          <w:sz w:val="28"/>
          <w:szCs w:val="28"/>
        </w:rPr>
        <w:t>«Добриня»</w:t>
      </w:r>
      <w:r w:rsidRPr="00CC7883">
        <w:rPr>
          <w:rFonts w:ascii="Times New Roman" w:hAnsi="Times New Roman" w:cs="Times New Roman"/>
          <w:color w:val="000000" w:themeColor="text1"/>
          <w:sz w:val="28"/>
        </w:rPr>
        <w:t xml:space="preserve">, </w:t>
      </w:r>
      <w:r w:rsidRPr="00CC7883">
        <w:rPr>
          <w:rFonts w:ascii="Times New Roman" w:hAnsi="Times New Roman" w:cs="Times New Roman"/>
          <w:iCs/>
          <w:color w:val="000000" w:themeColor="text1"/>
          <w:sz w:val="28"/>
          <w:szCs w:val="28"/>
        </w:rPr>
        <w:t>«Гарант»</w:t>
      </w:r>
      <w:r w:rsidRPr="00CC7883">
        <w:rPr>
          <w:rFonts w:ascii="Times New Roman" w:hAnsi="Times New Roman" w:cs="Times New Roman"/>
          <w:color w:val="000000" w:themeColor="text1"/>
          <w:sz w:val="28"/>
        </w:rPr>
        <w:t xml:space="preserve">, </w:t>
      </w:r>
      <w:r w:rsidRPr="00CC7883">
        <w:rPr>
          <w:rFonts w:ascii="Times New Roman" w:hAnsi="Times New Roman" w:cs="Times New Roman"/>
          <w:iCs/>
          <w:color w:val="000000" w:themeColor="text1"/>
          <w:sz w:val="28"/>
          <w:szCs w:val="28"/>
        </w:rPr>
        <w:t>«Ярило»</w:t>
      </w:r>
      <w:r w:rsidRPr="00CC7883">
        <w:rPr>
          <w:rFonts w:ascii="Times New Roman" w:hAnsi="Times New Roman" w:cs="Times New Roman"/>
          <w:color w:val="000000" w:themeColor="text1"/>
          <w:sz w:val="28"/>
        </w:rPr>
        <w:t xml:space="preserve"> і </w:t>
      </w:r>
      <w:r w:rsidRPr="00CC7883">
        <w:rPr>
          <w:rFonts w:ascii="Times New Roman" w:hAnsi="Times New Roman" w:cs="Times New Roman"/>
          <w:iCs/>
          <w:color w:val="000000" w:themeColor="text1"/>
          <w:sz w:val="28"/>
          <w:szCs w:val="28"/>
        </w:rPr>
        <w:t>«Загрей»</w:t>
      </w:r>
      <w:r w:rsidRPr="00CC7883">
        <w:rPr>
          <w:rFonts w:ascii="Times New Roman" w:hAnsi="Times New Roman" w:cs="Times New Roman"/>
          <w:color w:val="000000" w:themeColor="text1"/>
          <w:sz w:val="28"/>
        </w:rPr>
        <w:t xml:space="preserve"> дорівнював 21,5–28,1 %, 25,5–28,5 %, 28,0–35,5 % і 25,0–28,5 % (</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rPr>
        <w:t>7.7).</w:t>
      </w:r>
    </w:p>
    <w:p w:rsidR="00882E3D" w:rsidRPr="00CC7883" w:rsidRDefault="00373089" w:rsidP="00047411">
      <w:pPr>
        <w:widowControl w:val="0"/>
        <w:spacing w:after="0" w:line="360" w:lineRule="auto"/>
        <w:jc w:val="both"/>
        <w:rPr>
          <w:rFonts w:ascii="Times New Roman" w:hAnsi="Times New Roman" w:cs="Times New Roman"/>
          <w:color w:val="000000" w:themeColor="text1"/>
          <w:sz w:val="28"/>
        </w:rPr>
      </w:pPr>
      <w:r w:rsidRPr="00CC7883">
        <w:rPr>
          <w:noProof/>
          <w:color w:val="000000" w:themeColor="text1"/>
          <w:lang w:val="ru-RU" w:eastAsia="ru-RU"/>
        </w:rPr>
        <w:lastRenderedPageBreak/>
        <w:drawing>
          <wp:inline distT="0" distB="0" distL="0" distR="0">
            <wp:extent cx="5882986" cy="2766951"/>
            <wp:effectExtent l="19050" t="0" r="22514" b="0"/>
            <wp:docPr id="537076814" name="Диаграмма 5370768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1"/>
              </a:graphicData>
            </a:graphic>
          </wp:inline>
        </w:drawing>
      </w:r>
    </w:p>
    <w:p w:rsidR="00882E3D" w:rsidRPr="00CC7883" w:rsidRDefault="00373089" w:rsidP="00047411">
      <w:pPr>
        <w:widowControl w:val="0"/>
        <w:spacing w:after="0" w:line="360" w:lineRule="auto"/>
        <w:jc w:val="both"/>
        <w:rPr>
          <w:rFonts w:ascii="Times New Roman" w:hAnsi="Times New Roman" w:cs="Times New Roman"/>
          <w:color w:val="000000" w:themeColor="text1"/>
          <w:sz w:val="28"/>
        </w:rPr>
      </w:pPr>
      <w:r w:rsidRPr="00CC7883">
        <w:rPr>
          <w:noProof/>
          <w:color w:val="000000" w:themeColor="text1"/>
          <w:lang w:val="ru-RU" w:eastAsia="ru-RU"/>
        </w:rPr>
        <w:drawing>
          <wp:inline distT="0" distB="0" distL="0" distR="0">
            <wp:extent cx="5884512" cy="2802577"/>
            <wp:effectExtent l="19050" t="0" r="20988" b="0"/>
            <wp:docPr id="537076815" name="Диаграмма 5370768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2"/>
              </a:graphicData>
            </a:graphic>
          </wp:inline>
        </w:drawing>
      </w:r>
    </w:p>
    <w:p w:rsidR="00FC03B8"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Рис. 7.7. Приживлюваність мікроклонів винограду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xml:space="preserve"> через </w:t>
      </w:r>
    </w:p>
    <w:p w:rsidR="00882E3D"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color w:val="000000" w:themeColor="text1"/>
          <w:sz w:val="28"/>
        </w:rPr>
        <w:t>90 діб</w:t>
      </w:r>
      <w:r w:rsidR="000B41B9" w:rsidRPr="00CC7883">
        <w:rPr>
          <w:rFonts w:ascii="Times New Roman" w:hAnsi="Times New Roman" w:cs="Times New Roman"/>
          <w:color w:val="000000" w:themeColor="text1"/>
          <w:sz w:val="28"/>
        </w:rPr>
        <w:t xml:space="preserve"> </w:t>
      </w:r>
      <w:r w:rsidRPr="00CC7883">
        <w:rPr>
          <w:rFonts w:ascii="Times New Roman" w:hAnsi="Times New Roman" w:cs="Times New Roman"/>
          <w:iCs/>
          <w:color w:val="000000" w:themeColor="text1"/>
          <w:sz w:val="28"/>
          <w:szCs w:val="28"/>
        </w:rPr>
        <w:t xml:space="preserve">культивування (середнє за </w:t>
      </w:r>
      <w:r w:rsidR="008E344A" w:rsidRPr="00CC7883">
        <w:rPr>
          <w:rFonts w:ascii="Times New Roman" w:hAnsi="Times New Roman" w:cs="Times New Roman"/>
          <w:iCs/>
          <w:color w:val="000000" w:themeColor="text1"/>
          <w:sz w:val="28"/>
          <w:szCs w:val="28"/>
        </w:rPr>
        <w:t>2019</w:t>
      </w:r>
      <w:r w:rsidRPr="00CC7883">
        <w:rPr>
          <w:rFonts w:ascii="Times New Roman" w:hAnsi="Times New Roman" w:cs="Times New Roman"/>
          <w:iCs/>
          <w:color w:val="000000" w:themeColor="text1"/>
          <w:sz w:val="28"/>
          <w:szCs w:val="28"/>
        </w:rPr>
        <w:t>–2022 рр.)</w:t>
      </w:r>
    </w:p>
    <w:p w:rsidR="00D339A1" w:rsidRPr="00CC7883" w:rsidRDefault="00D339A1" w:rsidP="00047411">
      <w:pPr>
        <w:widowControl w:val="0"/>
        <w:spacing w:after="0" w:line="360" w:lineRule="auto"/>
        <w:jc w:val="center"/>
        <w:rPr>
          <w:rFonts w:ascii="Times New Roman" w:hAnsi="Times New Roman" w:cs="Times New Roman"/>
          <w:color w:val="000000" w:themeColor="text1"/>
          <w:sz w:val="28"/>
        </w:rPr>
      </w:pPr>
    </w:p>
    <w:p w:rsidR="0009455F" w:rsidRPr="00CC7883" w:rsidRDefault="0009455F" w:rsidP="0009455F">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rPr>
        <w:t>Найбільше було життєздатних мікроклонів винограду після культивування на MS + 0,3 мг/л ІОК + 0,</w:t>
      </w:r>
      <w:r>
        <w:rPr>
          <w:rFonts w:ascii="Times New Roman" w:hAnsi="Times New Roman" w:cs="Times New Roman"/>
          <w:color w:val="000000" w:themeColor="text1"/>
          <w:sz w:val="28"/>
        </w:rPr>
        <w:t>2</w:t>
      </w:r>
      <w:r w:rsidRPr="00CC7883">
        <w:rPr>
          <w:rFonts w:ascii="Times New Roman" w:hAnsi="Times New Roman" w:cs="Times New Roman"/>
          <w:color w:val="000000" w:themeColor="text1"/>
          <w:sz w:val="28"/>
        </w:rPr>
        <w:t xml:space="preserve"> мг/л </w:t>
      </w:r>
      <w:r>
        <w:rPr>
          <w:rFonts w:ascii="Times New Roman" w:hAnsi="Times New Roman" w:cs="Times New Roman"/>
          <w:color w:val="000000" w:themeColor="text1"/>
          <w:sz w:val="28"/>
        </w:rPr>
        <w:t>6-БАП</w:t>
      </w:r>
      <w:r w:rsidRPr="00CC7883">
        <w:rPr>
          <w:rFonts w:ascii="Times New Roman" w:hAnsi="Times New Roman" w:cs="Times New Roman"/>
          <w:color w:val="000000" w:themeColor="text1"/>
          <w:sz w:val="28"/>
        </w:rPr>
        <w:t xml:space="preserve"> + </w:t>
      </w:r>
      <w:r w:rsidRPr="00CC7883">
        <w:rPr>
          <w:rFonts w:ascii="Times New Roman" w:hAnsi="Times New Roman" w:cs="Times New Roman"/>
          <w:color w:val="000000" w:themeColor="text1"/>
          <w:sz w:val="28"/>
          <w:szCs w:val="28"/>
        </w:rPr>
        <w:t xml:space="preserve">Clonex gel; </w:t>
      </w:r>
      <w:r>
        <w:rPr>
          <w:rFonts w:ascii="Times New Roman" w:eastAsia="NSimSun" w:hAnsi="Times New Roman" w:cs="Times New Roman"/>
          <w:color w:val="000000" w:themeColor="text1"/>
          <w:kern w:val="3"/>
          <w:sz w:val="28"/>
          <w:szCs w:val="28"/>
          <w:lang w:val="en-US"/>
        </w:rPr>
        <w:t>M</w:t>
      </w:r>
      <w:r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color w:val="000000" w:themeColor="text1"/>
          <w:sz w:val="28"/>
          <w:szCs w:val="28"/>
        </w:rPr>
        <w:t xml:space="preserve"> + 0,3 мг/л ІОК</w:t>
      </w:r>
      <w:r>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 0,2 мг/л </w:t>
      </w:r>
      <w:r>
        <w:rPr>
          <w:rFonts w:ascii="Times New Roman" w:hAnsi="Times New Roman" w:cs="Times New Roman"/>
          <w:color w:val="000000" w:themeColor="text1"/>
          <w:sz w:val="28"/>
          <w:szCs w:val="28"/>
        </w:rPr>
        <w:t>6-</w:t>
      </w:r>
      <w:r w:rsidRPr="00CC7883">
        <w:rPr>
          <w:rFonts w:ascii="Times New Roman" w:hAnsi="Times New Roman" w:cs="Times New Roman"/>
          <w:color w:val="000000" w:themeColor="text1"/>
          <w:sz w:val="28"/>
          <w:szCs w:val="28"/>
        </w:rPr>
        <w:t xml:space="preserve">БАП + агроперліт (1:1); </w:t>
      </w:r>
      <w:r>
        <w:rPr>
          <w:rFonts w:ascii="Times New Roman" w:eastAsia="NSimSun" w:hAnsi="Times New Roman" w:cs="Times New Roman"/>
          <w:color w:val="000000" w:themeColor="text1"/>
          <w:kern w:val="3"/>
          <w:sz w:val="28"/>
          <w:szCs w:val="28"/>
          <w:lang w:val="en-US"/>
        </w:rPr>
        <w:t>M</w:t>
      </w:r>
      <w:r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color w:val="000000" w:themeColor="text1"/>
          <w:sz w:val="28"/>
          <w:szCs w:val="28"/>
        </w:rPr>
        <w:t xml:space="preserve"> + 0,3 мг/л ІОК</w:t>
      </w:r>
      <w:r>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 0,2 мг/л </w:t>
      </w:r>
      <w:r>
        <w:rPr>
          <w:rFonts w:ascii="Times New Roman" w:hAnsi="Times New Roman" w:cs="Times New Roman"/>
          <w:color w:val="000000" w:themeColor="text1"/>
          <w:sz w:val="28"/>
          <w:szCs w:val="28"/>
        </w:rPr>
        <w:t>6-</w:t>
      </w:r>
      <w:r w:rsidRPr="00CC7883">
        <w:rPr>
          <w:rFonts w:ascii="Times New Roman" w:hAnsi="Times New Roman" w:cs="Times New Roman"/>
          <w:color w:val="000000" w:themeColor="text1"/>
          <w:sz w:val="28"/>
          <w:szCs w:val="28"/>
        </w:rPr>
        <w:t>БАП + верм</w:t>
      </w:r>
      <w:r>
        <w:rPr>
          <w:rFonts w:ascii="Times New Roman" w:hAnsi="Times New Roman" w:cs="Times New Roman"/>
          <w:color w:val="000000" w:themeColor="text1"/>
          <w:sz w:val="28"/>
          <w:szCs w:val="28"/>
        </w:rPr>
        <w:t>и</w:t>
      </w:r>
      <w:r w:rsidRPr="00CC7883">
        <w:rPr>
          <w:rFonts w:ascii="Times New Roman" w:hAnsi="Times New Roman" w:cs="Times New Roman"/>
          <w:color w:val="000000" w:themeColor="text1"/>
          <w:sz w:val="28"/>
          <w:szCs w:val="28"/>
        </w:rPr>
        <w:t xml:space="preserve">куліт (1:1); </w:t>
      </w:r>
      <w:r>
        <w:rPr>
          <w:rFonts w:ascii="Times New Roman" w:eastAsia="NSimSun" w:hAnsi="Times New Roman" w:cs="Times New Roman"/>
          <w:color w:val="000000" w:themeColor="text1"/>
          <w:kern w:val="3"/>
          <w:sz w:val="28"/>
          <w:szCs w:val="28"/>
          <w:lang w:val="en-US"/>
        </w:rPr>
        <w:t>M</w:t>
      </w:r>
      <w:r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color w:val="000000" w:themeColor="text1"/>
          <w:sz w:val="28"/>
          <w:szCs w:val="28"/>
        </w:rPr>
        <w:t xml:space="preserve"> + 0,3 мг/л ІОК</w:t>
      </w:r>
      <w:r>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 0,2 мг/л </w:t>
      </w:r>
      <w:r>
        <w:rPr>
          <w:rFonts w:ascii="Times New Roman" w:hAnsi="Times New Roman" w:cs="Times New Roman"/>
          <w:color w:val="000000" w:themeColor="text1"/>
          <w:sz w:val="28"/>
          <w:szCs w:val="28"/>
        </w:rPr>
        <w:t>6-</w:t>
      </w:r>
      <w:r w:rsidRPr="00CC7883">
        <w:rPr>
          <w:rFonts w:ascii="Times New Roman" w:hAnsi="Times New Roman" w:cs="Times New Roman"/>
          <w:color w:val="000000" w:themeColor="text1"/>
          <w:sz w:val="28"/>
          <w:szCs w:val="28"/>
        </w:rPr>
        <w:t xml:space="preserve">БАП + (агроперліт + вермикуліт) (1:1:1); </w:t>
      </w:r>
      <w:r>
        <w:rPr>
          <w:rFonts w:ascii="Times New Roman" w:eastAsia="NSimSun" w:hAnsi="Times New Roman" w:cs="Times New Roman"/>
          <w:color w:val="000000" w:themeColor="text1"/>
          <w:kern w:val="3"/>
          <w:sz w:val="28"/>
          <w:szCs w:val="28"/>
          <w:lang w:val="en-US"/>
        </w:rPr>
        <w:t>M</w:t>
      </w:r>
      <w:r w:rsidRPr="00CC7883">
        <w:rPr>
          <w:rFonts w:ascii="Times New Roman" w:eastAsia="NSimSun" w:hAnsi="Times New Roman" w:cs="Times New Roman"/>
          <w:color w:val="000000" w:themeColor="text1"/>
          <w:kern w:val="3"/>
          <w:sz w:val="28"/>
          <w:szCs w:val="28"/>
        </w:rPr>
        <w:t>S</w:t>
      </w:r>
      <w:r w:rsidRPr="00CC7883">
        <w:rPr>
          <w:rFonts w:ascii="Times New Roman" w:hAnsi="Times New Roman" w:cs="Times New Roman"/>
          <w:color w:val="000000" w:themeColor="text1"/>
          <w:sz w:val="28"/>
          <w:szCs w:val="28"/>
        </w:rPr>
        <w:t xml:space="preserve"> + 0,6 мг/л ІОК</w:t>
      </w:r>
      <w:r>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 0,5 мг/л </w:t>
      </w:r>
      <w:r>
        <w:rPr>
          <w:rFonts w:ascii="Times New Roman" w:hAnsi="Times New Roman" w:cs="Times New Roman"/>
          <w:color w:val="000000" w:themeColor="text1"/>
          <w:sz w:val="28"/>
          <w:szCs w:val="28"/>
        </w:rPr>
        <w:t>6-</w:t>
      </w:r>
      <w:r w:rsidRPr="00CC7883">
        <w:rPr>
          <w:rFonts w:ascii="Times New Roman" w:hAnsi="Times New Roman" w:cs="Times New Roman"/>
          <w:color w:val="000000" w:themeColor="text1"/>
          <w:sz w:val="28"/>
          <w:szCs w:val="28"/>
        </w:rPr>
        <w:t>БАП + (агроперліт + вермикуліт) (1:1:1)</w:t>
      </w:r>
      <w:r w:rsidRPr="00CC7883">
        <w:rPr>
          <w:rFonts w:ascii="Times New Roman" w:hAnsi="Times New Roman" w:cs="Times New Roman"/>
          <w:color w:val="000000" w:themeColor="text1"/>
          <w:sz w:val="28"/>
        </w:rPr>
        <w:t xml:space="preserve"> (п’ятий, сьомий, дев’ятий, одинадцятий і дванадцятий варіанти). У підщепних сортів приживлюваність мікроклонів дорівнювала 50,5–81,0 % (</w:t>
      </w:r>
      <w:r w:rsidRPr="00CC7883">
        <w:rPr>
          <w:rFonts w:ascii="Times New Roman" w:hAnsi="Times New Roman" w:cs="Times New Roman"/>
          <w:iCs/>
          <w:color w:val="000000" w:themeColor="text1"/>
          <w:sz w:val="28"/>
          <w:szCs w:val="28"/>
        </w:rPr>
        <w:t>«Добриня»</w:t>
      </w:r>
      <w:r w:rsidRPr="00CC7883">
        <w:rPr>
          <w:rFonts w:ascii="Times New Roman" w:hAnsi="Times New Roman" w:cs="Times New Roman"/>
          <w:color w:val="000000" w:themeColor="text1"/>
          <w:sz w:val="28"/>
        </w:rPr>
        <w:t>), 58,5–74,0 % (</w:t>
      </w:r>
      <w:r w:rsidRPr="00CC7883">
        <w:rPr>
          <w:rFonts w:ascii="Times New Roman" w:hAnsi="Times New Roman" w:cs="Times New Roman"/>
          <w:iCs/>
          <w:color w:val="000000" w:themeColor="text1"/>
          <w:sz w:val="28"/>
          <w:szCs w:val="28"/>
        </w:rPr>
        <w:t>«Гарант»</w:t>
      </w:r>
      <w:r w:rsidRPr="00CC7883">
        <w:rPr>
          <w:rFonts w:ascii="Times New Roman" w:hAnsi="Times New Roman" w:cs="Times New Roman"/>
          <w:color w:val="000000" w:themeColor="text1"/>
          <w:sz w:val="28"/>
        </w:rPr>
        <w:t>), у технічних сортів – 58,5–</w:t>
      </w:r>
      <w:r w:rsidRPr="00CC7883">
        <w:rPr>
          <w:rFonts w:ascii="Times New Roman" w:hAnsi="Times New Roman" w:cs="Times New Roman"/>
          <w:color w:val="000000" w:themeColor="text1"/>
          <w:sz w:val="28"/>
        </w:rPr>
        <w:lastRenderedPageBreak/>
        <w:t>82,0 % (</w:t>
      </w:r>
      <w:r w:rsidRPr="00CC7883">
        <w:rPr>
          <w:rFonts w:ascii="Times New Roman" w:hAnsi="Times New Roman" w:cs="Times New Roman"/>
          <w:iCs/>
          <w:color w:val="000000" w:themeColor="text1"/>
          <w:sz w:val="28"/>
          <w:szCs w:val="28"/>
        </w:rPr>
        <w:t>«Ярило»</w:t>
      </w:r>
      <w:r w:rsidRPr="00CC7883">
        <w:rPr>
          <w:rFonts w:ascii="Times New Roman" w:hAnsi="Times New Roman" w:cs="Times New Roman"/>
          <w:color w:val="000000" w:themeColor="text1"/>
          <w:sz w:val="28"/>
        </w:rPr>
        <w:t>), 50,3–65,2 % (</w:t>
      </w:r>
      <w:r w:rsidRPr="00CC7883">
        <w:rPr>
          <w:rFonts w:ascii="Times New Roman" w:hAnsi="Times New Roman" w:cs="Times New Roman"/>
          <w:iCs/>
          <w:color w:val="000000" w:themeColor="text1"/>
          <w:sz w:val="28"/>
          <w:szCs w:val="28"/>
        </w:rPr>
        <w:t>«Загрей»</w:t>
      </w:r>
      <w:r w:rsidRPr="00CC7883">
        <w:rPr>
          <w:rFonts w:ascii="Times New Roman" w:hAnsi="Times New Roman" w:cs="Times New Roman"/>
          <w:color w:val="000000" w:themeColor="text1"/>
          <w:sz w:val="28"/>
        </w:rPr>
        <w:t>), при 24,8 % (</w:t>
      </w:r>
      <w:r w:rsidRPr="00CC7883">
        <w:rPr>
          <w:rFonts w:ascii="Times New Roman" w:hAnsi="Times New Roman" w:cs="Times New Roman"/>
          <w:iCs/>
          <w:color w:val="000000" w:themeColor="text1"/>
          <w:sz w:val="28"/>
          <w:szCs w:val="28"/>
        </w:rPr>
        <w:t>«Добриня»</w:t>
      </w:r>
      <w:r w:rsidRPr="00CC7883">
        <w:rPr>
          <w:rFonts w:ascii="Times New Roman" w:hAnsi="Times New Roman" w:cs="Times New Roman"/>
          <w:color w:val="000000" w:themeColor="text1"/>
          <w:sz w:val="28"/>
        </w:rPr>
        <w:t>), 27,0 % (</w:t>
      </w:r>
      <w:r w:rsidRPr="00CC7883">
        <w:rPr>
          <w:rFonts w:ascii="Times New Roman" w:hAnsi="Times New Roman" w:cs="Times New Roman"/>
          <w:iCs/>
          <w:color w:val="000000" w:themeColor="text1"/>
          <w:sz w:val="28"/>
          <w:szCs w:val="28"/>
        </w:rPr>
        <w:t>«Гарант»</w:t>
      </w:r>
      <w:r w:rsidRPr="00CC7883">
        <w:rPr>
          <w:rFonts w:ascii="Times New Roman" w:hAnsi="Times New Roman" w:cs="Times New Roman"/>
          <w:color w:val="000000" w:themeColor="text1"/>
          <w:sz w:val="28"/>
        </w:rPr>
        <w:t>), 31,8 % (</w:t>
      </w:r>
      <w:r w:rsidRPr="00CC7883">
        <w:rPr>
          <w:rFonts w:ascii="Times New Roman" w:hAnsi="Times New Roman" w:cs="Times New Roman"/>
          <w:iCs/>
          <w:color w:val="000000" w:themeColor="text1"/>
          <w:sz w:val="28"/>
          <w:szCs w:val="28"/>
        </w:rPr>
        <w:t>«Ярило»</w:t>
      </w:r>
      <w:r w:rsidRPr="00CC7883">
        <w:rPr>
          <w:rFonts w:ascii="Times New Roman" w:hAnsi="Times New Roman" w:cs="Times New Roman"/>
          <w:color w:val="000000" w:themeColor="text1"/>
          <w:sz w:val="28"/>
        </w:rPr>
        <w:t>) та 26,8 % (</w:t>
      </w:r>
      <w:r w:rsidRPr="00CC7883">
        <w:rPr>
          <w:rFonts w:ascii="Times New Roman" w:hAnsi="Times New Roman" w:cs="Times New Roman"/>
          <w:iCs/>
          <w:color w:val="000000" w:themeColor="text1"/>
          <w:sz w:val="28"/>
          <w:szCs w:val="28"/>
        </w:rPr>
        <w:t>«Загрей»</w:t>
      </w:r>
      <w:r w:rsidRPr="00CC7883">
        <w:rPr>
          <w:rFonts w:ascii="Times New Roman" w:hAnsi="Times New Roman" w:cs="Times New Roman"/>
          <w:color w:val="000000" w:themeColor="text1"/>
          <w:sz w:val="28"/>
        </w:rPr>
        <w:t xml:space="preserve">) у контрольних варіантах. </w:t>
      </w:r>
    </w:p>
    <w:p w:rsidR="0009455F" w:rsidRDefault="0009455F" w:rsidP="0009455F">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У третьому і четвертому дослідних варіантах приживлюваність була на середньому рівні – 40,0–53,0 %, проте </w:t>
      </w:r>
      <w:r w:rsidRPr="00CC7883">
        <w:rPr>
          <w:rFonts w:ascii="Times New Roman" w:hAnsi="Times New Roman" w:cs="Times New Roman"/>
          <w:color w:val="000000" w:themeColor="text1"/>
          <w:sz w:val="28"/>
          <w:szCs w:val="28"/>
        </w:rPr>
        <w:t xml:space="preserve">для всіх сортів вона була більшою, ніж у контролі. </w:t>
      </w:r>
      <w:r w:rsidRPr="00CC7883">
        <w:rPr>
          <w:rFonts w:ascii="Times New Roman" w:hAnsi="Times New Roman" w:cs="Times New Roman"/>
          <w:color w:val="000000" w:themeColor="text1"/>
          <w:sz w:val="28"/>
        </w:rPr>
        <w:t xml:space="preserve">У п’ятому та шостому варіантах </w:t>
      </w:r>
      <w:r w:rsidRPr="00CC7883">
        <w:rPr>
          <w:rFonts w:ascii="Times New Roman" w:hAnsi="Times New Roman" w:cs="Times New Roman"/>
          <w:color w:val="000000" w:themeColor="text1"/>
          <w:sz w:val="28"/>
          <w:szCs w:val="28"/>
        </w:rPr>
        <w:t>приживлюваність збільшувалася ще суттєвіше, як у підщепних, так і у технічних сортів, і знаходилась на рівні 44,5</w:t>
      </w:r>
      <w:r w:rsidRPr="00CC7883">
        <w:rPr>
          <w:rFonts w:ascii="Times New Roman" w:hAnsi="Times New Roman" w:cs="Times New Roman"/>
          <w:color w:val="000000" w:themeColor="text1"/>
          <w:sz w:val="28"/>
        </w:rPr>
        <w:t>–58,5 %.</w:t>
      </w:r>
    </w:p>
    <w:p w:rsidR="0009455F" w:rsidRDefault="0009455F" w:rsidP="0009455F">
      <w:pPr>
        <w:pStyle w:val="a7"/>
        <w:widowControl w:val="0"/>
        <w:spacing w:after="0" w:line="360" w:lineRule="auto"/>
        <w:ind w:left="0" w:firstLine="708"/>
        <w:jc w:val="both"/>
        <w:rPr>
          <w:rFonts w:ascii="Times New Roman" w:hAnsi="Times New Roman" w:cs="Times New Roman"/>
          <w:color w:val="000000" w:themeColor="text1"/>
          <w:sz w:val="28"/>
        </w:rPr>
      </w:pPr>
      <w:r w:rsidRPr="00CC7883">
        <w:rPr>
          <w:rFonts w:ascii="Times New Roman" w:hAnsi="Times New Roman" w:cs="Times New Roman"/>
          <w:i/>
          <w:color w:val="000000" w:themeColor="text1"/>
          <w:sz w:val="28"/>
        </w:rPr>
        <w:t>Поживні субстрати</w:t>
      </w:r>
      <w:r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szCs w:val="28"/>
        </w:rPr>
        <w:t xml:space="preserve">Ємності з рослинами, які культивували </w:t>
      </w:r>
      <w:r w:rsidRPr="005403A7">
        <w:rPr>
          <w:rFonts w:ascii="Times New Roman" w:hAnsi="Times New Roman" w:cs="Times New Roman"/>
          <w:iCs/>
          <w:color w:val="000000" w:themeColor="text1"/>
          <w:sz w:val="28"/>
          <w:szCs w:val="28"/>
        </w:rPr>
        <w:t>на поживних мінеральних субстратах</w:t>
      </w:r>
      <w:r>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так само поступово відкривали: упродовж перших 4 діб – на 30 хв у першу добу, 1 год – у другу, 2 год – у третю та 3 год – у четверту добу. На п’яту добу і в наступні дві доби тривалість відкривання становила 7 год, а потім кришки знімали повністю</w:t>
      </w:r>
      <w:r w:rsidRPr="00CC7883">
        <w:rPr>
          <w:rFonts w:ascii="Times New Roman" w:hAnsi="Times New Roman" w:cs="Times New Roman"/>
          <w:color w:val="000000" w:themeColor="text1"/>
          <w:sz w:val="28"/>
        </w:rPr>
        <w:t xml:space="preserve"> (</w:t>
      </w:r>
      <w:r w:rsidRPr="00CC7883">
        <w:rPr>
          <w:rFonts w:ascii="Times New Roman" w:eastAsia="NSimSun" w:hAnsi="Times New Roman" w:cs="Times New Roman"/>
          <w:color w:val="000000" w:themeColor="text1"/>
          <w:kern w:val="3"/>
          <w:sz w:val="28"/>
          <w:szCs w:val="28"/>
          <w:lang w:eastAsia="zh-CN" w:bidi="hi-IN"/>
        </w:rPr>
        <w:t>рис.</w:t>
      </w:r>
      <w:r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rPr>
        <w:t xml:space="preserve">7.8). </w:t>
      </w:r>
    </w:p>
    <w:p w:rsidR="00D339A1" w:rsidRPr="00CC7883" w:rsidRDefault="00D339A1" w:rsidP="0009455F">
      <w:pPr>
        <w:pStyle w:val="a7"/>
        <w:widowControl w:val="0"/>
        <w:spacing w:after="0" w:line="360" w:lineRule="auto"/>
        <w:ind w:left="0" w:firstLine="708"/>
        <w:jc w:val="both"/>
        <w:rPr>
          <w:rFonts w:ascii="Times New Roman" w:hAnsi="Times New Roman" w:cs="Times New Roman"/>
          <w:i/>
          <w:color w:val="000000" w:themeColor="text1"/>
          <w:sz w:val="28"/>
          <w:szCs w:val="28"/>
        </w:rPr>
      </w:pPr>
    </w:p>
    <w:p w:rsidR="00882E3D" w:rsidRPr="00CC7883" w:rsidRDefault="00882E3D" w:rsidP="00D339A1">
      <w:pPr>
        <w:widowControl w:val="0"/>
        <w:spacing w:after="0" w:line="360" w:lineRule="auto"/>
        <w:jc w:val="both"/>
        <w:rPr>
          <w:rFonts w:ascii="Times New Roman" w:hAnsi="Times New Roman" w:cs="Times New Roman"/>
          <w:color w:val="000000" w:themeColor="text1"/>
          <w:sz w:val="28"/>
        </w:rPr>
      </w:pPr>
      <w:r w:rsidRPr="00CC7883">
        <w:rPr>
          <w:rFonts w:ascii="Times New Roman" w:hAnsi="Times New Roman" w:cs="Times New Roman"/>
          <w:noProof/>
          <w:color w:val="000000" w:themeColor="text1"/>
          <w:sz w:val="28"/>
          <w:lang w:val="ru-RU" w:eastAsia="ru-RU"/>
        </w:rPr>
        <w:drawing>
          <wp:inline distT="0" distB="0" distL="0" distR="0">
            <wp:extent cx="2985407" cy="2517443"/>
            <wp:effectExtent l="19050" t="19050" r="24493" b="16207"/>
            <wp:docPr id="142837339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88439" cy="2520000"/>
                    </a:xfrm>
                    <a:prstGeom prst="rect">
                      <a:avLst/>
                    </a:prstGeom>
                    <a:noFill/>
                    <a:ln>
                      <a:solidFill>
                        <a:schemeClr val="tx1"/>
                      </a:solidFill>
                    </a:ln>
                  </pic:spPr>
                </pic:pic>
              </a:graphicData>
            </a:graphic>
          </wp:inline>
        </w:drawing>
      </w:r>
      <w:r w:rsidR="00D339A1">
        <w:rPr>
          <w:rFonts w:ascii="Times New Roman" w:hAnsi="Times New Roman" w:cs="Times New Roman"/>
          <w:color w:val="000000" w:themeColor="text1"/>
          <w:sz w:val="28"/>
        </w:rPr>
        <w:t xml:space="preserve">  </w:t>
      </w:r>
      <w:r w:rsidRPr="00CC7883">
        <w:rPr>
          <w:rFonts w:ascii="Times New Roman" w:hAnsi="Times New Roman" w:cs="Times New Roman"/>
          <w:noProof/>
          <w:color w:val="000000" w:themeColor="text1"/>
          <w:sz w:val="28"/>
          <w:lang w:val="ru-RU" w:eastAsia="ru-RU"/>
        </w:rPr>
        <w:drawing>
          <wp:inline distT="0" distB="0" distL="0" distR="0">
            <wp:extent cx="2731916" cy="2520000"/>
            <wp:effectExtent l="19050" t="19050" r="11284" b="13650"/>
            <wp:docPr id="192657646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31916" cy="2520000"/>
                    </a:xfrm>
                    <a:prstGeom prst="rect">
                      <a:avLst/>
                    </a:prstGeom>
                    <a:noFill/>
                    <a:ln>
                      <a:solidFill>
                        <a:schemeClr val="tx1"/>
                      </a:solidFill>
                    </a:ln>
                  </pic:spPr>
                </pic:pic>
              </a:graphicData>
            </a:graphic>
          </wp:inline>
        </w:drawing>
      </w:r>
    </w:p>
    <w:p w:rsidR="00882E3D" w:rsidRPr="00CC7883"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Рис. 7.8. Початковий етап адаптації мікроклонів винограду</w:t>
      </w:r>
      <w:r w:rsidR="00340159" w:rsidRPr="00CC7883">
        <w:rPr>
          <w:rFonts w:ascii="Times New Roman" w:hAnsi="Times New Roman" w:cs="Times New Roman"/>
          <w:color w:val="000000" w:themeColor="text1"/>
          <w:sz w:val="28"/>
        </w:rPr>
        <w:t xml:space="preserve">, які </w:t>
      </w:r>
      <w:r w:rsidRPr="00CC7883">
        <w:rPr>
          <w:rFonts w:ascii="Times New Roman" w:hAnsi="Times New Roman" w:cs="Times New Roman"/>
          <w:color w:val="000000" w:themeColor="text1"/>
          <w:sz w:val="28"/>
        </w:rPr>
        <w:t>культив</w:t>
      </w:r>
      <w:r w:rsidR="00340159" w:rsidRPr="00CC7883">
        <w:rPr>
          <w:rFonts w:ascii="Times New Roman" w:hAnsi="Times New Roman" w:cs="Times New Roman"/>
          <w:color w:val="000000" w:themeColor="text1"/>
          <w:sz w:val="28"/>
        </w:rPr>
        <w:t>ували</w:t>
      </w:r>
      <w:r w:rsidRPr="00CC7883">
        <w:rPr>
          <w:rFonts w:ascii="Times New Roman" w:hAnsi="Times New Roman" w:cs="Times New Roman"/>
          <w:color w:val="000000" w:themeColor="text1"/>
          <w:sz w:val="28"/>
        </w:rPr>
        <w:t xml:space="preserve"> на різних типах поживних мінеральних субстратів</w:t>
      </w:r>
    </w:p>
    <w:p w:rsidR="00A970EB" w:rsidRDefault="00A970EB" w:rsidP="00047411">
      <w:pPr>
        <w:widowControl w:val="0"/>
        <w:spacing w:after="0" w:line="360" w:lineRule="auto"/>
        <w:ind w:firstLine="720"/>
        <w:jc w:val="both"/>
        <w:rPr>
          <w:rFonts w:ascii="Times New Roman" w:hAnsi="Times New Roman" w:cs="Times New Roman"/>
          <w:color w:val="000000" w:themeColor="text1"/>
          <w:sz w:val="28"/>
        </w:rPr>
      </w:pPr>
    </w:p>
    <w:p w:rsidR="00D339A1" w:rsidRPr="00CC7883" w:rsidRDefault="00D339A1" w:rsidP="00D339A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На другому тижні кришки повністю знімали, а рослини обприскували фунгіцидом «Хорус» у концентрації 0,27 г на 200 л води. Полив здійснювали дистильованою водою один раз на 3–5 діб. На 30-ту добу після повного зняття кришечок проводили облік показників приживлюваності (</w:t>
      </w:r>
      <w:r w:rsidRPr="00CC7883">
        <w:rPr>
          <w:rFonts w:ascii="Times New Roman" w:eastAsia="NSimSun" w:hAnsi="Times New Roman" w:cs="Times New Roman"/>
          <w:color w:val="000000" w:themeColor="text1"/>
          <w:kern w:val="3"/>
          <w:sz w:val="28"/>
          <w:szCs w:val="28"/>
          <w:lang w:eastAsia="zh-CN" w:bidi="hi-IN"/>
        </w:rPr>
        <w:t>рис.</w:t>
      </w:r>
      <w:r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rPr>
        <w:t>7.9).</w:t>
      </w:r>
    </w:p>
    <w:p w:rsidR="00D339A1" w:rsidRPr="00CC7883" w:rsidRDefault="00D339A1" w:rsidP="00047411">
      <w:pPr>
        <w:widowControl w:val="0"/>
        <w:spacing w:after="0" w:line="360" w:lineRule="auto"/>
        <w:ind w:firstLine="720"/>
        <w:jc w:val="both"/>
        <w:rPr>
          <w:rFonts w:ascii="Times New Roman" w:hAnsi="Times New Roman" w:cs="Times New Roman"/>
          <w:color w:val="000000" w:themeColor="text1"/>
          <w:sz w:val="28"/>
        </w:rPr>
      </w:pPr>
    </w:p>
    <w:p w:rsidR="00882E3D" w:rsidRPr="00CC7883"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noProof/>
          <w:color w:val="000000" w:themeColor="text1"/>
          <w:sz w:val="28"/>
          <w:lang w:val="ru-RU" w:eastAsia="ru-RU"/>
        </w:rPr>
        <w:lastRenderedPageBreak/>
        <w:drawing>
          <wp:inline distT="0" distB="0" distL="0" distR="0">
            <wp:extent cx="2876550" cy="2173874"/>
            <wp:effectExtent l="19050" t="19050" r="0" b="0"/>
            <wp:docPr id="1164063995" name="Рисунок 1164063995" descr="C:\Users\michs\AppData\Local\Microsoft\Windows\INetCache\Content.Word\20210727_131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michs\AppData\Local\Microsoft\Windows\INetCache\Content.Word\20210727_131638.jpg"/>
                    <pic:cNvPicPr>
                      <a:picLocks noChangeAspect="1" noChangeArrowheads="1"/>
                    </pic:cNvPicPr>
                  </pic:nvPicPr>
                  <pic:blipFill>
                    <a:blip r:embed="rId17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09511" cy="2198783"/>
                    </a:xfrm>
                    <a:prstGeom prst="rect">
                      <a:avLst/>
                    </a:prstGeom>
                    <a:noFill/>
                    <a:ln>
                      <a:solidFill>
                        <a:schemeClr val="tx1"/>
                      </a:solidFill>
                    </a:ln>
                  </pic:spPr>
                </pic:pic>
              </a:graphicData>
            </a:graphic>
          </wp:inline>
        </w:drawing>
      </w:r>
    </w:p>
    <w:p w:rsidR="00882E3D" w:rsidRPr="00CC7883"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Рис. 7.9. </w:t>
      </w:r>
      <w:r w:rsidRPr="00CC7883">
        <w:rPr>
          <w:rFonts w:ascii="Times New Roman" w:hAnsi="Times New Roman" w:cs="Times New Roman"/>
          <w:iCs/>
          <w:color w:val="000000" w:themeColor="text1"/>
          <w:sz w:val="28"/>
          <w:szCs w:val="28"/>
        </w:rPr>
        <w:t>Стан мікроклонів винограду на 30-ту добу після зняття кришечок</w:t>
      </w:r>
    </w:p>
    <w:p w:rsidR="00903C9F" w:rsidRDefault="00903C9F" w:rsidP="00823785">
      <w:pPr>
        <w:widowControl w:val="0"/>
        <w:spacing w:after="0" w:line="360" w:lineRule="auto"/>
        <w:ind w:firstLine="720"/>
        <w:jc w:val="both"/>
        <w:rPr>
          <w:rFonts w:ascii="Times New Roman" w:hAnsi="Times New Roman" w:cs="Times New Roman"/>
          <w:color w:val="000000" w:themeColor="text1"/>
          <w:sz w:val="28"/>
        </w:rPr>
      </w:pPr>
    </w:p>
    <w:p w:rsidR="00823785" w:rsidRPr="00CC7883" w:rsidRDefault="00823785" w:rsidP="00823785">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На другому місяці адаптації мікроклони переносили до адаптаційної кімнати та висаджували у ґрунтосуміш, що складалася з ґрунту, піску та торф’яного субстрату (1:1:1) (</w:t>
      </w:r>
      <w:r w:rsidRPr="00CC7883">
        <w:rPr>
          <w:rFonts w:ascii="Times New Roman" w:eastAsia="NSimSun" w:hAnsi="Times New Roman" w:cs="Times New Roman"/>
          <w:color w:val="000000" w:themeColor="text1"/>
          <w:kern w:val="3"/>
          <w:sz w:val="28"/>
          <w:szCs w:val="28"/>
          <w:lang w:eastAsia="zh-CN" w:bidi="hi-IN"/>
        </w:rPr>
        <w:t>рис.</w:t>
      </w:r>
      <w:r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rPr>
        <w:t xml:space="preserve">7.10). </w:t>
      </w:r>
    </w:p>
    <w:p w:rsidR="00882E3D" w:rsidRPr="00CC7883" w:rsidRDefault="00882E3D" w:rsidP="00D339A1">
      <w:pPr>
        <w:widowControl w:val="0"/>
        <w:spacing w:after="0" w:line="360" w:lineRule="auto"/>
        <w:rPr>
          <w:rFonts w:ascii="Times New Roman" w:hAnsi="Times New Roman" w:cs="Times New Roman"/>
          <w:color w:val="000000" w:themeColor="text1"/>
          <w:sz w:val="28"/>
        </w:rPr>
      </w:pPr>
      <w:r w:rsidRPr="00CC7883">
        <w:rPr>
          <w:rFonts w:ascii="Times New Roman" w:hAnsi="Times New Roman" w:cs="Times New Roman"/>
          <w:noProof/>
          <w:color w:val="000000" w:themeColor="text1"/>
          <w:sz w:val="28"/>
          <w:lang w:val="ru-RU" w:eastAsia="ru-RU"/>
        </w:rPr>
        <w:drawing>
          <wp:inline distT="0" distB="0" distL="0" distR="0">
            <wp:extent cx="2391945" cy="2161309"/>
            <wp:effectExtent l="19050" t="19050" r="8890" b="0"/>
            <wp:docPr id="1087989228" name="Рисунок 1087989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cstate="print"/>
                    <a:stretch>
                      <a:fillRect/>
                    </a:stretch>
                  </pic:blipFill>
                  <pic:spPr>
                    <a:xfrm>
                      <a:off x="0" y="0"/>
                      <a:ext cx="2496135" cy="2255453"/>
                    </a:xfrm>
                    <a:prstGeom prst="rect">
                      <a:avLst/>
                    </a:prstGeom>
                    <a:ln>
                      <a:solidFill>
                        <a:schemeClr val="tx1"/>
                      </a:solidFill>
                    </a:ln>
                  </pic:spPr>
                </pic:pic>
              </a:graphicData>
            </a:graphic>
          </wp:inline>
        </w:drawing>
      </w:r>
      <w:r w:rsidR="00D339A1">
        <w:rPr>
          <w:rFonts w:ascii="Times New Roman" w:hAnsi="Times New Roman" w:cs="Times New Roman"/>
          <w:color w:val="000000" w:themeColor="text1"/>
          <w:sz w:val="28"/>
        </w:rPr>
        <w:t xml:space="preserve"> </w:t>
      </w:r>
      <w:r w:rsidRPr="00CC7883">
        <w:rPr>
          <w:rFonts w:ascii="Times New Roman" w:hAnsi="Times New Roman" w:cs="Times New Roman"/>
          <w:noProof/>
          <w:color w:val="000000" w:themeColor="text1"/>
          <w:sz w:val="28"/>
          <w:lang w:val="ru-RU" w:eastAsia="ru-RU"/>
        </w:rPr>
        <w:drawing>
          <wp:inline distT="0" distB="0" distL="0" distR="0">
            <wp:extent cx="3342747" cy="2140800"/>
            <wp:effectExtent l="19050" t="19050" r="10053" b="11850"/>
            <wp:docPr id="3030430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5621" t="7206" r="8390"/>
                    <a:stretch>
                      <a:fillRect/>
                    </a:stretch>
                  </pic:blipFill>
                  <pic:spPr bwMode="auto">
                    <a:xfrm>
                      <a:off x="0" y="0"/>
                      <a:ext cx="3342747" cy="2140800"/>
                    </a:xfrm>
                    <a:prstGeom prst="rect">
                      <a:avLst/>
                    </a:prstGeom>
                    <a:noFill/>
                    <a:ln>
                      <a:solidFill>
                        <a:schemeClr val="tx1"/>
                      </a:solidFill>
                    </a:ln>
                  </pic:spPr>
                </pic:pic>
              </a:graphicData>
            </a:graphic>
          </wp:inline>
        </w:drawing>
      </w:r>
    </w:p>
    <w:p w:rsidR="00882E3D" w:rsidRPr="00CC7883"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Рис. 7.10. </w:t>
      </w:r>
      <w:r w:rsidRPr="00CC7883">
        <w:rPr>
          <w:rFonts w:ascii="Times New Roman" w:hAnsi="Times New Roman" w:cs="Times New Roman"/>
          <w:iCs/>
          <w:color w:val="000000" w:themeColor="text1"/>
          <w:sz w:val="28"/>
          <w:szCs w:val="28"/>
        </w:rPr>
        <w:t>Стан мікроклонів винограду після перенесення на ґрунтосуміш</w:t>
      </w:r>
    </w:p>
    <w:p w:rsidR="00882E3D" w:rsidRDefault="00882E3D" w:rsidP="00047411">
      <w:pPr>
        <w:widowControl w:val="0"/>
        <w:spacing w:after="0" w:line="360" w:lineRule="auto"/>
        <w:jc w:val="center"/>
        <w:rPr>
          <w:rFonts w:ascii="Times New Roman" w:hAnsi="Times New Roman" w:cs="Times New Roman"/>
          <w:color w:val="000000" w:themeColor="text1"/>
          <w:sz w:val="28"/>
        </w:rPr>
      </w:pPr>
    </w:p>
    <w:p w:rsidR="00D339A1" w:rsidRPr="00CC7883" w:rsidRDefault="00D339A1" w:rsidP="00D339A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Полив проводили водопровідною водою відповідно до потреб рослин. Повторний облік показників приживлюваності здійснювали на 60-ту та 90-ту добу адаптаційного періоду (</w:t>
      </w:r>
      <w:r w:rsidRPr="00CC7883">
        <w:rPr>
          <w:rFonts w:ascii="Times New Roman" w:eastAsia="NSimSun" w:hAnsi="Times New Roman" w:cs="Times New Roman"/>
          <w:color w:val="000000" w:themeColor="text1"/>
          <w:kern w:val="3"/>
          <w:sz w:val="28"/>
          <w:szCs w:val="28"/>
          <w:lang w:eastAsia="zh-CN" w:bidi="hi-IN"/>
        </w:rPr>
        <w:t>рис.</w:t>
      </w:r>
      <w:r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rPr>
        <w:t>7.11).</w:t>
      </w:r>
    </w:p>
    <w:p w:rsidR="00823785" w:rsidRPr="00CC7883" w:rsidRDefault="00823785" w:rsidP="00823785">
      <w:pPr>
        <w:widowControl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Мікроклони винограду, які культивували на поживних мінеральних субстратах</w:t>
      </w:r>
      <w:r>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так само адаптували у вегетаційній кімнаті і протягом одного, двох та трьох місяців визначали кількість життєздатних рослин (показник приживлюваності).</w:t>
      </w:r>
    </w:p>
    <w:p w:rsidR="00882E3D" w:rsidRPr="00CC7883"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noProof/>
          <w:color w:val="000000" w:themeColor="text1"/>
          <w:sz w:val="28"/>
          <w:lang w:val="ru-RU" w:eastAsia="ru-RU"/>
        </w:rPr>
        <w:lastRenderedPageBreak/>
        <w:drawing>
          <wp:inline distT="0" distB="0" distL="0" distR="0">
            <wp:extent cx="2593522" cy="3294166"/>
            <wp:effectExtent l="19050" t="19050" r="16328" b="20534"/>
            <wp:docPr id="18640307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47138" cy="3362266"/>
                    </a:xfrm>
                    <a:prstGeom prst="rect">
                      <a:avLst/>
                    </a:prstGeom>
                    <a:noFill/>
                    <a:ln>
                      <a:solidFill>
                        <a:schemeClr val="tx1"/>
                      </a:solidFill>
                    </a:ln>
                  </pic:spPr>
                </pic:pic>
              </a:graphicData>
            </a:graphic>
          </wp:inline>
        </w:drawing>
      </w:r>
      <w:r w:rsidR="00D339A1">
        <w:rPr>
          <w:rFonts w:ascii="Times New Roman" w:hAnsi="Times New Roman" w:cs="Times New Roman"/>
          <w:noProof/>
          <w:color w:val="000000" w:themeColor="text1"/>
          <w:sz w:val="28"/>
          <w:lang w:val="ru-RU" w:eastAsia="ru-RU"/>
        </w:rPr>
        <w:t xml:space="preserve"> </w:t>
      </w:r>
      <w:r w:rsidRPr="00CC7883">
        <w:rPr>
          <w:rFonts w:ascii="Times New Roman" w:hAnsi="Times New Roman" w:cs="Times New Roman"/>
          <w:noProof/>
          <w:color w:val="000000" w:themeColor="text1"/>
          <w:sz w:val="28"/>
          <w:lang w:val="ru-RU" w:eastAsia="ru-RU"/>
        </w:rPr>
        <w:drawing>
          <wp:inline distT="0" distB="0" distL="0" distR="0">
            <wp:extent cx="2141245" cy="3294165"/>
            <wp:effectExtent l="19050" t="19050" r="11405" b="20535"/>
            <wp:docPr id="189643875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89518" cy="3368430"/>
                    </a:xfrm>
                    <a:prstGeom prst="rect">
                      <a:avLst/>
                    </a:prstGeom>
                    <a:noFill/>
                    <a:ln>
                      <a:solidFill>
                        <a:schemeClr val="tx1"/>
                      </a:solidFill>
                    </a:ln>
                  </pic:spPr>
                </pic:pic>
              </a:graphicData>
            </a:graphic>
          </wp:inline>
        </w:drawing>
      </w:r>
    </w:p>
    <w:p w:rsidR="00882E3D" w:rsidRPr="00CC7883"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Рис. 7.11. </w:t>
      </w:r>
      <w:r w:rsidRPr="00CC7883">
        <w:rPr>
          <w:rFonts w:ascii="Times New Roman" w:hAnsi="Times New Roman" w:cs="Times New Roman"/>
          <w:iCs/>
          <w:color w:val="000000" w:themeColor="text1"/>
          <w:sz w:val="28"/>
          <w:szCs w:val="28"/>
        </w:rPr>
        <w:t xml:space="preserve">Стан мікроклонів винограду на 90-ту добу після перенесення на ґрунтосуміш </w:t>
      </w:r>
    </w:p>
    <w:p w:rsidR="00882E3D" w:rsidRPr="00CC7883" w:rsidRDefault="00882E3D" w:rsidP="00047411">
      <w:pPr>
        <w:widowControl w:val="0"/>
        <w:spacing w:after="0" w:line="360" w:lineRule="auto"/>
        <w:jc w:val="both"/>
        <w:rPr>
          <w:rFonts w:ascii="Times New Roman" w:hAnsi="Times New Roman" w:cs="Times New Roman"/>
          <w:color w:val="000000" w:themeColor="text1"/>
          <w:sz w:val="28"/>
        </w:rPr>
      </w:pPr>
    </w:p>
    <w:p w:rsidR="004D712E" w:rsidRPr="00CC7883" w:rsidRDefault="003B5ED9"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iCs/>
          <w:color w:val="000000" w:themeColor="text1"/>
          <w:sz w:val="28"/>
          <w:szCs w:val="28"/>
        </w:rPr>
        <w:t xml:space="preserve">Після </w:t>
      </w:r>
      <w:r w:rsidRPr="00CC7883">
        <w:rPr>
          <w:rFonts w:ascii="Times New Roman" w:hAnsi="Times New Roman" w:cs="Times New Roman"/>
          <w:bCs/>
          <w:iCs/>
          <w:color w:val="000000" w:themeColor="text1"/>
          <w:sz w:val="28"/>
          <w:szCs w:val="28"/>
        </w:rPr>
        <w:t>першого місяця</w:t>
      </w:r>
      <w:r w:rsidRPr="00CC7883">
        <w:rPr>
          <w:rFonts w:ascii="Times New Roman" w:hAnsi="Times New Roman" w:cs="Times New Roman"/>
          <w:iCs/>
          <w:color w:val="000000" w:themeColor="text1"/>
          <w:sz w:val="28"/>
          <w:szCs w:val="28"/>
        </w:rPr>
        <w:t xml:space="preserve"> адаптації приживлюваність мікроклонів винограду контрольних варіантів дорівнювала для рослин сорту «Добриня» 37,5 і 46,5 %, сорту «Гарант» – 49,0 і 53,5 %, сорту «Ярило» – 52,0 і 60,0 %, сорту «Загрей» – 47,5 і 57,0 %</w:t>
      </w:r>
      <w:r w:rsidR="00356530" w:rsidRPr="00CC7883">
        <w:rPr>
          <w:rFonts w:ascii="Times New Roman" w:hAnsi="Times New Roman" w:cs="Times New Roman"/>
          <w:iCs/>
          <w:color w:val="000000" w:themeColor="text1"/>
          <w:sz w:val="28"/>
          <w:szCs w:val="28"/>
        </w:rPr>
        <w:t xml:space="preserve"> </w:t>
      </w:r>
      <w:r w:rsidRPr="00CC7883">
        <w:rPr>
          <w:rFonts w:ascii="Times New Roman" w:hAnsi="Times New Roman" w:cs="Times New Roman"/>
          <w:color w:val="000000" w:themeColor="text1"/>
          <w:sz w:val="28"/>
        </w:rPr>
        <w:t>(</w:t>
      </w:r>
      <w:r w:rsidR="00356530" w:rsidRPr="00CC7883">
        <w:rPr>
          <w:rFonts w:ascii="Times New Roman" w:eastAsia="NSimSun" w:hAnsi="Times New Roman" w:cs="Times New Roman"/>
          <w:color w:val="000000" w:themeColor="text1"/>
          <w:kern w:val="3"/>
          <w:sz w:val="28"/>
          <w:szCs w:val="28"/>
          <w:lang w:eastAsia="zh-CN" w:bidi="hi-IN"/>
        </w:rPr>
        <w:t>рис.</w:t>
      </w:r>
      <w:r w:rsidR="00356530"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rPr>
        <w:t xml:space="preserve">7.12). </w:t>
      </w:r>
    </w:p>
    <w:p w:rsidR="003B5ED9" w:rsidRDefault="00A970EB"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Найкращі результати приживлюваності мікроклонів винограду було отримано</w:t>
      </w:r>
      <w:r w:rsidR="00836B7C"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у п’ятому варіанті (агроперліт + вермикуліт). Приживлюваність рослин у цьому варіанті була на рівні 76,7–78,6 % для підщепних сортів та 71,2–75,0 % для</w:t>
      </w:r>
      <w:r w:rsidR="00836B7C"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технічних сортів.</w:t>
      </w:r>
      <w:r w:rsidR="002A2F27" w:rsidRPr="00CC7883">
        <w:rPr>
          <w:rFonts w:ascii="Times New Roman" w:hAnsi="Times New Roman" w:cs="Times New Roman"/>
          <w:color w:val="000000" w:themeColor="text1"/>
          <w:sz w:val="28"/>
        </w:rPr>
        <w:t xml:space="preserve"> Порівняно з контролем перевага була на 14,4–17,2 % і 24,3–25,0 % відповідно до сортів, </w:t>
      </w:r>
      <w:r w:rsidR="00E248E8">
        <w:rPr>
          <w:rFonts w:ascii="Times New Roman" w:eastAsia="NSimSun" w:hAnsi="Times New Roman" w:cs="Times New Roman"/>
          <w:color w:val="000000" w:themeColor="text1"/>
          <w:kern w:val="3"/>
          <w:sz w:val="28"/>
          <w:szCs w:val="28"/>
        </w:rPr>
        <w:t>порівняно</w:t>
      </w:r>
      <w:r w:rsidR="002A2F27" w:rsidRPr="00CC7883">
        <w:rPr>
          <w:rFonts w:ascii="Times New Roman" w:hAnsi="Times New Roman" w:cs="Times New Roman"/>
          <w:color w:val="000000" w:themeColor="text1"/>
          <w:sz w:val="28"/>
        </w:rPr>
        <w:t xml:space="preserve"> з іншими дослідними варіантами на 4,2–10,3 % і 0,3–2,0 % (третій варіант) та на 8,4–13,9 % і 9,2–10,0 % (четвертий варіант).</w:t>
      </w:r>
      <w:r w:rsidR="00D339A1">
        <w:rPr>
          <w:rFonts w:ascii="Times New Roman" w:hAnsi="Times New Roman" w:cs="Times New Roman"/>
          <w:color w:val="000000" w:themeColor="text1"/>
          <w:sz w:val="28"/>
        </w:rPr>
        <w:t xml:space="preserve"> </w:t>
      </w:r>
    </w:p>
    <w:p w:rsidR="00823785" w:rsidRDefault="00823785" w:rsidP="0008052A">
      <w:pPr>
        <w:widowControl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Слід зазначити, що у третьому та четвертому варіантах приживлюваність мікроклонів дорівнювала у середньому за сортами – 62,0–73,0 %.</w:t>
      </w:r>
    </w:p>
    <w:p w:rsidR="00D339A1" w:rsidRPr="00CC7883" w:rsidRDefault="00D339A1" w:rsidP="0008052A">
      <w:pPr>
        <w:widowControl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iCs/>
          <w:color w:val="000000" w:themeColor="text1"/>
          <w:sz w:val="28"/>
          <w:szCs w:val="28"/>
        </w:rPr>
        <w:t xml:space="preserve">Після </w:t>
      </w:r>
      <w:r w:rsidRPr="00CC7883">
        <w:rPr>
          <w:rFonts w:ascii="Times New Roman" w:hAnsi="Times New Roman" w:cs="Times New Roman"/>
          <w:bCs/>
          <w:iCs/>
          <w:color w:val="000000" w:themeColor="text1"/>
          <w:sz w:val="28"/>
          <w:szCs w:val="28"/>
        </w:rPr>
        <w:t>двох місяців</w:t>
      </w:r>
      <w:r w:rsidRPr="00CC7883">
        <w:rPr>
          <w:rFonts w:ascii="Times New Roman" w:hAnsi="Times New Roman" w:cs="Times New Roman"/>
          <w:iCs/>
          <w:color w:val="000000" w:themeColor="text1"/>
          <w:sz w:val="28"/>
          <w:szCs w:val="28"/>
        </w:rPr>
        <w:t xml:space="preserve"> адаптації спостерігали </w:t>
      </w:r>
      <w:r w:rsidRPr="00CC7883">
        <w:rPr>
          <w:rFonts w:ascii="Times New Roman" w:hAnsi="Times New Roman" w:cs="Times New Roman"/>
          <w:color w:val="000000" w:themeColor="text1"/>
          <w:sz w:val="28"/>
        </w:rPr>
        <w:t>поступове зниження рівня приживлюваності мікроклонів за всіма варіантами дослід</w:t>
      </w:r>
      <w:r>
        <w:rPr>
          <w:rFonts w:ascii="Times New Roman" w:hAnsi="Times New Roman" w:cs="Times New Roman"/>
          <w:color w:val="000000" w:themeColor="text1"/>
          <w:sz w:val="28"/>
        </w:rPr>
        <w:t>у</w:t>
      </w:r>
      <w:r w:rsidRPr="00CC7883">
        <w:rPr>
          <w:rFonts w:ascii="Times New Roman" w:hAnsi="Times New Roman" w:cs="Times New Roman"/>
          <w:color w:val="000000" w:themeColor="text1"/>
          <w:sz w:val="28"/>
        </w:rPr>
        <w:t xml:space="preserve">. </w:t>
      </w:r>
    </w:p>
    <w:p w:rsidR="00823785" w:rsidRPr="00CC7883" w:rsidRDefault="00823785" w:rsidP="00047411">
      <w:pPr>
        <w:widowControl w:val="0"/>
        <w:spacing w:after="0" w:line="360" w:lineRule="auto"/>
        <w:ind w:firstLine="720"/>
        <w:jc w:val="both"/>
        <w:rPr>
          <w:rFonts w:ascii="Times New Roman" w:hAnsi="Times New Roman" w:cs="Times New Roman"/>
          <w:color w:val="000000" w:themeColor="text1"/>
          <w:sz w:val="28"/>
        </w:rPr>
      </w:pPr>
    </w:p>
    <w:p w:rsidR="00882E3D" w:rsidRPr="00CC7883" w:rsidRDefault="003B5ED9" w:rsidP="00047411">
      <w:pPr>
        <w:widowControl w:val="0"/>
        <w:spacing w:after="0" w:line="360" w:lineRule="auto"/>
        <w:jc w:val="both"/>
        <w:rPr>
          <w:rFonts w:ascii="Times New Roman" w:hAnsi="Times New Roman" w:cs="Times New Roman"/>
          <w:color w:val="000000" w:themeColor="text1"/>
          <w:sz w:val="28"/>
        </w:rPr>
      </w:pPr>
      <w:r w:rsidRPr="00CC7883">
        <w:rPr>
          <w:noProof/>
          <w:color w:val="000000" w:themeColor="text1"/>
          <w:lang w:val="ru-RU" w:eastAsia="ru-RU"/>
        </w:rPr>
        <w:drawing>
          <wp:inline distT="0" distB="0" distL="0" distR="0">
            <wp:extent cx="5902547" cy="1923802"/>
            <wp:effectExtent l="19050" t="0" r="22003" b="248"/>
            <wp:docPr id="537076816" name="Диаграмма 5370768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0"/>
              </a:graphicData>
            </a:graphic>
          </wp:inline>
        </w:drawing>
      </w:r>
    </w:p>
    <w:p w:rsidR="00882E3D" w:rsidRPr="00CC7883" w:rsidRDefault="003B5ED9" w:rsidP="00047411">
      <w:pPr>
        <w:widowControl w:val="0"/>
        <w:spacing w:after="0" w:line="360" w:lineRule="auto"/>
        <w:jc w:val="both"/>
        <w:rPr>
          <w:rFonts w:ascii="Times New Roman" w:hAnsi="Times New Roman" w:cs="Times New Roman"/>
          <w:color w:val="000000" w:themeColor="text1"/>
          <w:sz w:val="28"/>
        </w:rPr>
      </w:pPr>
      <w:r w:rsidRPr="00CC7883">
        <w:rPr>
          <w:noProof/>
          <w:color w:val="000000" w:themeColor="text1"/>
          <w:lang w:val="ru-RU" w:eastAsia="ru-RU"/>
        </w:rPr>
        <w:drawing>
          <wp:inline distT="0" distB="0" distL="0" distR="0">
            <wp:extent cx="5902547" cy="1828800"/>
            <wp:effectExtent l="19050" t="0" r="22003" b="0"/>
            <wp:docPr id="537076817" name="Диаграмма 5370768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1"/>
              </a:graphicData>
            </a:graphic>
          </wp:inline>
        </w:drawing>
      </w:r>
    </w:p>
    <w:p w:rsidR="00FC03B8"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Рис. 7.12. Приживлюваність мікроклонів винограду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xml:space="preserve"> через </w:t>
      </w:r>
    </w:p>
    <w:p w:rsidR="00882E3D" w:rsidRPr="00CC7883"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30 діб </w:t>
      </w:r>
      <w:r w:rsidRPr="00CC7883">
        <w:rPr>
          <w:rFonts w:ascii="Times New Roman" w:hAnsi="Times New Roman" w:cs="Times New Roman"/>
          <w:iCs/>
          <w:color w:val="000000" w:themeColor="text1"/>
          <w:sz w:val="28"/>
          <w:szCs w:val="28"/>
        </w:rPr>
        <w:t xml:space="preserve">культивування (середнє за </w:t>
      </w:r>
      <w:r w:rsidR="008E344A" w:rsidRPr="00CC7883">
        <w:rPr>
          <w:rFonts w:ascii="Times New Roman" w:hAnsi="Times New Roman" w:cs="Times New Roman"/>
          <w:iCs/>
          <w:color w:val="000000" w:themeColor="text1"/>
          <w:sz w:val="28"/>
          <w:szCs w:val="28"/>
        </w:rPr>
        <w:t>2019</w:t>
      </w:r>
      <w:r w:rsidRPr="00CC7883">
        <w:rPr>
          <w:rFonts w:ascii="Times New Roman" w:hAnsi="Times New Roman" w:cs="Times New Roman"/>
          <w:iCs/>
          <w:color w:val="000000" w:themeColor="text1"/>
          <w:sz w:val="28"/>
          <w:szCs w:val="28"/>
        </w:rPr>
        <w:t>–2022 рр.)</w:t>
      </w:r>
    </w:p>
    <w:p w:rsidR="00882E3D" w:rsidRPr="00CC7883" w:rsidRDefault="00882E3D" w:rsidP="00047411">
      <w:pPr>
        <w:widowControl w:val="0"/>
        <w:spacing w:after="0" w:line="360" w:lineRule="auto"/>
        <w:jc w:val="both"/>
        <w:rPr>
          <w:rFonts w:ascii="Times New Roman" w:hAnsi="Times New Roman" w:cs="Times New Roman"/>
          <w:color w:val="000000" w:themeColor="text1"/>
          <w:sz w:val="28"/>
        </w:rPr>
      </w:pPr>
    </w:p>
    <w:p w:rsidR="00EC676E" w:rsidRPr="00CC7883" w:rsidRDefault="00D339A1" w:rsidP="00047411">
      <w:pPr>
        <w:widowControl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У мікроклонів контрольних варіантів приживлюваність зменшувалась майже вдвічі та дорівнювала: 36,4–38,1 % для сортів </w:t>
      </w:r>
      <w:r w:rsidRPr="00CC7883">
        <w:rPr>
          <w:rFonts w:ascii="Times New Roman" w:hAnsi="Times New Roman" w:cs="Times New Roman"/>
          <w:iCs/>
          <w:color w:val="000000" w:themeColor="text1"/>
          <w:sz w:val="28"/>
          <w:szCs w:val="28"/>
        </w:rPr>
        <w:t>«Добриня»</w:t>
      </w:r>
      <w:r w:rsidRPr="00CC7883">
        <w:rPr>
          <w:rFonts w:ascii="Times New Roman" w:hAnsi="Times New Roman" w:cs="Times New Roman"/>
          <w:color w:val="000000" w:themeColor="text1"/>
          <w:sz w:val="28"/>
        </w:rPr>
        <w:t xml:space="preserve"> і </w:t>
      </w:r>
      <w:r w:rsidRPr="00CC7883">
        <w:rPr>
          <w:rFonts w:ascii="Times New Roman" w:hAnsi="Times New Roman" w:cs="Times New Roman"/>
          <w:iCs/>
          <w:color w:val="000000" w:themeColor="text1"/>
          <w:sz w:val="28"/>
          <w:szCs w:val="28"/>
        </w:rPr>
        <w:t xml:space="preserve">«Гарант», </w:t>
      </w:r>
      <w:r w:rsidRPr="00CC7883">
        <w:rPr>
          <w:rFonts w:ascii="Times New Roman" w:hAnsi="Times New Roman" w:cs="Times New Roman"/>
          <w:color w:val="000000" w:themeColor="text1"/>
          <w:sz w:val="28"/>
        </w:rPr>
        <w:t xml:space="preserve">26,9–40,0 % для сортів </w:t>
      </w:r>
      <w:r w:rsidRPr="00CC7883">
        <w:rPr>
          <w:rFonts w:ascii="Times New Roman" w:hAnsi="Times New Roman" w:cs="Times New Roman"/>
          <w:iCs/>
          <w:color w:val="000000" w:themeColor="text1"/>
          <w:sz w:val="28"/>
          <w:szCs w:val="28"/>
        </w:rPr>
        <w:t>«Ярило»</w:t>
      </w:r>
      <w:r w:rsidRPr="00CC7883">
        <w:rPr>
          <w:rFonts w:ascii="Times New Roman" w:hAnsi="Times New Roman" w:cs="Times New Roman"/>
          <w:color w:val="000000" w:themeColor="text1"/>
          <w:sz w:val="28"/>
        </w:rPr>
        <w:t xml:space="preserve"> і </w:t>
      </w:r>
      <w:r w:rsidRPr="00CC7883">
        <w:rPr>
          <w:rFonts w:ascii="Times New Roman" w:hAnsi="Times New Roman" w:cs="Times New Roman"/>
          <w:iCs/>
          <w:color w:val="000000" w:themeColor="text1"/>
          <w:sz w:val="28"/>
          <w:szCs w:val="28"/>
        </w:rPr>
        <w:t>«Загрей»</w:t>
      </w:r>
      <w:r w:rsidRPr="00CC7883">
        <w:rPr>
          <w:rFonts w:ascii="Times New Roman" w:hAnsi="Times New Roman" w:cs="Times New Roman"/>
          <w:color w:val="000000" w:themeColor="text1"/>
          <w:sz w:val="28"/>
        </w:rPr>
        <w:t>.</w:t>
      </w:r>
      <w:r>
        <w:rPr>
          <w:rFonts w:ascii="Times New Roman" w:hAnsi="Times New Roman" w:cs="Times New Roman"/>
          <w:color w:val="000000" w:themeColor="text1"/>
          <w:sz w:val="28"/>
        </w:rPr>
        <w:t xml:space="preserve"> </w:t>
      </w:r>
      <w:r w:rsidR="00823785" w:rsidRPr="00CC7883">
        <w:rPr>
          <w:rFonts w:ascii="Times New Roman" w:hAnsi="Times New Roman" w:cs="Times New Roman"/>
          <w:color w:val="000000" w:themeColor="text1"/>
          <w:sz w:val="28"/>
        </w:rPr>
        <w:t>Це підтверджує недостатню пристосованість рослин, вирощених на стандартному поживному середовищі MS (</w:t>
      </w:r>
      <w:r w:rsidR="00823785" w:rsidRPr="00CC7883">
        <w:rPr>
          <w:rFonts w:ascii="Times New Roman" w:eastAsia="NSimSun" w:hAnsi="Times New Roman" w:cs="Times New Roman"/>
          <w:color w:val="000000" w:themeColor="text1"/>
          <w:kern w:val="3"/>
          <w:sz w:val="28"/>
          <w:szCs w:val="28"/>
          <w:lang w:eastAsia="zh-CN" w:bidi="hi-IN"/>
        </w:rPr>
        <w:t>рис.</w:t>
      </w:r>
      <w:r w:rsidR="00823785" w:rsidRPr="00CC7883">
        <w:rPr>
          <w:rFonts w:ascii="Times New Roman" w:eastAsia="NSimSun" w:hAnsi="Times New Roman" w:cs="Times New Roman"/>
          <w:bCs/>
          <w:color w:val="000000" w:themeColor="text1"/>
          <w:kern w:val="3"/>
          <w:sz w:val="28"/>
          <w:szCs w:val="28"/>
          <w:lang w:eastAsia="zh-CN" w:bidi="hi-IN"/>
        </w:rPr>
        <w:t xml:space="preserve"> </w:t>
      </w:r>
      <w:r w:rsidR="00823785" w:rsidRPr="00CC7883">
        <w:rPr>
          <w:rFonts w:ascii="Times New Roman" w:hAnsi="Times New Roman" w:cs="Times New Roman"/>
          <w:color w:val="000000" w:themeColor="text1"/>
          <w:sz w:val="28"/>
        </w:rPr>
        <w:t>7.13).</w:t>
      </w:r>
      <w:r w:rsidR="000A2EA8">
        <w:rPr>
          <w:rFonts w:ascii="Times New Roman" w:hAnsi="Times New Roman" w:cs="Times New Roman"/>
          <w:color w:val="000000" w:themeColor="text1"/>
          <w:sz w:val="28"/>
        </w:rPr>
        <w:t xml:space="preserve"> </w:t>
      </w:r>
      <w:r w:rsidR="00EC676E" w:rsidRPr="00CC7883">
        <w:rPr>
          <w:rFonts w:ascii="Times New Roman" w:hAnsi="Times New Roman" w:cs="Times New Roman"/>
          <w:color w:val="000000" w:themeColor="text1"/>
          <w:sz w:val="28"/>
        </w:rPr>
        <w:t>Найбільша кількість життєздатних мікроклонів винограду залишалась у п’ятому варіанті і дорівнювала: 86,7 % (</w:t>
      </w:r>
      <w:r w:rsidR="00EC676E" w:rsidRPr="00CC7883">
        <w:rPr>
          <w:rFonts w:ascii="Times New Roman" w:hAnsi="Times New Roman" w:cs="Times New Roman"/>
          <w:iCs/>
          <w:color w:val="000000" w:themeColor="text1"/>
          <w:sz w:val="28"/>
          <w:szCs w:val="28"/>
        </w:rPr>
        <w:t>«Добриня»</w:t>
      </w:r>
      <w:r w:rsidR="00EC676E" w:rsidRPr="00CC7883">
        <w:rPr>
          <w:rFonts w:ascii="Times New Roman" w:hAnsi="Times New Roman" w:cs="Times New Roman"/>
          <w:color w:val="000000" w:themeColor="text1"/>
          <w:sz w:val="28"/>
        </w:rPr>
        <w:t>), 81,2 % (</w:t>
      </w:r>
      <w:r w:rsidR="00EC676E" w:rsidRPr="00CC7883">
        <w:rPr>
          <w:rFonts w:ascii="Times New Roman" w:hAnsi="Times New Roman" w:cs="Times New Roman"/>
          <w:iCs/>
          <w:color w:val="000000" w:themeColor="text1"/>
          <w:sz w:val="28"/>
          <w:szCs w:val="28"/>
        </w:rPr>
        <w:t>«Гарант»</w:t>
      </w:r>
      <w:r w:rsidR="00EC676E" w:rsidRPr="00CC7883">
        <w:rPr>
          <w:rFonts w:ascii="Times New Roman" w:hAnsi="Times New Roman" w:cs="Times New Roman"/>
          <w:color w:val="000000" w:themeColor="text1"/>
          <w:sz w:val="28"/>
        </w:rPr>
        <w:t>), 80,0</w:t>
      </w:r>
      <w:r w:rsidR="002D181C">
        <w:rPr>
          <w:rFonts w:ascii="Times New Roman" w:hAnsi="Times New Roman" w:cs="Times New Roman"/>
          <w:color w:val="000000" w:themeColor="text1"/>
          <w:sz w:val="28"/>
        </w:rPr>
        <w:t> </w:t>
      </w:r>
      <w:r w:rsidR="00EC676E" w:rsidRPr="00CC7883">
        <w:rPr>
          <w:rFonts w:ascii="Times New Roman" w:hAnsi="Times New Roman" w:cs="Times New Roman"/>
          <w:color w:val="000000" w:themeColor="text1"/>
          <w:sz w:val="28"/>
        </w:rPr>
        <w:t>% (</w:t>
      </w:r>
      <w:r w:rsidR="00EC676E" w:rsidRPr="00CC7883">
        <w:rPr>
          <w:rFonts w:ascii="Times New Roman" w:hAnsi="Times New Roman" w:cs="Times New Roman"/>
          <w:iCs/>
          <w:color w:val="000000" w:themeColor="text1"/>
          <w:sz w:val="28"/>
          <w:szCs w:val="28"/>
        </w:rPr>
        <w:t>«Ярило»</w:t>
      </w:r>
      <w:r w:rsidR="00EC676E" w:rsidRPr="00CC7883">
        <w:rPr>
          <w:rFonts w:ascii="Times New Roman" w:hAnsi="Times New Roman" w:cs="Times New Roman"/>
          <w:color w:val="000000" w:themeColor="text1"/>
          <w:sz w:val="28"/>
        </w:rPr>
        <w:t>) і 75,2 % (</w:t>
      </w:r>
      <w:r w:rsidR="00EC676E" w:rsidRPr="00CC7883">
        <w:rPr>
          <w:rFonts w:ascii="Times New Roman" w:hAnsi="Times New Roman" w:cs="Times New Roman"/>
          <w:iCs/>
          <w:color w:val="000000" w:themeColor="text1"/>
          <w:sz w:val="28"/>
          <w:szCs w:val="28"/>
        </w:rPr>
        <w:t>«Загрей»</w:t>
      </w:r>
      <w:r w:rsidR="00EC676E" w:rsidRPr="00CC7883">
        <w:rPr>
          <w:rFonts w:ascii="Times New Roman" w:hAnsi="Times New Roman" w:cs="Times New Roman"/>
          <w:color w:val="000000" w:themeColor="text1"/>
          <w:sz w:val="28"/>
        </w:rPr>
        <w:t xml:space="preserve">). Ці показники перевищували контроль на 44,7 і 30,0 % у підщепних та 24,0 і 23,0 % у технічних сортів. </w:t>
      </w:r>
      <w:r w:rsidR="00EC676E" w:rsidRPr="000A2EA8">
        <w:rPr>
          <w:rFonts w:ascii="Times New Roman" w:hAnsi="Times New Roman" w:cs="Times New Roman"/>
          <w:color w:val="000000" w:themeColor="text1"/>
          <w:spacing w:val="6"/>
          <w:sz w:val="28"/>
        </w:rPr>
        <w:t xml:space="preserve">Результати перевищували й інші дослідні варіанти, зокрема третій (агроперліт) – на 1,9–4,2 % (сорти </w:t>
      </w:r>
      <w:r w:rsidR="00EC676E" w:rsidRPr="000A2EA8">
        <w:rPr>
          <w:rFonts w:ascii="Times New Roman" w:hAnsi="Times New Roman" w:cs="Times New Roman"/>
          <w:iCs/>
          <w:color w:val="000000" w:themeColor="text1"/>
          <w:spacing w:val="6"/>
          <w:sz w:val="28"/>
          <w:szCs w:val="28"/>
        </w:rPr>
        <w:t>«Добриня»</w:t>
      </w:r>
      <w:r w:rsidR="00EC676E" w:rsidRPr="000A2EA8">
        <w:rPr>
          <w:rFonts w:ascii="Times New Roman" w:hAnsi="Times New Roman" w:cs="Times New Roman"/>
          <w:color w:val="000000" w:themeColor="text1"/>
          <w:spacing w:val="6"/>
          <w:sz w:val="28"/>
        </w:rPr>
        <w:t xml:space="preserve"> і </w:t>
      </w:r>
      <w:r w:rsidR="00EC676E" w:rsidRPr="000A2EA8">
        <w:rPr>
          <w:rFonts w:ascii="Times New Roman" w:hAnsi="Times New Roman" w:cs="Times New Roman"/>
          <w:iCs/>
          <w:color w:val="000000" w:themeColor="text1"/>
          <w:spacing w:val="6"/>
          <w:sz w:val="28"/>
          <w:szCs w:val="28"/>
        </w:rPr>
        <w:t>«Гарант»)</w:t>
      </w:r>
      <w:r w:rsidR="00EC676E" w:rsidRPr="000A2EA8">
        <w:rPr>
          <w:rFonts w:ascii="Times New Roman" w:hAnsi="Times New Roman" w:cs="Times New Roman"/>
          <w:color w:val="000000" w:themeColor="text1"/>
          <w:spacing w:val="6"/>
          <w:sz w:val="28"/>
        </w:rPr>
        <w:t xml:space="preserve">, </w:t>
      </w:r>
      <w:r w:rsidR="00C23645" w:rsidRPr="000A2EA8">
        <w:rPr>
          <w:rFonts w:ascii="Times New Roman" w:hAnsi="Times New Roman" w:cs="Times New Roman"/>
          <w:color w:val="000000" w:themeColor="text1"/>
          <w:spacing w:val="6"/>
          <w:sz w:val="28"/>
        </w:rPr>
        <w:t xml:space="preserve">на </w:t>
      </w:r>
      <w:r w:rsidR="00EC676E" w:rsidRPr="000A2EA8">
        <w:rPr>
          <w:rFonts w:ascii="Times New Roman" w:hAnsi="Times New Roman" w:cs="Times New Roman"/>
          <w:color w:val="000000" w:themeColor="text1"/>
          <w:spacing w:val="6"/>
          <w:sz w:val="28"/>
        </w:rPr>
        <w:t xml:space="preserve">4,3–7,0 % (сорти </w:t>
      </w:r>
      <w:r w:rsidR="00EC676E" w:rsidRPr="000A2EA8">
        <w:rPr>
          <w:rFonts w:ascii="Times New Roman" w:hAnsi="Times New Roman" w:cs="Times New Roman"/>
          <w:iCs/>
          <w:color w:val="000000" w:themeColor="text1"/>
          <w:spacing w:val="6"/>
          <w:sz w:val="28"/>
          <w:szCs w:val="28"/>
        </w:rPr>
        <w:t>«Ярило»</w:t>
      </w:r>
      <w:r w:rsidR="00EC676E" w:rsidRPr="000A2EA8">
        <w:rPr>
          <w:rFonts w:ascii="Times New Roman" w:hAnsi="Times New Roman" w:cs="Times New Roman"/>
          <w:color w:val="000000" w:themeColor="text1"/>
          <w:spacing w:val="6"/>
          <w:sz w:val="28"/>
        </w:rPr>
        <w:t xml:space="preserve"> і </w:t>
      </w:r>
      <w:r w:rsidR="00EC676E" w:rsidRPr="000A2EA8">
        <w:rPr>
          <w:rFonts w:ascii="Times New Roman" w:hAnsi="Times New Roman" w:cs="Times New Roman"/>
          <w:iCs/>
          <w:color w:val="000000" w:themeColor="text1"/>
          <w:spacing w:val="6"/>
          <w:sz w:val="28"/>
          <w:szCs w:val="28"/>
        </w:rPr>
        <w:t xml:space="preserve">«Загрей») </w:t>
      </w:r>
      <w:r w:rsidR="00EC676E" w:rsidRPr="000A2EA8">
        <w:rPr>
          <w:rFonts w:ascii="Times New Roman" w:hAnsi="Times New Roman" w:cs="Times New Roman"/>
          <w:color w:val="000000" w:themeColor="text1"/>
          <w:spacing w:val="6"/>
          <w:sz w:val="28"/>
        </w:rPr>
        <w:t xml:space="preserve">та четвертий (вермикуліт) варіанти – </w:t>
      </w:r>
      <w:r w:rsidR="00C23645" w:rsidRPr="000A2EA8">
        <w:rPr>
          <w:rFonts w:ascii="Times New Roman" w:hAnsi="Times New Roman" w:cs="Times New Roman"/>
          <w:color w:val="000000" w:themeColor="text1"/>
          <w:spacing w:val="6"/>
          <w:sz w:val="28"/>
        </w:rPr>
        <w:t xml:space="preserve">на </w:t>
      </w:r>
      <w:r w:rsidR="00EC676E" w:rsidRPr="000A2EA8">
        <w:rPr>
          <w:rFonts w:ascii="Times New Roman" w:hAnsi="Times New Roman" w:cs="Times New Roman"/>
          <w:color w:val="000000" w:themeColor="text1"/>
          <w:spacing w:val="6"/>
          <w:sz w:val="28"/>
        </w:rPr>
        <w:t xml:space="preserve">6,5–8,4 %, </w:t>
      </w:r>
      <w:r w:rsidR="00C23645" w:rsidRPr="000A2EA8">
        <w:rPr>
          <w:rFonts w:ascii="Times New Roman" w:hAnsi="Times New Roman" w:cs="Times New Roman"/>
          <w:color w:val="000000" w:themeColor="text1"/>
          <w:spacing w:val="6"/>
          <w:sz w:val="28"/>
        </w:rPr>
        <w:t xml:space="preserve">на </w:t>
      </w:r>
      <w:r w:rsidR="00EC676E" w:rsidRPr="000A2EA8">
        <w:rPr>
          <w:rFonts w:ascii="Times New Roman" w:hAnsi="Times New Roman" w:cs="Times New Roman"/>
          <w:color w:val="000000" w:themeColor="text1"/>
          <w:spacing w:val="6"/>
          <w:sz w:val="28"/>
        </w:rPr>
        <w:t>10,7–13,0 %, які дорівнювали 79,3–82,5 % і 70,9–73,0 %, 74,7–78,3 % і 64,5–67,0 % відповідно.</w:t>
      </w:r>
    </w:p>
    <w:p w:rsidR="00882E3D" w:rsidRPr="00CC7883" w:rsidRDefault="004F508D" w:rsidP="00047411">
      <w:pPr>
        <w:widowControl w:val="0"/>
        <w:spacing w:after="0" w:line="360" w:lineRule="auto"/>
        <w:jc w:val="both"/>
        <w:rPr>
          <w:rFonts w:ascii="Times New Roman" w:hAnsi="Times New Roman" w:cs="Times New Roman"/>
          <w:color w:val="000000" w:themeColor="text1"/>
          <w:sz w:val="28"/>
        </w:rPr>
      </w:pPr>
      <w:r w:rsidRPr="00CC7883">
        <w:rPr>
          <w:noProof/>
          <w:color w:val="000000" w:themeColor="text1"/>
          <w:lang w:val="ru-RU" w:eastAsia="ru-RU"/>
        </w:rPr>
        <w:lastRenderedPageBreak/>
        <w:drawing>
          <wp:inline distT="0" distB="0" distL="0" distR="0">
            <wp:extent cx="5918612" cy="2185060"/>
            <wp:effectExtent l="19050" t="0" r="24988" b="5690"/>
            <wp:docPr id="537076818" name="Диаграмма 5370768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2"/>
              </a:graphicData>
            </a:graphic>
          </wp:inline>
        </w:drawing>
      </w:r>
    </w:p>
    <w:p w:rsidR="00882E3D" w:rsidRPr="00CC7883" w:rsidRDefault="004F508D" w:rsidP="00047411">
      <w:pPr>
        <w:widowControl w:val="0"/>
        <w:spacing w:after="0" w:line="360" w:lineRule="auto"/>
        <w:jc w:val="both"/>
        <w:rPr>
          <w:rFonts w:ascii="Times New Roman" w:hAnsi="Times New Roman" w:cs="Times New Roman"/>
          <w:color w:val="000000" w:themeColor="text1"/>
          <w:sz w:val="28"/>
        </w:rPr>
      </w:pPr>
      <w:r w:rsidRPr="00CC7883">
        <w:rPr>
          <w:noProof/>
          <w:color w:val="000000" w:themeColor="text1"/>
          <w:lang w:val="ru-RU" w:eastAsia="ru-RU"/>
        </w:rPr>
        <w:drawing>
          <wp:inline distT="0" distB="0" distL="0" distR="0">
            <wp:extent cx="5917598" cy="2268187"/>
            <wp:effectExtent l="19050" t="0" r="26002" b="0"/>
            <wp:docPr id="537076819" name="Диаграмма 5370768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3"/>
              </a:graphicData>
            </a:graphic>
          </wp:inline>
        </w:drawing>
      </w:r>
    </w:p>
    <w:p w:rsidR="00F4200E"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Рис. 7.13. Приживлюваність мікроклонів винограду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xml:space="preserve"> через </w:t>
      </w:r>
    </w:p>
    <w:p w:rsidR="00882E3D" w:rsidRPr="00CC7883" w:rsidRDefault="00882E3D" w:rsidP="00047411">
      <w:pPr>
        <w:widowControl w:val="0"/>
        <w:spacing w:after="0" w:line="360" w:lineRule="auto"/>
        <w:jc w:val="center"/>
        <w:rPr>
          <w:rFonts w:ascii="Times New Roman" w:hAnsi="Times New Roman" w:cs="Times New Roman"/>
          <w:iCs/>
          <w:color w:val="000000" w:themeColor="text1"/>
          <w:sz w:val="28"/>
          <w:szCs w:val="28"/>
        </w:rPr>
      </w:pPr>
      <w:r w:rsidRPr="00CC7883">
        <w:rPr>
          <w:rFonts w:ascii="Times New Roman" w:hAnsi="Times New Roman" w:cs="Times New Roman"/>
          <w:color w:val="000000" w:themeColor="text1"/>
          <w:sz w:val="28"/>
        </w:rPr>
        <w:t xml:space="preserve">60 діб </w:t>
      </w:r>
      <w:r w:rsidRPr="00CC7883">
        <w:rPr>
          <w:rFonts w:ascii="Times New Roman" w:hAnsi="Times New Roman" w:cs="Times New Roman"/>
          <w:iCs/>
          <w:color w:val="000000" w:themeColor="text1"/>
          <w:sz w:val="28"/>
          <w:szCs w:val="28"/>
        </w:rPr>
        <w:t xml:space="preserve">культивування (середнє за </w:t>
      </w:r>
      <w:r w:rsidR="008E344A" w:rsidRPr="00CC7883">
        <w:rPr>
          <w:rFonts w:ascii="Times New Roman" w:hAnsi="Times New Roman" w:cs="Times New Roman"/>
          <w:iCs/>
          <w:color w:val="000000" w:themeColor="text1"/>
          <w:sz w:val="28"/>
          <w:szCs w:val="28"/>
        </w:rPr>
        <w:t>2019</w:t>
      </w:r>
      <w:r w:rsidRPr="00CC7883">
        <w:rPr>
          <w:rFonts w:ascii="Times New Roman" w:hAnsi="Times New Roman" w:cs="Times New Roman"/>
          <w:iCs/>
          <w:color w:val="000000" w:themeColor="text1"/>
          <w:sz w:val="28"/>
          <w:szCs w:val="28"/>
        </w:rPr>
        <w:t>–2022 рр.)</w:t>
      </w:r>
    </w:p>
    <w:p w:rsidR="00D339A1" w:rsidRDefault="00D339A1" w:rsidP="00D339A1">
      <w:pPr>
        <w:widowControl w:val="0"/>
        <w:spacing w:after="0" w:line="360" w:lineRule="auto"/>
        <w:ind w:firstLine="720"/>
        <w:jc w:val="both"/>
        <w:rPr>
          <w:rFonts w:ascii="Times New Roman" w:hAnsi="Times New Roman" w:cs="Times New Roman"/>
          <w:color w:val="000000" w:themeColor="text1"/>
          <w:sz w:val="28"/>
        </w:rPr>
      </w:pPr>
    </w:p>
    <w:p w:rsidR="00D339A1" w:rsidRPr="00CC7883" w:rsidRDefault="00D339A1" w:rsidP="00D339A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Результати обліків приживлюваності мікроклонів винограду після трьох місяців адаптації показали наступне. Приживлюваність рослин контрольних варіантів була на рівні 21,5–28,5 % (</w:t>
      </w:r>
      <w:r w:rsidRPr="00CC7883">
        <w:rPr>
          <w:rFonts w:ascii="Times New Roman" w:hAnsi="Times New Roman" w:cs="Times New Roman"/>
          <w:iCs/>
          <w:color w:val="000000" w:themeColor="text1"/>
          <w:sz w:val="28"/>
          <w:szCs w:val="28"/>
        </w:rPr>
        <w:t>«Добриня», «Гарант»</w:t>
      </w:r>
      <w:r w:rsidRPr="00CC7883">
        <w:rPr>
          <w:rFonts w:ascii="Times New Roman" w:hAnsi="Times New Roman" w:cs="Times New Roman"/>
          <w:color w:val="000000" w:themeColor="text1"/>
          <w:sz w:val="28"/>
        </w:rPr>
        <w:t>) та 25,0–35,5 % (</w:t>
      </w:r>
      <w:r w:rsidRPr="00CC7883">
        <w:rPr>
          <w:rFonts w:ascii="Times New Roman" w:hAnsi="Times New Roman" w:cs="Times New Roman"/>
          <w:iCs/>
          <w:color w:val="000000" w:themeColor="text1"/>
          <w:sz w:val="28"/>
          <w:szCs w:val="28"/>
        </w:rPr>
        <w:t>«Ярило»</w:t>
      </w:r>
      <w:r w:rsidRPr="00CC7883">
        <w:rPr>
          <w:rFonts w:ascii="Times New Roman" w:hAnsi="Times New Roman" w:cs="Times New Roman"/>
          <w:color w:val="000000" w:themeColor="text1"/>
          <w:sz w:val="28"/>
        </w:rPr>
        <w:t xml:space="preserve">, </w:t>
      </w:r>
      <w:r w:rsidRPr="00CC7883">
        <w:rPr>
          <w:rFonts w:ascii="Times New Roman" w:hAnsi="Times New Roman" w:cs="Times New Roman"/>
          <w:iCs/>
          <w:color w:val="000000" w:themeColor="text1"/>
          <w:sz w:val="28"/>
          <w:szCs w:val="28"/>
        </w:rPr>
        <w:t>«Загрей»</w:t>
      </w:r>
      <w:r w:rsidRPr="00CC7883">
        <w:rPr>
          <w:rFonts w:ascii="Times New Roman" w:hAnsi="Times New Roman" w:cs="Times New Roman"/>
          <w:color w:val="000000" w:themeColor="text1"/>
          <w:sz w:val="28"/>
        </w:rPr>
        <w:t>) (</w:t>
      </w:r>
      <w:r w:rsidRPr="00CC7883">
        <w:rPr>
          <w:rFonts w:ascii="Times New Roman" w:eastAsia="NSimSun" w:hAnsi="Times New Roman" w:cs="Times New Roman"/>
          <w:color w:val="000000" w:themeColor="text1"/>
          <w:kern w:val="3"/>
          <w:sz w:val="28"/>
          <w:szCs w:val="28"/>
          <w:lang w:eastAsia="zh-CN" w:bidi="hi-IN"/>
        </w:rPr>
        <w:t>рис.</w:t>
      </w:r>
      <w:r w:rsidRPr="00CC7883">
        <w:rPr>
          <w:rFonts w:ascii="Times New Roman" w:eastAsia="NSimSun" w:hAnsi="Times New Roman" w:cs="Times New Roman"/>
          <w:bCs/>
          <w:color w:val="000000" w:themeColor="text1"/>
          <w:kern w:val="3"/>
          <w:sz w:val="28"/>
          <w:szCs w:val="28"/>
          <w:lang w:eastAsia="zh-CN" w:bidi="hi-IN"/>
        </w:rPr>
        <w:t xml:space="preserve"> </w:t>
      </w:r>
      <w:r w:rsidRPr="00CC7883">
        <w:rPr>
          <w:rFonts w:ascii="Times New Roman" w:hAnsi="Times New Roman" w:cs="Times New Roman"/>
          <w:color w:val="000000" w:themeColor="text1"/>
          <w:sz w:val="28"/>
        </w:rPr>
        <w:t>7.14).</w:t>
      </w:r>
    </w:p>
    <w:p w:rsidR="00D339A1" w:rsidRPr="00CC7883" w:rsidRDefault="00D339A1" w:rsidP="00D339A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У мікроклонів п’ятого варіанту приживлюваність залишалась найвищою – 75,0 і 68,5 % у підщепних і 68,7 і 67,7 % у технічних сортів. Порівняно з контрольними значеннями вони збільшувались у середньому на 41,5–50,2 %, 37,0–41,0 %. Рослини третього і четвертого варіантів характеризувалися меншою приживлюваністю відповідно – 65,5–67,0 % («Добриня») і 61,0–63,5 % («Гарант»), 54,5–61,0 % («Ярило») і 56,5–60,5 % («Загрей»), що було вдвічі більше за контролі.</w:t>
      </w:r>
    </w:p>
    <w:p w:rsidR="00340159" w:rsidRPr="00CC7883" w:rsidRDefault="00340159" w:rsidP="00047411">
      <w:pPr>
        <w:widowControl w:val="0"/>
        <w:spacing w:after="0" w:line="360" w:lineRule="auto"/>
        <w:jc w:val="center"/>
        <w:rPr>
          <w:rFonts w:ascii="Times New Roman" w:hAnsi="Times New Roman" w:cs="Times New Roman"/>
          <w:iCs/>
          <w:color w:val="000000" w:themeColor="text1"/>
          <w:sz w:val="28"/>
          <w:szCs w:val="28"/>
        </w:rPr>
      </w:pPr>
    </w:p>
    <w:p w:rsidR="00882E3D" w:rsidRPr="00CC7883" w:rsidRDefault="004F508D" w:rsidP="00047411">
      <w:pPr>
        <w:widowControl w:val="0"/>
        <w:spacing w:after="0" w:line="360" w:lineRule="auto"/>
        <w:jc w:val="both"/>
        <w:rPr>
          <w:rFonts w:ascii="Times New Roman" w:hAnsi="Times New Roman" w:cs="Times New Roman"/>
          <w:color w:val="000000" w:themeColor="text1"/>
          <w:sz w:val="28"/>
        </w:rPr>
      </w:pPr>
      <w:r w:rsidRPr="00CC7883">
        <w:rPr>
          <w:noProof/>
          <w:color w:val="000000" w:themeColor="text1"/>
          <w:lang w:val="ru-RU" w:eastAsia="ru-RU"/>
        </w:rPr>
        <w:lastRenderedPageBreak/>
        <w:drawing>
          <wp:inline distT="0" distB="0" distL="0" distR="0">
            <wp:extent cx="5906737" cy="2303178"/>
            <wp:effectExtent l="19050" t="0" r="17813" b="1872"/>
            <wp:docPr id="537076820" name="Диаграмма 5370768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4"/>
              </a:graphicData>
            </a:graphic>
          </wp:inline>
        </w:drawing>
      </w:r>
    </w:p>
    <w:p w:rsidR="00882E3D" w:rsidRPr="00CC7883" w:rsidRDefault="004F508D" w:rsidP="00047411">
      <w:pPr>
        <w:widowControl w:val="0"/>
        <w:spacing w:after="0" w:line="360" w:lineRule="auto"/>
        <w:jc w:val="both"/>
        <w:rPr>
          <w:rFonts w:ascii="Times New Roman" w:hAnsi="Times New Roman" w:cs="Times New Roman"/>
          <w:color w:val="000000" w:themeColor="text1"/>
          <w:sz w:val="28"/>
        </w:rPr>
      </w:pPr>
      <w:r w:rsidRPr="00CC7883">
        <w:rPr>
          <w:noProof/>
          <w:color w:val="000000" w:themeColor="text1"/>
          <w:lang w:val="ru-RU" w:eastAsia="ru-RU"/>
        </w:rPr>
        <w:drawing>
          <wp:inline distT="0" distB="0" distL="0" distR="0">
            <wp:extent cx="5912707" cy="2319309"/>
            <wp:effectExtent l="19050" t="0" r="11843" b="4791"/>
            <wp:docPr id="537076821" name="Диаграмма 5370768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5"/>
              </a:graphicData>
            </a:graphic>
          </wp:inline>
        </w:drawing>
      </w:r>
    </w:p>
    <w:p w:rsidR="005465AD"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Рис. 7.14. Приживлюваність мікроклонів винограду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xml:space="preserve"> через </w:t>
      </w:r>
    </w:p>
    <w:p w:rsidR="00882E3D" w:rsidRPr="00CC7883" w:rsidRDefault="00882E3D"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90 діб </w:t>
      </w:r>
      <w:r w:rsidRPr="00CC7883">
        <w:rPr>
          <w:rFonts w:ascii="Times New Roman" w:hAnsi="Times New Roman" w:cs="Times New Roman"/>
          <w:iCs/>
          <w:color w:val="000000" w:themeColor="text1"/>
          <w:sz w:val="28"/>
          <w:szCs w:val="28"/>
        </w:rPr>
        <w:t xml:space="preserve">культивування (середнє за </w:t>
      </w:r>
      <w:r w:rsidR="008E344A" w:rsidRPr="00CC7883">
        <w:rPr>
          <w:rFonts w:ascii="Times New Roman" w:hAnsi="Times New Roman" w:cs="Times New Roman"/>
          <w:iCs/>
          <w:color w:val="000000" w:themeColor="text1"/>
          <w:sz w:val="28"/>
          <w:szCs w:val="28"/>
        </w:rPr>
        <w:t>2019</w:t>
      </w:r>
      <w:r w:rsidRPr="00CC7883">
        <w:rPr>
          <w:rFonts w:ascii="Times New Roman" w:hAnsi="Times New Roman" w:cs="Times New Roman"/>
          <w:iCs/>
          <w:color w:val="000000" w:themeColor="text1"/>
          <w:sz w:val="28"/>
          <w:szCs w:val="28"/>
        </w:rPr>
        <w:t>–2022 рр.)</w:t>
      </w:r>
    </w:p>
    <w:p w:rsidR="00882E3D" w:rsidRPr="00CC7883" w:rsidRDefault="00882E3D" w:rsidP="00047411">
      <w:pPr>
        <w:widowControl w:val="0"/>
        <w:spacing w:after="0" w:line="360" w:lineRule="auto"/>
        <w:jc w:val="center"/>
        <w:rPr>
          <w:rFonts w:ascii="Times New Roman" w:hAnsi="Times New Roman" w:cs="Times New Roman"/>
          <w:color w:val="000000" w:themeColor="text1"/>
          <w:sz w:val="28"/>
        </w:rPr>
      </w:pPr>
    </w:p>
    <w:p w:rsidR="008515C1" w:rsidRPr="00CC7883" w:rsidRDefault="008515C1" w:rsidP="00047411">
      <w:pPr>
        <w:widowControl w:val="0"/>
        <w:spacing w:after="0" w:line="360" w:lineRule="auto"/>
        <w:ind w:firstLine="720"/>
        <w:jc w:val="both"/>
        <w:rPr>
          <w:rFonts w:ascii="Times New Roman" w:hAnsi="Times New Roman" w:cs="Times New Roman"/>
          <w:color w:val="000000" w:themeColor="text1"/>
          <w:sz w:val="28"/>
        </w:rPr>
      </w:pPr>
      <w:bookmarkStart w:id="115" w:name="_Toc220058962"/>
      <w:r w:rsidRPr="00CC7883">
        <w:rPr>
          <w:rFonts w:ascii="Times New Roman" w:hAnsi="Times New Roman" w:cs="Times New Roman"/>
          <w:color w:val="000000" w:themeColor="text1"/>
          <w:sz w:val="28"/>
        </w:rPr>
        <w:t>За матеріалами розділу «</w:t>
      </w:r>
      <w:r w:rsidR="00A95030">
        <w:rPr>
          <w:rFonts w:ascii="Times New Roman" w:hAnsi="Times New Roman" w:cs="Times New Roman"/>
          <w:color w:val="000000" w:themeColor="text1"/>
          <w:sz w:val="28"/>
        </w:rPr>
        <w:t>Приживлюваність мікроклонів</w:t>
      </w:r>
      <w:r w:rsidRPr="00CC7883">
        <w:rPr>
          <w:rFonts w:ascii="Times New Roman" w:hAnsi="Times New Roman" w:cs="Times New Roman"/>
          <w:color w:val="000000" w:themeColor="text1"/>
          <w:sz w:val="28"/>
        </w:rPr>
        <w:t xml:space="preserve"> винограду </w:t>
      </w:r>
      <w:r w:rsidR="00A95030">
        <w:rPr>
          <w:rFonts w:ascii="Times New Roman" w:hAnsi="Times New Roman" w:cs="Times New Roman"/>
          <w:color w:val="000000" w:themeColor="text1"/>
          <w:sz w:val="28"/>
        </w:rPr>
        <w:t>в умовах</w:t>
      </w:r>
      <w:r w:rsidRPr="00CC7883">
        <w:rPr>
          <w:rFonts w:ascii="Times New Roman" w:hAnsi="Times New Roman" w:cs="Times New Roman"/>
          <w:color w:val="000000" w:themeColor="text1"/>
          <w:sz w:val="28"/>
        </w:rPr>
        <w:t xml:space="preserve"> </w:t>
      </w:r>
      <w:r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xml:space="preserve">» надруковано 6 наукових праць </w:t>
      </w:r>
      <w:r w:rsidRPr="00CC7883">
        <w:rPr>
          <w:rFonts w:ascii="Times New Roman" w:hAnsi="Times New Roman" w:cs="Times New Roman"/>
          <w:iCs/>
          <w:color w:val="000000" w:themeColor="text1"/>
          <w:sz w:val="28"/>
          <w:szCs w:val="28"/>
        </w:rPr>
        <w:t>[31</w:t>
      </w:r>
      <w:r w:rsidR="004B0CE8" w:rsidRPr="00F62136">
        <w:rPr>
          <w:rFonts w:ascii="Times New Roman" w:hAnsi="Times New Roman" w:cs="Times New Roman"/>
          <w:iCs/>
          <w:color w:val="000000" w:themeColor="text1"/>
          <w:sz w:val="28"/>
          <w:szCs w:val="28"/>
          <w:lang w:val="ru-RU"/>
        </w:rPr>
        <w:t>,</w:t>
      </w:r>
      <w:r w:rsidRPr="00CC7883">
        <w:rPr>
          <w:rFonts w:ascii="Times New Roman" w:hAnsi="Times New Roman" w:cs="Times New Roman"/>
          <w:iCs/>
          <w:color w:val="000000" w:themeColor="text1"/>
          <w:sz w:val="28"/>
          <w:szCs w:val="28"/>
        </w:rPr>
        <w:t xml:space="preserve"> 270</w:t>
      </w:r>
      <w:r w:rsidR="004B0CE8" w:rsidRPr="00F62136">
        <w:rPr>
          <w:rFonts w:ascii="Times New Roman" w:hAnsi="Times New Roman" w:cs="Times New Roman"/>
          <w:iCs/>
          <w:color w:val="000000" w:themeColor="text1"/>
          <w:sz w:val="28"/>
          <w:szCs w:val="28"/>
          <w:lang w:val="ru-RU"/>
        </w:rPr>
        <w:t>,</w:t>
      </w:r>
      <w:r w:rsidRPr="00CC7883">
        <w:rPr>
          <w:rFonts w:ascii="Times New Roman" w:hAnsi="Times New Roman" w:cs="Times New Roman"/>
          <w:iCs/>
          <w:color w:val="000000" w:themeColor="text1"/>
          <w:sz w:val="28"/>
          <w:szCs w:val="28"/>
        </w:rPr>
        <w:t xml:space="preserve"> 23</w:t>
      </w:r>
      <w:r w:rsidR="004B0CE8" w:rsidRPr="00F62136">
        <w:rPr>
          <w:rFonts w:ascii="Times New Roman" w:hAnsi="Times New Roman" w:cs="Times New Roman"/>
          <w:iCs/>
          <w:color w:val="000000" w:themeColor="text1"/>
          <w:sz w:val="28"/>
          <w:szCs w:val="28"/>
          <w:lang w:val="ru-RU"/>
        </w:rPr>
        <w:t>,</w:t>
      </w:r>
      <w:r w:rsidRPr="00CC7883">
        <w:rPr>
          <w:rFonts w:ascii="Times New Roman" w:hAnsi="Times New Roman" w:cs="Times New Roman"/>
          <w:iCs/>
          <w:color w:val="000000" w:themeColor="text1"/>
          <w:sz w:val="28"/>
          <w:szCs w:val="28"/>
        </w:rPr>
        <w:t xml:space="preserve"> </w:t>
      </w:r>
      <w:r w:rsidRPr="00CC7883">
        <w:rPr>
          <w:rFonts w:ascii="Times New Roman" w:hAnsi="Times New Roman" w:cs="Times New Roman"/>
          <w:color w:val="000000" w:themeColor="text1"/>
          <w:sz w:val="28"/>
          <w:szCs w:val="28"/>
        </w:rPr>
        <w:t>30</w:t>
      </w:r>
      <w:r w:rsidR="004B0CE8" w:rsidRPr="00F62136">
        <w:rPr>
          <w:rFonts w:ascii="Times New Roman" w:hAnsi="Times New Roman" w:cs="Times New Roman"/>
          <w:iCs/>
          <w:color w:val="000000" w:themeColor="text1"/>
          <w:sz w:val="28"/>
          <w:szCs w:val="28"/>
          <w:lang w:val="ru-RU"/>
        </w:rPr>
        <w:t>,</w:t>
      </w:r>
      <w:r w:rsidRPr="00CC7883">
        <w:rPr>
          <w:rFonts w:ascii="Times New Roman" w:hAnsi="Times New Roman" w:cs="Times New Roman"/>
          <w:color w:val="000000" w:themeColor="text1"/>
          <w:sz w:val="28"/>
        </w:rPr>
        <w:t xml:space="preserve"> 32</w:t>
      </w:r>
      <w:r w:rsidR="004B0CE8" w:rsidRPr="00F62136">
        <w:rPr>
          <w:rFonts w:ascii="Times New Roman" w:hAnsi="Times New Roman" w:cs="Times New Roman"/>
          <w:color w:val="000000" w:themeColor="text1"/>
          <w:sz w:val="28"/>
          <w:lang w:val="ru-RU"/>
        </w:rPr>
        <w:t>,</w:t>
      </w:r>
      <w:r w:rsidRPr="00CC7883">
        <w:rPr>
          <w:rFonts w:ascii="Times New Roman" w:hAnsi="Times New Roman" w:cs="Times New Roman"/>
          <w:color w:val="000000" w:themeColor="text1"/>
          <w:sz w:val="28"/>
        </w:rPr>
        <w:t xml:space="preserve"> 269].</w:t>
      </w:r>
    </w:p>
    <w:p w:rsidR="00A95030" w:rsidRDefault="00A95030" w:rsidP="00047411">
      <w:pPr>
        <w:widowControl w:val="0"/>
        <w:spacing w:after="0" w:line="360" w:lineRule="auto"/>
        <w:ind w:firstLine="720"/>
        <w:jc w:val="both"/>
        <w:outlineLvl w:val="1"/>
        <w:rPr>
          <w:rStyle w:val="af2"/>
          <w:rFonts w:ascii="Times New Roman" w:hAnsi="Times New Roman" w:cs="Times New Roman"/>
          <w:color w:val="000000" w:themeColor="text1"/>
          <w:sz w:val="28"/>
        </w:rPr>
      </w:pPr>
    </w:p>
    <w:p w:rsidR="00882E3D" w:rsidRPr="00CC7883" w:rsidRDefault="00882E3D" w:rsidP="00047411">
      <w:pPr>
        <w:widowControl w:val="0"/>
        <w:spacing w:after="0" w:line="360" w:lineRule="auto"/>
        <w:ind w:firstLine="720"/>
        <w:jc w:val="both"/>
        <w:outlineLvl w:val="1"/>
        <w:rPr>
          <w:rStyle w:val="af2"/>
          <w:rFonts w:ascii="Times New Roman" w:hAnsi="Times New Roman" w:cs="Times New Roman"/>
          <w:color w:val="000000" w:themeColor="text1"/>
          <w:sz w:val="28"/>
        </w:rPr>
      </w:pPr>
      <w:r w:rsidRPr="00CC7883">
        <w:rPr>
          <w:rStyle w:val="af2"/>
          <w:rFonts w:ascii="Times New Roman" w:hAnsi="Times New Roman" w:cs="Times New Roman"/>
          <w:color w:val="000000" w:themeColor="text1"/>
          <w:sz w:val="28"/>
        </w:rPr>
        <w:t>Висновки до розділу 7</w:t>
      </w:r>
      <w:bookmarkEnd w:id="115"/>
    </w:p>
    <w:p w:rsidR="00882E3D" w:rsidRPr="00CC7883" w:rsidRDefault="00882E3D" w:rsidP="00047411">
      <w:pPr>
        <w:widowControl w:val="0"/>
        <w:jc w:val="center"/>
        <w:rPr>
          <w:rStyle w:val="af2"/>
          <w:rFonts w:ascii="Times New Roman" w:hAnsi="Times New Roman" w:cs="Times New Roman"/>
          <w:b w:val="0"/>
          <w:color w:val="000000" w:themeColor="text1"/>
          <w:sz w:val="28"/>
          <w:szCs w:val="28"/>
        </w:rPr>
      </w:pPr>
    </w:p>
    <w:p w:rsidR="00882E3D" w:rsidRPr="00CC7883" w:rsidRDefault="00882E3D" w:rsidP="00047411">
      <w:pPr>
        <w:pStyle w:val="a7"/>
        <w:widowControl w:val="0"/>
        <w:numPr>
          <w:ilvl w:val="0"/>
          <w:numId w:val="24"/>
        </w:numPr>
        <w:spacing w:after="0" w:line="360" w:lineRule="auto"/>
        <w:ind w:left="0" w:firstLine="0"/>
        <w:jc w:val="both"/>
        <w:rPr>
          <w:rStyle w:val="af2"/>
          <w:rFonts w:ascii="Times New Roman" w:hAnsi="Times New Roman" w:cs="Times New Roman"/>
          <w:b w:val="0"/>
          <w:bCs w:val="0"/>
          <w:color w:val="000000" w:themeColor="text1"/>
          <w:sz w:val="28"/>
          <w:szCs w:val="28"/>
        </w:rPr>
      </w:pPr>
      <w:r w:rsidRPr="00CC7883">
        <w:rPr>
          <w:rStyle w:val="af2"/>
          <w:rFonts w:ascii="Times New Roman" w:hAnsi="Times New Roman" w:cs="Times New Roman"/>
          <w:b w:val="0"/>
          <w:bCs w:val="0"/>
          <w:color w:val="000000" w:themeColor="text1"/>
          <w:sz w:val="28"/>
          <w:szCs w:val="28"/>
        </w:rPr>
        <w:t xml:space="preserve">Етап адаптації мікроклональних рослин після культивування </w:t>
      </w:r>
      <w:r w:rsidRPr="00CC7883">
        <w:rPr>
          <w:rStyle w:val="af2"/>
          <w:rFonts w:ascii="Times New Roman" w:hAnsi="Times New Roman" w:cs="Times New Roman"/>
          <w:b w:val="0"/>
          <w:bCs w:val="0"/>
          <w:i/>
          <w:color w:val="000000" w:themeColor="text1"/>
          <w:sz w:val="28"/>
          <w:szCs w:val="28"/>
        </w:rPr>
        <w:t>in vitro</w:t>
      </w:r>
      <w:r w:rsidRPr="00CC7883">
        <w:rPr>
          <w:rStyle w:val="af2"/>
          <w:rFonts w:ascii="Times New Roman" w:hAnsi="Times New Roman" w:cs="Times New Roman"/>
          <w:b w:val="0"/>
          <w:bCs w:val="0"/>
          <w:color w:val="000000" w:themeColor="text1"/>
          <w:sz w:val="28"/>
          <w:szCs w:val="28"/>
        </w:rPr>
        <w:t xml:space="preserve"> є критичним для подальшого росту і розвитку мікроклонів винограду, оскільки саме в цей період відбувається поступова перебудова фізіологічних процесів: активується робота продихового апарату, інтенсифікується фотосинтез, формується щільніша кутикула, відновлюється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Style w:val="af2"/>
          <w:rFonts w:ascii="Times New Roman" w:hAnsi="Times New Roman" w:cs="Times New Roman"/>
          <w:b w:val="0"/>
          <w:bCs w:val="0"/>
          <w:color w:val="000000" w:themeColor="text1"/>
          <w:sz w:val="28"/>
          <w:szCs w:val="28"/>
        </w:rPr>
        <w:t xml:space="preserve">а здатність клітин, що загалом визначає рівень приживлюваності рослин у </w:t>
      </w:r>
      <w:r w:rsidRPr="00CC7883">
        <w:rPr>
          <w:rStyle w:val="af2"/>
          <w:rFonts w:ascii="Times New Roman" w:hAnsi="Times New Roman" w:cs="Times New Roman"/>
          <w:b w:val="0"/>
          <w:bCs w:val="0"/>
          <w:color w:val="000000" w:themeColor="text1"/>
          <w:sz w:val="28"/>
          <w:szCs w:val="28"/>
        </w:rPr>
        <w:lastRenderedPageBreak/>
        <w:t>неконтрольованих умовах. Як показують результати наш</w:t>
      </w:r>
      <w:r w:rsidR="00881C38">
        <w:rPr>
          <w:rStyle w:val="af2"/>
          <w:rFonts w:ascii="Times New Roman" w:hAnsi="Times New Roman" w:cs="Times New Roman"/>
          <w:b w:val="0"/>
          <w:bCs w:val="0"/>
          <w:color w:val="000000" w:themeColor="text1"/>
          <w:sz w:val="28"/>
          <w:szCs w:val="28"/>
        </w:rPr>
        <w:t>ого</w:t>
      </w:r>
      <w:r w:rsidRPr="00CC7883">
        <w:rPr>
          <w:rStyle w:val="af2"/>
          <w:rFonts w:ascii="Times New Roman" w:hAnsi="Times New Roman" w:cs="Times New Roman"/>
          <w:b w:val="0"/>
          <w:bCs w:val="0"/>
          <w:color w:val="000000" w:themeColor="text1"/>
          <w:sz w:val="28"/>
          <w:szCs w:val="28"/>
        </w:rPr>
        <w:t xml:space="preserve"> дослідже</w:t>
      </w:r>
      <w:r w:rsidR="00881C38">
        <w:rPr>
          <w:rStyle w:val="af2"/>
          <w:rFonts w:ascii="Times New Roman" w:hAnsi="Times New Roman" w:cs="Times New Roman"/>
          <w:b w:val="0"/>
          <w:bCs w:val="0"/>
          <w:color w:val="000000" w:themeColor="text1"/>
          <w:sz w:val="28"/>
          <w:szCs w:val="28"/>
        </w:rPr>
        <w:t>ння</w:t>
      </w:r>
      <w:r w:rsidRPr="00CC7883">
        <w:rPr>
          <w:rStyle w:val="af2"/>
          <w:rFonts w:ascii="Times New Roman" w:hAnsi="Times New Roman" w:cs="Times New Roman"/>
          <w:b w:val="0"/>
          <w:bCs w:val="0"/>
          <w:color w:val="000000" w:themeColor="text1"/>
          <w:sz w:val="28"/>
          <w:szCs w:val="28"/>
        </w:rPr>
        <w:t xml:space="preserve">, приживлюваність мікроклонів винограду </w:t>
      </w:r>
      <w:r w:rsidR="00894C28" w:rsidRPr="00CC7883">
        <w:rPr>
          <w:rFonts w:ascii="Times New Roman" w:eastAsia="NSimSun" w:hAnsi="Times New Roman" w:cs="Times New Roman"/>
          <w:i/>
          <w:iCs/>
          <w:color w:val="000000" w:themeColor="text1"/>
          <w:kern w:val="3"/>
          <w:sz w:val="28"/>
          <w:szCs w:val="28"/>
        </w:rPr>
        <w:t>in vivo</w:t>
      </w:r>
      <w:r w:rsidRPr="00CC7883">
        <w:rPr>
          <w:rStyle w:val="af2"/>
          <w:rFonts w:ascii="Times New Roman" w:hAnsi="Times New Roman" w:cs="Times New Roman"/>
          <w:b w:val="0"/>
          <w:bCs w:val="0"/>
          <w:color w:val="000000" w:themeColor="text1"/>
          <w:sz w:val="28"/>
          <w:szCs w:val="28"/>
        </w:rPr>
        <w:t xml:space="preserve"> залежала від особливостей їх культивування в умовах культури </w:t>
      </w:r>
      <w:r w:rsidRPr="00CC7883">
        <w:rPr>
          <w:rStyle w:val="af2"/>
          <w:rFonts w:ascii="Times New Roman" w:hAnsi="Times New Roman" w:cs="Times New Roman"/>
          <w:b w:val="0"/>
          <w:bCs w:val="0"/>
          <w:i/>
          <w:color w:val="000000" w:themeColor="text1"/>
          <w:sz w:val="28"/>
          <w:szCs w:val="28"/>
        </w:rPr>
        <w:t>in vitro</w:t>
      </w:r>
      <w:r w:rsidRPr="00CC7883">
        <w:rPr>
          <w:rStyle w:val="af2"/>
          <w:rFonts w:ascii="Times New Roman" w:hAnsi="Times New Roman" w:cs="Times New Roman"/>
          <w:b w:val="0"/>
          <w:bCs w:val="0"/>
          <w:color w:val="000000" w:themeColor="text1"/>
          <w:sz w:val="28"/>
          <w:szCs w:val="28"/>
        </w:rPr>
        <w:t>.</w:t>
      </w:r>
    </w:p>
    <w:p w:rsidR="00882E3D" w:rsidRPr="00CC7883" w:rsidRDefault="00882E3D" w:rsidP="00047411">
      <w:pPr>
        <w:pStyle w:val="a7"/>
        <w:widowControl w:val="0"/>
        <w:numPr>
          <w:ilvl w:val="0"/>
          <w:numId w:val="24"/>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 xml:space="preserve">Рівень приживлюваності мікроклонів винограду залежав від складу поживних середовищ, на яких їх культивували в умовах </w:t>
      </w:r>
      <w:r w:rsidR="00894C28" w:rsidRPr="00CC7883">
        <w:rPr>
          <w:rFonts w:ascii="Times New Roman" w:eastAsia="NSimSun" w:hAnsi="Times New Roman" w:cs="Times New Roman"/>
          <w:i/>
          <w:iCs/>
          <w:color w:val="000000" w:themeColor="text1"/>
          <w:kern w:val="3"/>
          <w:sz w:val="28"/>
          <w:szCs w:val="28"/>
        </w:rPr>
        <w:t>in vi</w:t>
      </w:r>
      <w:r w:rsidR="005B1B88">
        <w:rPr>
          <w:rFonts w:ascii="Times New Roman" w:eastAsia="NSimSun" w:hAnsi="Times New Roman" w:cs="Times New Roman"/>
          <w:i/>
          <w:iCs/>
          <w:color w:val="000000" w:themeColor="text1"/>
          <w:kern w:val="3"/>
          <w:sz w:val="28"/>
          <w:szCs w:val="28"/>
          <w:lang w:val="en-US"/>
        </w:rPr>
        <w:t>tr</w:t>
      </w:r>
      <w:r w:rsidR="00894C28" w:rsidRPr="00CC7883">
        <w:rPr>
          <w:rFonts w:ascii="Times New Roman" w:eastAsia="NSimSun" w:hAnsi="Times New Roman" w:cs="Times New Roman"/>
          <w:i/>
          <w:iCs/>
          <w:color w:val="000000" w:themeColor="text1"/>
          <w:kern w:val="3"/>
          <w:sz w:val="28"/>
          <w:szCs w:val="28"/>
        </w:rPr>
        <w:t>o</w:t>
      </w:r>
      <w:r w:rsidRPr="00CC7883">
        <w:rPr>
          <w:rFonts w:ascii="Times New Roman" w:hAnsi="Times New Roman" w:cs="Times New Roman"/>
          <w:bCs/>
          <w:color w:val="000000" w:themeColor="text1"/>
          <w:sz w:val="28"/>
          <w:szCs w:val="28"/>
        </w:rPr>
        <w:t xml:space="preserve">. Найвищі показники життєздатності рослин протягом 30, 60 та 90 діб адаптації були характерні для варіантів із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hAnsi="Times New Roman" w:cs="Times New Roman"/>
          <w:bCs/>
          <w:color w:val="000000" w:themeColor="text1"/>
          <w:sz w:val="28"/>
          <w:szCs w:val="28"/>
        </w:rPr>
        <w:t xml:space="preserve">ими компонентами (агроперліт, вермикуліт та їх суміші), які додавали до стандартного поживного середовища MS у поєднанні з фітогормонами у кількості 0,3 мг/л ІОК та 0,2 мг/л 6-БАП. </w:t>
      </w:r>
      <w:r w:rsidR="00AB448B">
        <w:rPr>
          <w:rFonts w:ascii="Times New Roman" w:hAnsi="Times New Roman" w:cs="Times New Roman"/>
          <w:bCs/>
          <w:color w:val="000000" w:themeColor="text1"/>
          <w:sz w:val="28"/>
          <w:szCs w:val="28"/>
        </w:rPr>
        <w:t xml:space="preserve">У таких варіантах значення показника приживлюваності рослин </w:t>
      </w:r>
      <w:r w:rsidRPr="00CC7883">
        <w:rPr>
          <w:rFonts w:ascii="Times New Roman" w:hAnsi="Times New Roman" w:cs="Times New Roman"/>
          <w:bCs/>
          <w:color w:val="000000" w:themeColor="text1"/>
          <w:sz w:val="28"/>
          <w:szCs w:val="28"/>
        </w:rPr>
        <w:t xml:space="preserve">у </w:t>
      </w:r>
      <w:r w:rsidR="00D824E4" w:rsidRPr="00CC7883">
        <w:rPr>
          <w:rFonts w:ascii="Times New Roman" w:hAnsi="Times New Roman" w:cs="Times New Roman"/>
          <w:bCs/>
          <w:color w:val="000000" w:themeColor="text1"/>
          <w:sz w:val="28"/>
          <w:szCs w:val="28"/>
        </w:rPr>
        <w:t>1,2</w:t>
      </w:r>
      <w:r w:rsidRPr="00CC7883">
        <w:rPr>
          <w:rFonts w:ascii="Times New Roman" w:hAnsi="Times New Roman" w:cs="Times New Roman"/>
          <w:bCs/>
          <w:color w:val="000000" w:themeColor="text1"/>
          <w:sz w:val="28"/>
          <w:szCs w:val="28"/>
        </w:rPr>
        <w:t>–</w:t>
      </w:r>
      <w:r w:rsidR="00D824E4" w:rsidRPr="00CC7883">
        <w:rPr>
          <w:rFonts w:ascii="Times New Roman" w:hAnsi="Times New Roman" w:cs="Times New Roman"/>
          <w:bCs/>
          <w:color w:val="000000" w:themeColor="text1"/>
          <w:sz w:val="28"/>
          <w:szCs w:val="28"/>
        </w:rPr>
        <w:t>1,8</w:t>
      </w:r>
      <w:r w:rsidRPr="00CC7883">
        <w:rPr>
          <w:rFonts w:ascii="Times New Roman" w:hAnsi="Times New Roman" w:cs="Times New Roman"/>
          <w:bCs/>
          <w:color w:val="000000" w:themeColor="text1"/>
          <w:sz w:val="28"/>
          <w:szCs w:val="28"/>
        </w:rPr>
        <w:t xml:space="preserve"> раз</w:t>
      </w:r>
      <w:r w:rsidR="000F7714">
        <w:rPr>
          <w:rFonts w:ascii="Times New Roman" w:hAnsi="Times New Roman" w:cs="Times New Roman"/>
          <w:bCs/>
          <w:color w:val="000000" w:themeColor="text1"/>
          <w:sz w:val="28"/>
          <w:szCs w:val="28"/>
        </w:rPr>
        <w:t>а</w:t>
      </w:r>
      <w:r w:rsidRPr="00CC7883">
        <w:rPr>
          <w:rFonts w:ascii="Times New Roman" w:hAnsi="Times New Roman" w:cs="Times New Roman"/>
          <w:bCs/>
          <w:color w:val="000000" w:themeColor="text1"/>
          <w:sz w:val="28"/>
          <w:szCs w:val="28"/>
        </w:rPr>
        <w:t xml:space="preserve"> перевищували контрол</w:t>
      </w:r>
      <w:r w:rsidR="00AB448B">
        <w:rPr>
          <w:rFonts w:ascii="Times New Roman" w:hAnsi="Times New Roman" w:cs="Times New Roman"/>
          <w:bCs/>
          <w:color w:val="000000" w:themeColor="text1"/>
          <w:sz w:val="28"/>
          <w:szCs w:val="28"/>
        </w:rPr>
        <w:t>ь</w:t>
      </w:r>
      <w:r w:rsidRPr="00CC7883">
        <w:rPr>
          <w:rFonts w:ascii="Times New Roman" w:hAnsi="Times New Roman" w:cs="Times New Roman"/>
          <w:bCs/>
          <w:color w:val="000000" w:themeColor="text1"/>
          <w:sz w:val="28"/>
          <w:szCs w:val="28"/>
        </w:rPr>
        <w:t xml:space="preserve">. Додавання до поживного середовища агроперліту та суміші агроперліту і вермикуліту забезпечувало найкращі умови для успішного культивування, що проявлялося у найбільших показниках приживлюваності мікроклонів після всіх строків адаптації. Мікроклони, вирощені на таких середовищах, зберігали </w:t>
      </w:r>
      <w:r w:rsidR="00941957" w:rsidRPr="00CC7883">
        <w:rPr>
          <w:rFonts w:ascii="Times New Roman" w:hAnsi="Times New Roman" w:cs="Times New Roman"/>
          <w:bCs/>
          <w:color w:val="000000" w:themeColor="text1"/>
          <w:sz w:val="28"/>
          <w:szCs w:val="28"/>
        </w:rPr>
        <w:t>75,0</w:t>
      </w:r>
      <w:r w:rsidR="00EC676E" w:rsidRPr="00CC7883">
        <w:rPr>
          <w:rFonts w:ascii="Times New Roman" w:hAnsi="Times New Roman" w:cs="Times New Roman"/>
          <w:bCs/>
          <w:color w:val="000000" w:themeColor="text1"/>
          <w:sz w:val="28"/>
          <w:szCs w:val="28"/>
        </w:rPr>
        <w:t>–98,0</w:t>
      </w:r>
      <w:r w:rsidR="005B1B88" w:rsidRPr="00F62136">
        <w:rPr>
          <w:rFonts w:ascii="Times New Roman" w:hAnsi="Times New Roman" w:cs="Times New Roman"/>
          <w:bCs/>
          <w:color w:val="000000" w:themeColor="text1"/>
          <w:sz w:val="28"/>
          <w:szCs w:val="28"/>
          <w:lang w:val="ru-RU"/>
        </w:rPr>
        <w:t xml:space="preserve"> </w:t>
      </w:r>
      <w:r w:rsidRPr="00CC7883">
        <w:rPr>
          <w:rFonts w:ascii="Times New Roman" w:hAnsi="Times New Roman" w:cs="Times New Roman"/>
          <w:bCs/>
          <w:color w:val="000000" w:themeColor="text1"/>
          <w:sz w:val="28"/>
          <w:szCs w:val="28"/>
        </w:rPr>
        <w:t xml:space="preserve">% життєздатності через 30 діб та </w:t>
      </w:r>
      <w:r w:rsidR="00941957" w:rsidRPr="00CC7883">
        <w:rPr>
          <w:rFonts w:ascii="Times New Roman" w:hAnsi="Times New Roman" w:cs="Times New Roman"/>
          <w:bCs/>
          <w:color w:val="000000" w:themeColor="text1"/>
          <w:sz w:val="28"/>
          <w:szCs w:val="28"/>
        </w:rPr>
        <w:t>56,0</w:t>
      </w:r>
      <w:r w:rsidR="00EC676E" w:rsidRPr="00CC7883">
        <w:rPr>
          <w:rFonts w:ascii="Times New Roman" w:hAnsi="Times New Roman" w:cs="Times New Roman"/>
          <w:bCs/>
          <w:color w:val="000000" w:themeColor="text1"/>
          <w:sz w:val="28"/>
          <w:szCs w:val="28"/>
        </w:rPr>
        <w:t>–82,5</w:t>
      </w:r>
      <w:r w:rsidRPr="00CC7883">
        <w:rPr>
          <w:rFonts w:ascii="Times New Roman" w:hAnsi="Times New Roman" w:cs="Times New Roman"/>
          <w:bCs/>
          <w:color w:val="000000" w:themeColor="text1"/>
          <w:sz w:val="28"/>
          <w:szCs w:val="28"/>
        </w:rPr>
        <w:t xml:space="preserve"> % – через 90 діб адаптації.</w:t>
      </w:r>
    </w:p>
    <w:p w:rsidR="00882E3D" w:rsidRPr="00CC7883" w:rsidRDefault="00882E3D" w:rsidP="00047411">
      <w:pPr>
        <w:pStyle w:val="a7"/>
        <w:widowControl w:val="0"/>
        <w:numPr>
          <w:ilvl w:val="0"/>
          <w:numId w:val="24"/>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Суттєво на подальшу здатність мікроклонів винограду до адаптації впливав фітогормональний склад поживного середовища. Мікроклони винограду, які культивували на поживних середовищах із меншим вмістом цитокінінів і ауксинів (0,3 мг/л ІОК, 0,2 мг/л 6-БАП), характеризувалися кращою приживлюваністю на всіх етапах обліку. </w:t>
      </w:r>
      <w:r w:rsidR="0020509F">
        <w:rPr>
          <w:rFonts w:ascii="Times New Roman" w:hAnsi="Times New Roman" w:cs="Times New Roman"/>
          <w:color w:val="000000" w:themeColor="text1"/>
          <w:sz w:val="28"/>
          <w:szCs w:val="28"/>
        </w:rPr>
        <w:t>Н</w:t>
      </w:r>
      <w:r w:rsidRPr="00CC7883">
        <w:rPr>
          <w:rFonts w:ascii="Times New Roman" w:hAnsi="Times New Roman" w:cs="Times New Roman"/>
          <w:color w:val="000000" w:themeColor="text1"/>
          <w:sz w:val="28"/>
          <w:szCs w:val="28"/>
        </w:rPr>
        <w:t xml:space="preserve">а 90-ту добу культивування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szCs w:val="28"/>
        </w:rPr>
        <w:t xml:space="preserve"> </w:t>
      </w:r>
      <w:r w:rsidR="0020509F">
        <w:rPr>
          <w:rFonts w:ascii="Times New Roman" w:hAnsi="Times New Roman" w:cs="Times New Roman"/>
          <w:color w:val="000000" w:themeColor="text1"/>
          <w:sz w:val="28"/>
          <w:szCs w:val="28"/>
        </w:rPr>
        <w:t xml:space="preserve">їх залишалося більше порівняно з контрольними рослинами </w:t>
      </w:r>
      <w:r w:rsidRPr="00CC7883">
        <w:rPr>
          <w:rFonts w:ascii="Times New Roman" w:hAnsi="Times New Roman" w:cs="Times New Roman"/>
          <w:color w:val="000000" w:themeColor="text1"/>
          <w:sz w:val="28"/>
          <w:szCs w:val="28"/>
        </w:rPr>
        <w:t xml:space="preserve">на </w:t>
      </w:r>
      <w:r w:rsidR="009E5C2C" w:rsidRPr="00CC7883">
        <w:rPr>
          <w:rFonts w:ascii="Times New Roman" w:hAnsi="Times New Roman" w:cs="Times New Roman"/>
          <w:color w:val="000000" w:themeColor="text1"/>
          <w:sz w:val="28"/>
          <w:szCs w:val="28"/>
        </w:rPr>
        <w:t>15,9</w:t>
      </w:r>
      <w:r w:rsidRPr="00CC7883">
        <w:rPr>
          <w:rFonts w:ascii="Times New Roman" w:hAnsi="Times New Roman" w:cs="Times New Roman"/>
          <w:color w:val="000000" w:themeColor="text1"/>
          <w:sz w:val="28"/>
          <w:szCs w:val="28"/>
        </w:rPr>
        <w:t>–</w:t>
      </w:r>
      <w:r w:rsidR="009E5C2C" w:rsidRPr="00CC7883">
        <w:rPr>
          <w:rFonts w:ascii="Times New Roman" w:hAnsi="Times New Roman" w:cs="Times New Roman"/>
          <w:color w:val="000000" w:themeColor="text1"/>
          <w:sz w:val="28"/>
          <w:szCs w:val="28"/>
        </w:rPr>
        <w:t>52,9</w:t>
      </w:r>
      <w:r w:rsidRPr="00CC7883">
        <w:rPr>
          <w:rFonts w:ascii="Times New Roman" w:hAnsi="Times New Roman" w:cs="Times New Roman"/>
          <w:color w:val="000000" w:themeColor="text1"/>
          <w:sz w:val="28"/>
          <w:szCs w:val="28"/>
        </w:rPr>
        <w:t xml:space="preserve"> % (для підщепних сортів) та на </w:t>
      </w:r>
      <w:r w:rsidR="009E5C2C" w:rsidRPr="00CC7883">
        <w:rPr>
          <w:rFonts w:ascii="Times New Roman" w:hAnsi="Times New Roman" w:cs="Times New Roman"/>
          <w:color w:val="000000" w:themeColor="text1"/>
          <w:sz w:val="28"/>
          <w:szCs w:val="28"/>
        </w:rPr>
        <w:t>15,0</w:t>
      </w:r>
      <w:r w:rsidRPr="00CC7883">
        <w:rPr>
          <w:rFonts w:ascii="Times New Roman" w:hAnsi="Times New Roman" w:cs="Times New Roman"/>
          <w:color w:val="000000" w:themeColor="text1"/>
          <w:sz w:val="28"/>
          <w:szCs w:val="28"/>
        </w:rPr>
        <w:t>–</w:t>
      </w:r>
      <w:r w:rsidR="009E5C2C" w:rsidRPr="00CC7883">
        <w:rPr>
          <w:rFonts w:ascii="Times New Roman" w:hAnsi="Times New Roman" w:cs="Times New Roman"/>
          <w:color w:val="000000" w:themeColor="text1"/>
          <w:sz w:val="28"/>
          <w:szCs w:val="28"/>
        </w:rPr>
        <w:t>47,0</w:t>
      </w:r>
      <w:r w:rsidRPr="00CC7883">
        <w:rPr>
          <w:rFonts w:ascii="Times New Roman" w:hAnsi="Times New Roman" w:cs="Times New Roman"/>
          <w:color w:val="000000" w:themeColor="text1"/>
          <w:sz w:val="28"/>
          <w:szCs w:val="28"/>
        </w:rPr>
        <w:t xml:space="preserve"> % (для технічних сортів). Застосування препаратів Радіфарм та Clonex gel у складі поживних середовищ покращувало приживлюваність мікроклонів винограду на етапі адаптації, особливо у сортів «Ярило» та «Загрей». Найбільш вираженим цей ефект був у перший місяць адаптації, забезпечуючи підвищення приживлюваності мікроклонів винограду на 5,0–19,0 % порівняно з контролем. Проте надалі ця закономірність не зберігалася.</w:t>
      </w:r>
    </w:p>
    <w:p w:rsidR="00723274" w:rsidRPr="00CC7883" w:rsidRDefault="00495728" w:rsidP="00047411">
      <w:pPr>
        <w:pStyle w:val="a7"/>
        <w:widowControl w:val="0"/>
        <w:numPr>
          <w:ilvl w:val="0"/>
          <w:numId w:val="24"/>
        </w:numPr>
        <w:spacing w:after="0" w:line="360" w:lineRule="auto"/>
        <w:ind w:left="0" w:firstLine="0"/>
        <w:jc w:val="both"/>
        <w:rPr>
          <w:rFonts w:ascii="Times New Roman" w:eastAsia="Times New Roman" w:hAnsi="Times New Roman" w:cs="Times New Roman"/>
          <w:color w:val="000000" w:themeColor="text1"/>
          <w:kern w:val="0"/>
          <w:sz w:val="28"/>
          <w:szCs w:val="28"/>
          <w:lang w:eastAsia="uk-UA"/>
        </w:rPr>
      </w:pPr>
      <w:r w:rsidRPr="00CC7883">
        <w:rPr>
          <w:rFonts w:ascii="Times New Roman" w:eastAsia="Times New Roman" w:hAnsi="Times New Roman" w:cs="Times New Roman"/>
          <w:color w:val="000000" w:themeColor="text1"/>
          <w:kern w:val="0"/>
          <w:sz w:val="28"/>
          <w:szCs w:val="28"/>
          <w:lang w:eastAsia="uk-UA"/>
        </w:rPr>
        <w:t xml:space="preserve">Мінеральні поживні субстрати (агроперліт, вермикуліт та агроперліт + </w:t>
      </w:r>
      <w:r w:rsidRPr="00CC7883">
        <w:rPr>
          <w:rFonts w:ascii="Times New Roman" w:eastAsia="Times New Roman" w:hAnsi="Times New Roman" w:cs="Times New Roman"/>
          <w:color w:val="000000" w:themeColor="text1"/>
          <w:kern w:val="0"/>
          <w:sz w:val="28"/>
          <w:szCs w:val="28"/>
          <w:lang w:eastAsia="uk-UA"/>
        </w:rPr>
        <w:lastRenderedPageBreak/>
        <w:t xml:space="preserve">вермикуліт) забезпечували найвищий рівень адаптивності мікроклонів винограду на етапі переходу до умов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kern w:val="0"/>
          <w:sz w:val="28"/>
          <w:szCs w:val="28"/>
          <w:lang w:eastAsia="uk-UA"/>
        </w:rPr>
        <w:t>. З точки зору приживлюваності мікроклонів винограду в неконтрольованих умовах найбільш ефективн</w:t>
      </w:r>
      <w:r w:rsidR="00A92C84">
        <w:rPr>
          <w:rFonts w:ascii="Times New Roman" w:eastAsia="Times New Roman" w:hAnsi="Times New Roman" w:cs="Times New Roman"/>
          <w:color w:val="000000" w:themeColor="text1"/>
          <w:kern w:val="0"/>
          <w:sz w:val="28"/>
          <w:szCs w:val="28"/>
          <w:lang w:eastAsia="uk-UA"/>
        </w:rPr>
        <w:t>ою</w:t>
      </w:r>
      <w:r w:rsidRPr="00CC7883">
        <w:rPr>
          <w:rFonts w:ascii="Times New Roman" w:eastAsia="Times New Roman" w:hAnsi="Times New Roman" w:cs="Times New Roman"/>
          <w:color w:val="000000" w:themeColor="text1"/>
          <w:kern w:val="0"/>
          <w:sz w:val="28"/>
          <w:szCs w:val="28"/>
          <w:lang w:eastAsia="uk-UA"/>
        </w:rPr>
        <w:t xml:space="preserve"> для культивування винограду </w:t>
      </w:r>
      <w:r w:rsidRPr="00CC7883">
        <w:rPr>
          <w:rFonts w:ascii="Times New Roman" w:eastAsia="Times New Roman" w:hAnsi="Times New Roman" w:cs="Times New Roman"/>
          <w:i/>
          <w:color w:val="000000" w:themeColor="text1"/>
          <w:kern w:val="0"/>
          <w:sz w:val="28"/>
          <w:szCs w:val="28"/>
          <w:lang w:eastAsia="uk-UA"/>
        </w:rPr>
        <w:t>in vitro</w:t>
      </w:r>
      <w:r w:rsidRPr="00CC7883">
        <w:rPr>
          <w:rFonts w:ascii="Times New Roman" w:eastAsia="Times New Roman" w:hAnsi="Times New Roman" w:cs="Times New Roman"/>
          <w:color w:val="000000" w:themeColor="text1"/>
          <w:kern w:val="0"/>
          <w:sz w:val="28"/>
          <w:szCs w:val="28"/>
          <w:lang w:eastAsia="uk-UA"/>
        </w:rPr>
        <w:t xml:space="preserve"> була суміш агроперліту і вермикуліту. Приживлюваність мікроклонів винограду цих варіантів після трьох місяців проведення обліків дорівнювала </w:t>
      </w:r>
      <w:r w:rsidR="007408D0" w:rsidRPr="00CC7883">
        <w:rPr>
          <w:rFonts w:ascii="Times New Roman" w:eastAsia="Times New Roman" w:hAnsi="Times New Roman" w:cs="Times New Roman"/>
          <w:color w:val="000000" w:themeColor="text1"/>
          <w:kern w:val="0"/>
          <w:sz w:val="28"/>
          <w:szCs w:val="28"/>
          <w:lang w:eastAsia="uk-UA"/>
        </w:rPr>
        <w:t>67,7</w:t>
      </w:r>
      <w:r w:rsidRPr="00CC7883">
        <w:rPr>
          <w:rFonts w:ascii="Times New Roman" w:eastAsia="Times New Roman" w:hAnsi="Times New Roman" w:cs="Times New Roman"/>
          <w:color w:val="000000" w:themeColor="text1"/>
          <w:kern w:val="0"/>
          <w:sz w:val="28"/>
          <w:szCs w:val="28"/>
          <w:lang w:eastAsia="uk-UA"/>
        </w:rPr>
        <w:t>–</w:t>
      </w:r>
      <w:r w:rsidR="007408D0" w:rsidRPr="00CC7883">
        <w:rPr>
          <w:rFonts w:ascii="Times New Roman" w:eastAsia="Times New Roman" w:hAnsi="Times New Roman" w:cs="Times New Roman"/>
          <w:color w:val="000000" w:themeColor="text1"/>
          <w:kern w:val="0"/>
          <w:sz w:val="28"/>
          <w:szCs w:val="28"/>
          <w:lang w:eastAsia="uk-UA"/>
        </w:rPr>
        <w:t>75,0</w:t>
      </w:r>
      <w:r w:rsidRPr="00CC7883">
        <w:rPr>
          <w:rFonts w:ascii="Times New Roman" w:eastAsia="Times New Roman" w:hAnsi="Times New Roman" w:cs="Times New Roman"/>
          <w:color w:val="000000" w:themeColor="text1"/>
          <w:kern w:val="0"/>
          <w:sz w:val="28"/>
          <w:szCs w:val="28"/>
          <w:lang w:eastAsia="uk-UA"/>
        </w:rPr>
        <w:t xml:space="preserve"> %, що у 2,1–</w:t>
      </w:r>
      <w:r w:rsidR="007408D0" w:rsidRPr="00CC7883">
        <w:rPr>
          <w:rFonts w:ascii="Times New Roman" w:eastAsia="Times New Roman" w:hAnsi="Times New Roman" w:cs="Times New Roman"/>
          <w:color w:val="000000" w:themeColor="text1"/>
          <w:kern w:val="0"/>
          <w:sz w:val="28"/>
          <w:szCs w:val="28"/>
          <w:lang w:eastAsia="uk-UA"/>
        </w:rPr>
        <w:t>3,0</w:t>
      </w:r>
      <w:r w:rsidRPr="00CC7883">
        <w:rPr>
          <w:rFonts w:ascii="Times New Roman" w:eastAsia="Times New Roman" w:hAnsi="Times New Roman" w:cs="Times New Roman"/>
          <w:color w:val="000000" w:themeColor="text1"/>
          <w:kern w:val="0"/>
          <w:sz w:val="28"/>
          <w:szCs w:val="28"/>
          <w:lang w:eastAsia="uk-UA"/>
        </w:rPr>
        <w:t xml:space="preserve"> раз</w:t>
      </w:r>
      <w:r w:rsidR="000F7714">
        <w:rPr>
          <w:rFonts w:ascii="Times New Roman" w:eastAsia="Times New Roman" w:hAnsi="Times New Roman" w:cs="Times New Roman"/>
          <w:color w:val="000000" w:themeColor="text1"/>
          <w:kern w:val="0"/>
          <w:sz w:val="28"/>
          <w:szCs w:val="28"/>
          <w:lang w:eastAsia="uk-UA"/>
        </w:rPr>
        <w:t>а</w:t>
      </w:r>
      <w:r w:rsidRPr="00CC7883">
        <w:rPr>
          <w:rFonts w:ascii="Times New Roman" w:eastAsia="Times New Roman" w:hAnsi="Times New Roman" w:cs="Times New Roman"/>
          <w:color w:val="000000" w:themeColor="text1"/>
          <w:kern w:val="0"/>
          <w:sz w:val="28"/>
          <w:szCs w:val="28"/>
          <w:lang w:eastAsia="uk-UA"/>
        </w:rPr>
        <w:t xml:space="preserve"> перевищувало контрольні значення.</w:t>
      </w:r>
    </w:p>
    <w:p w:rsidR="00F5525C" w:rsidRPr="00CC7883" w:rsidRDefault="00F5525C" w:rsidP="00047411">
      <w:pPr>
        <w:pStyle w:val="a7"/>
        <w:widowControl w:val="0"/>
        <w:numPr>
          <w:ilvl w:val="0"/>
          <w:numId w:val="24"/>
        </w:numPr>
        <w:spacing w:after="0" w:line="360" w:lineRule="auto"/>
        <w:ind w:left="0" w:firstLine="0"/>
        <w:jc w:val="both"/>
        <w:rPr>
          <w:rFonts w:ascii="Times New Roman" w:eastAsia="Times New Roman" w:hAnsi="Times New Roman" w:cs="Times New Roman"/>
          <w:color w:val="000000" w:themeColor="text1"/>
          <w:kern w:val="0"/>
          <w:sz w:val="28"/>
          <w:szCs w:val="28"/>
          <w:lang w:eastAsia="uk-UA"/>
        </w:rPr>
        <w:sectPr w:rsidR="00F5525C" w:rsidRPr="00CC7883" w:rsidSect="00BD5C9C">
          <w:headerReference w:type="default" r:id="rId186"/>
          <w:pgSz w:w="11906" w:h="16838" w:code="9"/>
          <w:pgMar w:top="1134" w:right="851" w:bottom="1134" w:left="1701" w:header="709" w:footer="709" w:gutter="0"/>
          <w:cols w:space="708"/>
          <w:docGrid w:linePitch="360"/>
        </w:sectPr>
      </w:pPr>
    </w:p>
    <w:p w:rsidR="00571DD8" w:rsidRPr="00CC7883" w:rsidRDefault="00571DD8" w:rsidP="00047411">
      <w:pPr>
        <w:widowControl w:val="0"/>
        <w:spacing w:after="0" w:line="360" w:lineRule="auto"/>
        <w:jc w:val="center"/>
        <w:outlineLvl w:val="0"/>
        <w:rPr>
          <w:rFonts w:ascii="Times New Roman" w:hAnsi="Times New Roman" w:cs="Times New Roman"/>
          <w:b/>
          <w:color w:val="000000" w:themeColor="text1"/>
          <w:sz w:val="28"/>
          <w:szCs w:val="28"/>
        </w:rPr>
      </w:pPr>
      <w:bookmarkStart w:id="116" w:name="_Toc220058963"/>
      <w:r w:rsidRPr="00CC7883">
        <w:rPr>
          <w:rFonts w:ascii="Times New Roman" w:hAnsi="Times New Roman" w:cs="Times New Roman"/>
          <w:b/>
          <w:color w:val="000000" w:themeColor="text1"/>
          <w:sz w:val="28"/>
          <w:szCs w:val="28"/>
        </w:rPr>
        <w:lastRenderedPageBreak/>
        <w:t>РОЗДІЛ 8</w:t>
      </w:r>
      <w:bookmarkEnd w:id="116"/>
    </w:p>
    <w:p w:rsidR="00571DD8" w:rsidRPr="00CC7883" w:rsidRDefault="00571DD8" w:rsidP="00047411">
      <w:pPr>
        <w:widowControl w:val="0"/>
        <w:spacing w:after="0" w:line="360" w:lineRule="auto"/>
        <w:jc w:val="center"/>
        <w:outlineLvl w:val="0"/>
        <w:rPr>
          <w:rFonts w:ascii="Times New Roman" w:hAnsi="Times New Roman" w:cs="Times New Roman"/>
          <w:b/>
          <w:caps/>
          <w:color w:val="000000" w:themeColor="text1"/>
          <w:sz w:val="28"/>
          <w:szCs w:val="28"/>
        </w:rPr>
      </w:pPr>
      <w:bookmarkStart w:id="117" w:name="_Toc220058964"/>
      <w:r w:rsidRPr="00CC7883">
        <w:rPr>
          <w:rFonts w:ascii="Times New Roman" w:hAnsi="Times New Roman" w:cs="Times New Roman"/>
          <w:b/>
          <w:caps/>
          <w:color w:val="000000" w:themeColor="text1"/>
          <w:sz w:val="28"/>
          <w:szCs w:val="28"/>
        </w:rPr>
        <w:t>Статистичний аналіз результатів наукового дослідження</w:t>
      </w:r>
      <w:bookmarkEnd w:id="117"/>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Результати експериментального дослідження, наведені у попередніх розділах, свідчать про зміну анатомо-морфологічних, фізіолого-біохімічних і біометричних показників мікроклонів винограду залежно від умов культивування.</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Дисперсійний аналіз експериментальних даних дозволив встановити статистичну достовірність результатів впливу окремих факторів, визначити їх відносний вплив на формування досліджуваних показників.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першому досліді (згідно зі схемою дослідження) основними фактор</w:t>
      </w:r>
      <w:r w:rsidR="006A4D34">
        <w:rPr>
          <w:rFonts w:ascii="Times New Roman" w:hAnsi="Times New Roman" w:cs="Times New Roman"/>
          <w:color w:val="000000" w:themeColor="text1"/>
          <w:sz w:val="28"/>
          <w:szCs w:val="28"/>
        </w:rPr>
        <w:t xml:space="preserve">ами </w:t>
      </w:r>
      <w:r w:rsidRPr="00CC7883">
        <w:rPr>
          <w:rFonts w:ascii="Times New Roman" w:hAnsi="Times New Roman" w:cs="Times New Roman"/>
          <w:color w:val="000000" w:themeColor="text1"/>
          <w:sz w:val="28"/>
          <w:szCs w:val="28"/>
        </w:rPr>
        <w:t xml:space="preserve">були: </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bCs/>
          <w:color w:val="000000" w:themeColor="text1"/>
          <w:sz w:val="28"/>
          <w:szCs w:val="28"/>
        </w:rPr>
        <w:t>фактор 1</w:t>
      </w:r>
      <w:r w:rsidRPr="00CC7883">
        <w:rPr>
          <w:rFonts w:ascii="Times New Roman" w:hAnsi="Times New Roman" w:cs="Times New Roman"/>
          <w:color w:val="000000" w:themeColor="text1"/>
          <w:sz w:val="28"/>
          <w:szCs w:val="28"/>
        </w:rPr>
        <w:t xml:space="preserve">), </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(ІОК і 6-БАП) (</w:t>
      </w:r>
      <w:r w:rsidRPr="00CC7883">
        <w:rPr>
          <w:rFonts w:ascii="Times New Roman" w:hAnsi="Times New Roman" w:cs="Times New Roman"/>
          <w:bCs/>
          <w:color w:val="000000" w:themeColor="text1"/>
          <w:sz w:val="28"/>
          <w:szCs w:val="28"/>
        </w:rPr>
        <w:t>фактор 2</w:t>
      </w:r>
      <w:r w:rsidRPr="00CC7883">
        <w:rPr>
          <w:rFonts w:ascii="Times New Roman" w:hAnsi="Times New Roman" w:cs="Times New Roman"/>
          <w:color w:val="000000" w:themeColor="text1"/>
          <w:sz w:val="28"/>
          <w:szCs w:val="28"/>
        </w:rPr>
        <w:t xml:space="preserve">) та </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додаткові компоненти</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(БАП, агроперліт, вермикуліт) (</w:t>
      </w:r>
      <w:r w:rsidRPr="00CC7883">
        <w:rPr>
          <w:rFonts w:ascii="Times New Roman" w:hAnsi="Times New Roman" w:cs="Times New Roman"/>
          <w:bCs/>
          <w:color w:val="000000" w:themeColor="text1"/>
          <w:sz w:val="28"/>
          <w:szCs w:val="28"/>
        </w:rPr>
        <w:t>фактор 3</w:t>
      </w:r>
      <w:r w:rsidRPr="00CC7883">
        <w:rPr>
          <w:rFonts w:ascii="Times New Roman" w:hAnsi="Times New Roman" w:cs="Times New Roman"/>
          <w:color w:val="000000" w:themeColor="text1"/>
          <w:sz w:val="28"/>
          <w:szCs w:val="28"/>
        </w:rPr>
        <w:t xml:space="preserve">). У другому досліді – </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(фактор 1), </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тип поживних мінеральних субстратів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(фактор 2).</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Статистичний аналіз отриманих результатів за розділами 3 та 4.</w:t>
      </w:r>
      <w:r w:rsidRPr="00CC7883">
        <w:rPr>
          <w:rFonts w:ascii="Times New Roman" w:hAnsi="Times New Roman" w:cs="Times New Roman"/>
          <w:color w:val="000000" w:themeColor="text1"/>
          <w:sz w:val="28"/>
          <w:szCs w:val="28"/>
        </w:rPr>
        <w:t xml:space="preserve"> У межах розділу проаналізовано результати дисперсійного аналізу показників проліферації пазушних бруньок і ризогенезу ініціальних експлантів, біометричних показників вегетативної надземної маси і кореневої системи мікроклонів.</w:t>
      </w:r>
    </w:p>
    <w:p w:rsidR="007C4F1A"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Отримані значення критерію Фішера у досліді, де мікроклони культивували на поживних середовищах, для основних факторів впливу перевищували табличні значення, що підтверджує статистично достовірний вплив умов дослідження на показники проліферації пазушних бруньок і ризогенезу ініціальних експлантів (</w:t>
      </w:r>
      <w:r w:rsidR="00DC4415" w:rsidRPr="00CC7883">
        <w:rPr>
          <w:rFonts w:ascii="Times New Roman" w:hAnsi="Times New Roman" w:cs="Times New Roman"/>
          <w:color w:val="000000" w:themeColor="text1"/>
          <w:sz w:val="28"/>
          <w:szCs w:val="28"/>
        </w:rPr>
        <w:t xml:space="preserve">табл. </w:t>
      </w:r>
      <w:r w:rsidRPr="00CC7883">
        <w:rPr>
          <w:rFonts w:ascii="Times New Roman" w:hAnsi="Times New Roman" w:cs="Times New Roman"/>
          <w:color w:val="000000" w:themeColor="text1"/>
          <w:sz w:val="28"/>
          <w:szCs w:val="28"/>
        </w:rPr>
        <w:t>8.1).</w:t>
      </w:r>
    </w:p>
    <w:p w:rsidR="009D1658" w:rsidRDefault="009D165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Для показників проліферації пазушних бруньок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за фактором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додаткові компоненти</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0000298A" w:rsidRPr="00CC7883">
        <w:rPr>
          <w:rFonts w:ascii="Times New Roman" w:hAnsi="Times New Roman" w:cs="Times New Roman"/>
          <w:color w:val="000000" w:themeColor="text1"/>
          <w:sz w:val="28"/>
          <w:szCs w:val="28"/>
        </w:rPr>
        <w:t>дорівнюв</w:t>
      </w:r>
      <w:r w:rsidR="0000298A">
        <w:rPr>
          <w:rFonts w:ascii="Times New Roman" w:hAnsi="Times New Roman" w:cs="Times New Roman"/>
          <w:color w:val="000000" w:themeColor="text1"/>
          <w:sz w:val="28"/>
          <w:szCs w:val="28"/>
        </w:rPr>
        <w:t>ало</w:t>
      </w:r>
      <w:r w:rsidRPr="00CC7883">
        <w:rPr>
          <w:rFonts w:ascii="Times New Roman" w:hAnsi="Times New Roman" w:cs="Times New Roman"/>
          <w:color w:val="000000" w:themeColor="text1"/>
          <w:sz w:val="28"/>
          <w:szCs w:val="28"/>
        </w:rPr>
        <w:t xml:space="preserve"> 5367,204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2,308, </w:t>
      </w:r>
      <w:r w:rsidR="00FF2B39">
        <w:rPr>
          <w:rFonts w:ascii="Times New Roman" w:hAnsi="Times New Roman" w:cs="Times New Roman"/>
          <w:color w:val="000000" w:themeColor="text1"/>
          <w:sz w:val="28"/>
          <w:szCs w:val="28"/>
        </w:rPr>
        <w:t xml:space="preserve">за фактором </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сорт винограду</w:t>
      </w:r>
      <w:r w:rsidR="00FF2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1839,863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2,698, за </w:t>
      </w:r>
      <w:r w:rsidR="00FF2B39">
        <w:rPr>
          <w:rFonts w:ascii="Times New Roman" w:hAnsi="Times New Roman" w:cs="Times New Roman"/>
          <w:color w:val="000000" w:themeColor="text1"/>
          <w:sz w:val="28"/>
          <w:szCs w:val="28"/>
        </w:rPr>
        <w:t>фактором «</w:t>
      </w:r>
      <w:r w:rsidRPr="00CC7883">
        <w:rPr>
          <w:rFonts w:ascii="Times New Roman" w:hAnsi="Times New Roman" w:cs="Times New Roman"/>
          <w:color w:val="000000" w:themeColor="text1"/>
          <w:sz w:val="28"/>
          <w:szCs w:val="28"/>
        </w:rPr>
        <w:t>вміст фітогормонів</w:t>
      </w:r>
      <w:r w:rsidR="00FF2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942,933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3,939.</w:t>
      </w:r>
    </w:p>
    <w:p w:rsidR="009D1658" w:rsidRPr="00CC7883" w:rsidRDefault="009D1658" w:rsidP="00047411">
      <w:pPr>
        <w:widowControl w:val="0"/>
        <w:spacing w:after="0" w:line="360" w:lineRule="auto"/>
        <w:ind w:firstLine="720"/>
        <w:jc w:val="both"/>
        <w:rPr>
          <w:rFonts w:ascii="Times New Roman" w:hAnsi="Times New Roman" w:cs="Times New Roman"/>
          <w:color w:val="000000" w:themeColor="text1"/>
          <w:sz w:val="28"/>
          <w:szCs w:val="28"/>
        </w:rPr>
        <w:sectPr w:rsidR="009D1658" w:rsidRPr="00CC7883" w:rsidSect="000B41B9">
          <w:pgSz w:w="11906" w:h="16838" w:code="9"/>
          <w:pgMar w:top="1134" w:right="851" w:bottom="1134" w:left="1701" w:header="709" w:footer="709" w:gutter="0"/>
          <w:cols w:space="708"/>
          <w:docGrid w:linePitch="360"/>
        </w:sectPr>
      </w:pPr>
    </w:p>
    <w:p w:rsidR="00571DD8" w:rsidRPr="00CC7883" w:rsidRDefault="00571DD8" w:rsidP="00047411">
      <w:pPr>
        <w:widowControl w:val="0"/>
        <w:jc w:val="right"/>
        <w:rPr>
          <w:rFonts w:ascii="Times New Roman" w:hAnsi="Times New Roman" w:cs="Times New Roman"/>
          <w:i/>
          <w:color w:val="000000" w:themeColor="text1"/>
          <w:sz w:val="28"/>
          <w:szCs w:val="28"/>
        </w:rPr>
      </w:pPr>
      <w:r w:rsidRPr="00CC7883">
        <w:rPr>
          <w:rFonts w:ascii="Times New Roman" w:hAnsi="Times New Roman" w:cs="Times New Roman"/>
          <w:i/>
          <w:color w:val="000000" w:themeColor="text1"/>
          <w:sz w:val="28"/>
          <w:szCs w:val="28"/>
        </w:rPr>
        <w:lastRenderedPageBreak/>
        <w:t>Таблиця 8.1</w:t>
      </w:r>
    </w:p>
    <w:p w:rsidR="00571DD8" w:rsidRPr="00CC7883" w:rsidRDefault="00571DD8" w:rsidP="00047411">
      <w:pPr>
        <w:widowControl w:val="0"/>
        <w:jc w:val="center"/>
        <w:rPr>
          <w:rFonts w:ascii="Times New Roman" w:hAnsi="Times New Roman" w:cs="Times New Roman"/>
          <w:b/>
          <w:color w:val="000000" w:themeColor="text1"/>
          <w:sz w:val="28"/>
          <w:szCs w:val="28"/>
        </w:rPr>
      </w:pPr>
      <w:r w:rsidRPr="00CC7883">
        <w:rPr>
          <w:rFonts w:ascii="Times New Roman" w:hAnsi="Times New Roman" w:cs="Times New Roman"/>
          <w:b/>
          <w:color w:val="000000" w:themeColor="text1"/>
          <w:sz w:val="28"/>
          <w:szCs w:val="28"/>
        </w:rPr>
        <w:t>Результати дисперсійного аналізу за даними розділу 3</w:t>
      </w:r>
    </w:p>
    <w:tbl>
      <w:tblPr>
        <w:tblW w:w="1457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2098"/>
      </w:tblGrid>
      <w:tr w:rsidR="00571DD8" w:rsidRPr="00CC7883" w:rsidTr="007514A7">
        <w:trPr>
          <w:cantSplit/>
          <w:trHeight w:val="1454"/>
        </w:trPr>
        <w:tc>
          <w:tcPr>
            <w:tcW w:w="3827" w:type="dxa"/>
          </w:tcPr>
          <w:p w:rsidR="00571DD8" w:rsidRPr="00CC7883" w:rsidRDefault="00571DD8" w:rsidP="00047411">
            <w:pPr>
              <w:widowControl w:val="0"/>
              <w:spacing w:after="0" w:line="240" w:lineRule="auto"/>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Джерело варіації</w:t>
            </w:r>
          </w:p>
        </w:tc>
        <w:tc>
          <w:tcPr>
            <w:tcW w:w="1418" w:type="dxa"/>
          </w:tcPr>
          <w:p w:rsidR="00571DD8" w:rsidRPr="00CC7883" w:rsidRDefault="00571DD8" w:rsidP="00047411">
            <w:pPr>
              <w:widowControl w:val="0"/>
              <w:spacing w:after="0" w:line="240" w:lineRule="auto"/>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Сума квадратів</w:t>
            </w:r>
          </w:p>
        </w:tc>
        <w:tc>
          <w:tcPr>
            <w:tcW w:w="850" w:type="dxa"/>
            <w:textDirection w:val="btLr"/>
          </w:tcPr>
          <w:p w:rsidR="00571DD8" w:rsidRPr="00CC7883" w:rsidRDefault="00571DD8" w:rsidP="00047411">
            <w:pPr>
              <w:widowControl w:val="0"/>
              <w:spacing w:after="0" w:line="240" w:lineRule="auto"/>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Ступені свободи</w:t>
            </w:r>
          </w:p>
        </w:tc>
        <w:tc>
          <w:tcPr>
            <w:tcW w:w="1560" w:type="dxa"/>
          </w:tcPr>
          <w:p w:rsidR="00571DD8" w:rsidRPr="00CC7883" w:rsidRDefault="00571DD8" w:rsidP="00047411">
            <w:pPr>
              <w:widowControl w:val="0"/>
              <w:spacing w:after="0" w:line="240" w:lineRule="auto"/>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Дисперсія</w:t>
            </w:r>
          </w:p>
        </w:tc>
        <w:tc>
          <w:tcPr>
            <w:tcW w:w="1701" w:type="dxa"/>
          </w:tcPr>
          <w:p w:rsidR="00571DD8" w:rsidRPr="00CC7883" w:rsidRDefault="00571DD8" w:rsidP="00047411">
            <w:pPr>
              <w:widowControl w:val="0"/>
              <w:spacing w:after="0" w:line="240" w:lineRule="auto"/>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F</w:t>
            </w:r>
            <w:r w:rsidRPr="00CC7883">
              <w:rPr>
                <w:rFonts w:ascii="Times New Roman" w:eastAsia="Calibri" w:hAnsi="Times New Roman" w:cs="Times New Roman"/>
                <w:color w:val="000000" w:themeColor="text1"/>
                <w:sz w:val="28"/>
                <w:szCs w:val="28"/>
                <w:vertAlign w:val="subscript"/>
              </w:rPr>
              <w:t>факт.</w:t>
            </w:r>
          </w:p>
        </w:tc>
        <w:tc>
          <w:tcPr>
            <w:tcW w:w="1701" w:type="dxa"/>
          </w:tcPr>
          <w:p w:rsidR="00571DD8" w:rsidRPr="00CC7883" w:rsidRDefault="00571DD8" w:rsidP="00047411">
            <w:pPr>
              <w:widowControl w:val="0"/>
              <w:spacing w:after="0" w:line="240" w:lineRule="auto"/>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F</w:t>
            </w:r>
            <w:r w:rsidRPr="00CC7883">
              <w:rPr>
                <w:rFonts w:ascii="Times New Roman" w:eastAsia="Calibri" w:hAnsi="Times New Roman" w:cs="Times New Roman"/>
                <w:color w:val="000000" w:themeColor="text1"/>
                <w:sz w:val="28"/>
                <w:szCs w:val="28"/>
                <w:vertAlign w:val="subscript"/>
              </w:rPr>
              <w:t>теор.</w:t>
            </w:r>
          </w:p>
        </w:tc>
        <w:tc>
          <w:tcPr>
            <w:tcW w:w="1417" w:type="dxa"/>
          </w:tcPr>
          <w:p w:rsidR="00571DD8" w:rsidRPr="00CC7883" w:rsidRDefault="00571DD8" w:rsidP="00047411">
            <w:pPr>
              <w:widowControl w:val="0"/>
              <w:spacing w:after="0" w:line="240" w:lineRule="auto"/>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р-знач.</w:t>
            </w:r>
          </w:p>
          <w:p w:rsidR="00571DD8" w:rsidRPr="00CC7883" w:rsidRDefault="00571DD8" w:rsidP="00047411">
            <w:pPr>
              <w:widowControl w:val="0"/>
              <w:spacing w:after="0" w:line="240" w:lineRule="auto"/>
              <w:jc w:val="center"/>
              <w:rPr>
                <w:rFonts w:ascii="Times New Roman" w:eastAsia="Calibri" w:hAnsi="Times New Roman" w:cs="Times New Roman"/>
                <w:color w:val="000000" w:themeColor="text1"/>
                <w:sz w:val="28"/>
                <w:szCs w:val="28"/>
              </w:rPr>
            </w:pPr>
          </w:p>
        </w:tc>
        <w:tc>
          <w:tcPr>
            <w:tcW w:w="2098" w:type="dxa"/>
          </w:tcPr>
          <w:p w:rsidR="00571DD8" w:rsidRPr="00CC7883" w:rsidRDefault="00571DD8" w:rsidP="00047411">
            <w:pPr>
              <w:widowControl w:val="0"/>
              <w:spacing w:after="0" w:line="240" w:lineRule="auto"/>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Вплив факторів,</w:t>
            </w:r>
            <w:r w:rsidR="007514A7">
              <w:rPr>
                <w:rFonts w:ascii="Times New Roman" w:eastAsia="Calibri" w:hAnsi="Times New Roman" w:cs="Times New Roman"/>
                <w:color w:val="000000" w:themeColor="text1"/>
                <w:sz w:val="28"/>
                <w:szCs w:val="28"/>
              </w:rPr>
              <w:t xml:space="preserve"> </w:t>
            </w:r>
            <w:r w:rsidRPr="00CC7883">
              <w:rPr>
                <w:rFonts w:ascii="Times New Roman" w:eastAsia="Calibri" w:hAnsi="Times New Roman" w:cs="Times New Roman"/>
                <w:color w:val="000000" w:themeColor="text1"/>
                <w:sz w:val="28"/>
                <w:szCs w:val="28"/>
              </w:rPr>
              <w:t>%</w:t>
            </w:r>
          </w:p>
        </w:tc>
      </w:tr>
      <w:tr w:rsidR="00571DD8" w:rsidRPr="00CC7883" w:rsidTr="007514A7">
        <w:tc>
          <w:tcPr>
            <w:tcW w:w="14572" w:type="dxa"/>
            <w:gridSpan w:val="8"/>
          </w:tcPr>
          <w:p w:rsidR="00571DD8" w:rsidRPr="00CC7883" w:rsidRDefault="00571DD8" w:rsidP="00047411">
            <w:pPr>
              <w:widowControl w:val="0"/>
              <w:spacing w:after="0" w:line="240" w:lineRule="auto"/>
              <w:jc w:val="center"/>
              <w:rPr>
                <w:rFonts w:ascii="Times New Roman" w:eastAsia="Calibri" w:hAnsi="Times New Roman" w:cs="Times New Roman"/>
                <w:i/>
                <w:color w:val="000000" w:themeColor="text1"/>
                <w:sz w:val="28"/>
                <w:szCs w:val="28"/>
              </w:rPr>
            </w:pPr>
            <w:r w:rsidRPr="00CC7883">
              <w:rPr>
                <w:rFonts w:ascii="Times New Roman" w:eastAsia="Calibri" w:hAnsi="Times New Roman" w:cs="Times New Roman"/>
                <w:i/>
                <w:color w:val="000000" w:themeColor="text1"/>
                <w:sz w:val="28"/>
                <w:szCs w:val="28"/>
              </w:rPr>
              <w:t>Проліферація пазушних бруньок ініціальних експлантів, %</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1</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3625,141</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1208,380</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1839,863</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2,698</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15,35</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2</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619,297</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619,297</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942,933</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3,939</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2,62</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3</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17625,294</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3525,059</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5367,204</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2,308</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74,62</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1</w:t>
            </w:r>
            <w:r w:rsidRPr="00CC7883">
              <w:rPr>
                <w:rFonts w:ascii="Times New Roman"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Фактор 2</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48,520</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16,173</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24,625</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2,698</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0,21</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1</w:t>
            </w:r>
            <w:r w:rsidRPr="00CC7883">
              <w:rPr>
                <w:rFonts w:ascii="Times New Roman"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Фактор 3</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1134,120</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75,608</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115,120</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1,771</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4,80</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2</w:t>
            </w:r>
            <w:r w:rsidRPr="00CC7883">
              <w:rPr>
                <w:rFonts w:ascii="Times New Roman"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Фактор 3</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211,851</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42,370</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64,512</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2,308</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0,90</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1</w:t>
            </w:r>
            <w:r w:rsidRPr="00CC7883">
              <w:rPr>
                <w:rFonts w:ascii="Times New Roman"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Фактор 2</w:t>
            </w:r>
            <w:r w:rsidRPr="00CC7883">
              <w:rPr>
                <w:rFonts w:ascii="Times New Roman"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Фактор 3</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292,917</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20,923</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31,856</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1,795</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1,24</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Похибка</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63,707</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97</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0,657</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0,37</w:t>
            </w:r>
          </w:p>
        </w:tc>
      </w:tr>
      <w:tr w:rsidR="00571DD8" w:rsidRPr="00CC7883" w:rsidTr="007514A7">
        <w:tc>
          <w:tcPr>
            <w:tcW w:w="14572" w:type="dxa"/>
            <w:gridSpan w:val="8"/>
          </w:tcPr>
          <w:p w:rsidR="00571DD8" w:rsidRPr="00CC7883" w:rsidRDefault="00571DD8" w:rsidP="00047411">
            <w:pPr>
              <w:widowControl w:val="0"/>
              <w:spacing w:after="0" w:line="240" w:lineRule="auto"/>
              <w:jc w:val="center"/>
              <w:rPr>
                <w:rFonts w:ascii="Times New Roman" w:eastAsia="Calibri" w:hAnsi="Times New Roman" w:cs="Times New Roman"/>
                <w:i/>
                <w:color w:val="000000" w:themeColor="text1"/>
                <w:sz w:val="28"/>
                <w:szCs w:val="28"/>
              </w:rPr>
            </w:pPr>
            <w:r w:rsidRPr="00CC7883">
              <w:rPr>
                <w:rFonts w:ascii="Times New Roman" w:eastAsia="Calibri" w:hAnsi="Times New Roman" w:cs="Times New Roman"/>
                <w:i/>
                <w:color w:val="000000" w:themeColor="text1"/>
                <w:sz w:val="28"/>
                <w:szCs w:val="28"/>
              </w:rPr>
              <w:t>Ризогенез ініціальних експлантів, %</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1</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5467,067</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1822,356</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105,446</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2,698</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14,12</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2</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12598,939</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12598,939</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729,003</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3,939</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32,53</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3</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16436,645</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3287,329</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190,212</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2,308</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42,44</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1</w:t>
            </w:r>
            <w:r w:rsidRPr="00CC7883">
              <w:rPr>
                <w:rFonts w:ascii="Times New Roman"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Фактор 2</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131,256</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43,752</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2,532</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2,698</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0,06</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0,34</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1</w:t>
            </w:r>
            <w:r w:rsidRPr="00CC7883">
              <w:rPr>
                <w:rFonts w:ascii="Times New Roman"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Фактор 3</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1477,434</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98,496</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5,699</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1,771</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3,81</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2</w:t>
            </w:r>
            <w:r w:rsidRPr="00CC7883">
              <w:rPr>
                <w:rFonts w:ascii="Times New Roman"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Фактор 3</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564,109</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112,822</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6,528</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2,308</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0,00</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1,56</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Фактор 1</w:t>
            </w:r>
            <w:r w:rsidRPr="00CC7883">
              <w:rPr>
                <w:rFonts w:ascii="Times New Roman"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Фактор 2</w:t>
            </w:r>
            <w:r w:rsidRPr="00CC7883">
              <w:rPr>
                <w:rFonts w:ascii="Times New Roman" w:hAnsi="Times New Roman" w:cs="Times New Roman"/>
                <w:color w:val="000000" w:themeColor="text1"/>
                <w:sz w:val="28"/>
                <w:szCs w:val="28"/>
              </w:rPr>
              <w:t>×</w:t>
            </w:r>
            <w:r w:rsidRPr="00CC7883">
              <w:rPr>
                <w:rFonts w:ascii="Times New Roman" w:eastAsia="Calibri" w:hAnsi="Times New Roman" w:cs="Times New Roman"/>
                <w:color w:val="000000" w:themeColor="text1"/>
                <w:sz w:val="28"/>
                <w:szCs w:val="28"/>
              </w:rPr>
              <w:t>Фактор 3</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376,250</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26,875</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1,555</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1,795</w:t>
            </w: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0,11</w:t>
            </w: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1,07</w:t>
            </w:r>
          </w:p>
        </w:tc>
      </w:tr>
      <w:tr w:rsidR="00571DD8" w:rsidRPr="00CC7883" w:rsidTr="007514A7">
        <w:tc>
          <w:tcPr>
            <w:tcW w:w="3827" w:type="dxa"/>
          </w:tcPr>
          <w:p w:rsidR="00571DD8" w:rsidRPr="00CC7883" w:rsidRDefault="00571DD8" w:rsidP="00047411">
            <w:pPr>
              <w:widowControl w:val="0"/>
              <w:spacing w:after="0" w:line="240" w:lineRule="auto"/>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Похибка</w:t>
            </w:r>
          </w:p>
        </w:tc>
        <w:tc>
          <w:tcPr>
            <w:tcW w:w="141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1676,396</w:t>
            </w:r>
          </w:p>
        </w:tc>
        <w:tc>
          <w:tcPr>
            <w:tcW w:w="85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97</w:t>
            </w:r>
          </w:p>
        </w:tc>
        <w:tc>
          <w:tcPr>
            <w:tcW w:w="1560"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17,282</w:t>
            </w: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p>
        </w:tc>
        <w:tc>
          <w:tcPr>
            <w:tcW w:w="1701"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p>
        </w:tc>
        <w:tc>
          <w:tcPr>
            <w:tcW w:w="1417"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p>
        </w:tc>
        <w:tc>
          <w:tcPr>
            <w:tcW w:w="2098" w:type="dxa"/>
          </w:tcPr>
          <w:p w:rsidR="00571DD8" w:rsidRPr="00CC7883" w:rsidRDefault="00571DD8"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4,33</w:t>
            </w:r>
          </w:p>
        </w:tc>
      </w:tr>
    </w:tbl>
    <w:p w:rsidR="007C4F1A" w:rsidRPr="00CC7883" w:rsidRDefault="007C4F1A" w:rsidP="00047411">
      <w:pPr>
        <w:widowControl w:val="0"/>
        <w:spacing w:after="0" w:line="240" w:lineRule="auto"/>
        <w:rPr>
          <w:rFonts w:ascii="Times New Roman" w:eastAsia="Calibri" w:hAnsi="Times New Roman" w:cs="Times New Roman"/>
          <w:color w:val="000000" w:themeColor="text1"/>
          <w:sz w:val="28"/>
          <w:szCs w:val="28"/>
        </w:rPr>
        <w:sectPr w:rsidR="007C4F1A" w:rsidRPr="00CC7883" w:rsidSect="000B41B9">
          <w:headerReference w:type="default" r:id="rId187"/>
          <w:footerReference w:type="default" r:id="rId188"/>
          <w:pgSz w:w="16838" w:h="11906" w:orient="landscape" w:code="9"/>
          <w:pgMar w:top="1701" w:right="1134" w:bottom="851" w:left="1134" w:header="709" w:footer="709" w:gutter="0"/>
          <w:cols w:space="708"/>
          <w:docGrid w:linePitch="360"/>
        </w:sectPr>
      </w:pPr>
    </w:p>
    <w:p w:rsidR="00571DD8" w:rsidRPr="00CC7883" w:rsidRDefault="00571DD8" w:rsidP="009D1658">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Найбільший вплив на ці показники ма</w:t>
      </w:r>
      <w:r w:rsidR="002B7A02">
        <w:rPr>
          <w:rFonts w:ascii="Times New Roman" w:hAnsi="Times New Roman" w:cs="Times New Roman"/>
          <w:color w:val="000000" w:themeColor="text1"/>
          <w:sz w:val="28"/>
          <w:szCs w:val="28"/>
        </w:rPr>
        <w:t>в фактор</w:t>
      </w:r>
      <w:r w:rsidRPr="00CC7883">
        <w:rPr>
          <w:rFonts w:ascii="Times New Roman" w:hAnsi="Times New Roman" w:cs="Times New Roman"/>
          <w:color w:val="000000" w:themeColor="text1"/>
          <w:sz w:val="28"/>
          <w:szCs w:val="28"/>
        </w:rPr>
        <w:t xml:space="preserve">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додаткові компоненти</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частка як</w:t>
      </w:r>
      <w:r w:rsidR="00FF2B39">
        <w:rPr>
          <w:rFonts w:ascii="Times New Roman" w:hAnsi="Times New Roman" w:cs="Times New Roman"/>
          <w:color w:val="000000" w:themeColor="text1"/>
          <w:sz w:val="28"/>
          <w:szCs w:val="28"/>
        </w:rPr>
        <w:t>ого</w:t>
      </w:r>
      <w:r w:rsidRPr="00CC7883">
        <w:rPr>
          <w:rFonts w:ascii="Times New Roman" w:hAnsi="Times New Roman" w:cs="Times New Roman"/>
          <w:color w:val="000000" w:themeColor="text1"/>
          <w:sz w:val="28"/>
          <w:szCs w:val="28"/>
        </w:rPr>
        <w:t xml:space="preserve"> складала 74,62 %. Вплив сорту винограду складав 15,35 %, вмісту фітогормонів – 2,62 %. Частка взаємодії факторів не перевищувала 7,15 %, частка неврахованих факторів була на рівні 0,37 %.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Для показників ризогенезу ініціальних експлантів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за фактором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додаткові компоненти</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007E09FB" w:rsidRPr="00CC7883">
        <w:rPr>
          <w:rFonts w:ascii="Times New Roman" w:hAnsi="Times New Roman" w:cs="Times New Roman"/>
          <w:color w:val="000000" w:themeColor="text1"/>
          <w:sz w:val="28"/>
          <w:szCs w:val="28"/>
        </w:rPr>
        <w:t>дорівнюв</w:t>
      </w:r>
      <w:r w:rsidR="00FF2B39">
        <w:rPr>
          <w:rFonts w:ascii="Times New Roman" w:hAnsi="Times New Roman" w:cs="Times New Roman"/>
          <w:color w:val="000000" w:themeColor="text1"/>
          <w:sz w:val="28"/>
          <w:szCs w:val="28"/>
        </w:rPr>
        <w:t>ало</w:t>
      </w:r>
      <w:r w:rsidRPr="00CC7883">
        <w:rPr>
          <w:rFonts w:ascii="Times New Roman" w:hAnsi="Times New Roman" w:cs="Times New Roman"/>
          <w:color w:val="000000" w:themeColor="text1"/>
          <w:sz w:val="28"/>
          <w:szCs w:val="28"/>
        </w:rPr>
        <w:t xml:space="preserve"> 190,212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2,308, </w:t>
      </w:r>
      <w:r w:rsidR="00FF2B39">
        <w:rPr>
          <w:rFonts w:ascii="Times New Roman" w:hAnsi="Times New Roman" w:cs="Times New Roman"/>
          <w:color w:val="000000" w:themeColor="text1"/>
          <w:sz w:val="28"/>
          <w:szCs w:val="28"/>
        </w:rPr>
        <w:t xml:space="preserve">за фактором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729,003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3,939, за </w:t>
      </w:r>
      <w:r w:rsidR="00FF2B39">
        <w:rPr>
          <w:rFonts w:ascii="Times New Roman" w:hAnsi="Times New Roman" w:cs="Times New Roman"/>
          <w:color w:val="000000" w:themeColor="text1"/>
          <w:sz w:val="28"/>
          <w:szCs w:val="28"/>
        </w:rPr>
        <w:t>фактором</w:t>
      </w:r>
      <w:r w:rsidRPr="00CC7883">
        <w:rPr>
          <w:rFonts w:ascii="Times New Roman" w:hAnsi="Times New Roman" w:cs="Times New Roman"/>
          <w:color w:val="000000" w:themeColor="text1"/>
          <w:sz w:val="28"/>
          <w:szCs w:val="28"/>
        </w:rPr>
        <w:t xml:space="preserve"> </w:t>
      </w:r>
      <w:r w:rsidR="00FF2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сорт винограду</w:t>
      </w:r>
      <w:r w:rsidR="00FF2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105,446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2,698. Найбільший вплив на ризогенез ініціальних експлантів ма</w:t>
      </w:r>
      <w:r w:rsidR="002B7A02">
        <w:rPr>
          <w:rFonts w:ascii="Times New Roman" w:hAnsi="Times New Roman" w:cs="Times New Roman"/>
          <w:color w:val="000000" w:themeColor="text1"/>
          <w:sz w:val="28"/>
          <w:szCs w:val="28"/>
        </w:rPr>
        <w:t>в</w:t>
      </w:r>
      <w:r w:rsidR="006613B0">
        <w:rPr>
          <w:rFonts w:ascii="Times New Roman" w:hAnsi="Times New Roman" w:cs="Times New Roman"/>
          <w:color w:val="000000" w:themeColor="text1"/>
          <w:sz w:val="28"/>
          <w:szCs w:val="28"/>
        </w:rPr>
        <w:t xml:space="preserve"> фактор</w:t>
      </w:r>
      <w:r w:rsidRPr="00CC7883">
        <w:rPr>
          <w:rFonts w:ascii="Times New Roman" w:hAnsi="Times New Roman" w:cs="Times New Roman"/>
          <w:color w:val="000000" w:themeColor="text1"/>
          <w:sz w:val="28"/>
          <w:szCs w:val="28"/>
        </w:rPr>
        <w:t xml:space="preserve">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додаткові компоненти</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(42,44 %), більшим впливом також характеризувався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(32,53 %). Вплив сорту винограду був меншим і становив 14,12 %. Частка взаємодії факторів не перевищувала 6,78 %, частка неврахованих факторів дорівнювала 4,33 %.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Для показників приживлюваності </w:t>
      </w:r>
      <w:r w:rsidRPr="00CC7883">
        <w:rPr>
          <w:rFonts w:ascii="Times New Roman" w:hAnsi="Times New Roman" w:cs="Times New Roman"/>
          <w:i/>
          <w:iCs/>
          <w:color w:val="000000" w:themeColor="text1"/>
          <w:sz w:val="28"/>
          <w:szCs w:val="28"/>
        </w:rPr>
        <w:t>in</w:t>
      </w:r>
      <w:r w:rsidR="00F5525C" w:rsidRPr="00CC7883">
        <w:rPr>
          <w:rFonts w:ascii="Times New Roman" w:hAnsi="Times New Roman" w:cs="Times New Roman"/>
          <w:i/>
          <w:iCs/>
          <w:color w:val="000000" w:themeColor="text1"/>
          <w:sz w:val="28"/>
          <w:szCs w:val="28"/>
        </w:rPr>
        <w:t> </w:t>
      </w:r>
      <w:r w:rsidRPr="00CC7883">
        <w:rPr>
          <w:rFonts w:ascii="Times New Roman" w:hAnsi="Times New Roman" w:cs="Times New Roman"/>
          <w:i/>
          <w:iCs/>
          <w:color w:val="000000" w:themeColor="text1"/>
          <w:sz w:val="28"/>
          <w:szCs w:val="28"/>
        </w:rPr>
        <w:t>vitro</w:t>
      </w:r>
      <w:r w:rsidRPr="00CC7883">
        <w:rPr>
          <w:rFonts w:ascii="Times New Roman" w:hAnsi="Times New Roman" w:cs="Times New Roman"/>
          <w:color w:val="000000" w:themeColor="text1"/>
          <w:sz w:val="28"/>
          <w:szCs w:val="28"/>
        </w:rPr>
        <w:t xml:space="preserve"> через 30 діб (перший дослід)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для всіх основних факторів та їх взаємодії перевищували відповідні табличні значення (</w:t>
      </w:r>
      <w:r w:rsidR="00A84D08">
        <w:rPr>
          <w:rFonts w:ascii="Times New Roman" w:hAnsi="Times New Roman" w:cs="Times New Roman"/>
          <w:color w:val="000000" w:themeColor="text1"/>
          <w:sz w:val="28"/>
          <w:szCs w:val="28"/>
        </w:rPr>
        <w:t>д</w:t>
      </w:r>
      <w:r w:rsidRPr="00CC7883">
        <w:rPr>
          <w:rFonts w:ascii="Times New Roman" w:hAnsi="Times New Roman" w:cs="Times New Roman"/>
          <w:color w:val="000000" w:themeColor="text1"/>
          <w:sz w:val="28"/>
          <w:szCs w:val="28"/>
        </w:rPr>
        <w:t xml:space="preserve">одаток </w:t>
      </w:r>
      <w:r w:rsidR="00BF1869" w:rsidRPr="00CC7883">
        <w:rPr>
          <w:rFonts w:ascii="Times New Roman" w:hAnsi="Times New Roman" w:cs="Times New Roman"/>
          <w:color w:val="000000" w:themeColor="text1"/>
          <w:sz w:val="28"/>
          <w:szCs w:val="28"/>
        </w:rPr>
        <w:t>Г</w:t>
      </w:r>
      <w:r w:rsidR="00F0550B" w:rsidRPr="00CC7883">
        <w:rPr>
          <w:rFonts w:ascii="Times New Roman" w:hAnsi="Times New Roman" w:cs="Times New Roman"/>
          <w:color w:val="000000" w:themeColor="text1"/>
          <w:sz w:val="28"/>
          <w:szCs w:val="28"/>
        </w:rPr>
        <w:t>.</w:t>
      </w:r>
      <w:r w:rsidR="00737273">
        <w:rPr>
          <w:rFonts w:ascii="Times New Roman" w:hAnsi="Times New Roman" w:cs="Times New Roman"/>
          <w:color w:val="000000" w:themeColor="text1"/>
          <w:sz w:val="28"/>
          <w:szCs w:val="28"/>
        </w:rPr>
        <w:t xml:space="preserve"> </w:t>
      </w:r>
      <w:r w:rsidR="0007412A">
        <w:rPr>
          <w:rFonts w:ascii="Times New Roman" w:hAnsi="Times New Roman" w:cs="Times New Roman"/>
          <w:color w:val="000000" w:themeColor="text1"/>
          <w:sz w:val="28"/>
          <w:szCs w:val="28"/>
        </w:rPr>
        <w:t>1</w:t>
      </w:r>
      <w:r w:rsidRPr="00CC7883">
        <w:rPr>
          <w:rFonts w:ascii="Times New Roman" w:hAnsi="Times New Roman" w:cs="Times New Roman"/>
          <w:color w:val="000000" w:themeColor="text1"/>
          <w:sz w:val="28"/>
          <w:szCs w:val="28"/>
        </w:rPr>
        <w:t xml:space="preserve">). Основним був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для якого показник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дорівнював 10 153,76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3,94, частка впливу була на рівні 67,84 %. </w:t>
      </w:r>
      <w:r w:rsidR="00D06804">
        <w:rPr>
          <w:rFonts w:ascii="Times New Roman" w:hAnsi="Times New Roman" w:cs="Times New Roman"/>
          <w:color w:val="000000" w:themeColor="text1"/>
          <w:sz w:val="28"/>
          <w:szCs w:val="28"/>
        </w:rPr>
        <w:t>В</w:t>
      </w:r>
      <w:r w:rsidR="00D06804" w:rsidRPr="00CC7883">
        <w:rPr>
          <w:rFonts w:ascii="Times New Roman" w:hAnsi="Times New Roman" w:cs="Times New Roman"/>
          <w:color w:val="000000" w:themeColor="text1"/>
          <w:sz w:val="28"/>
          <w:szCs w:val="28"/>
        </w:rPr>
        <w:t>плив фактор</w:t>
      </w:r>
      <w:r w:rsidR="00D06804">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3 був меншим,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w:t>
      </w:r>
      <w:r w:rsidR="007E09FB" w:rsidRPr="00CC7883">
        <w:rPr>
          <w:rFonts w:ascii="Times New Roman" w:hAnsi="Times New Roman" w:cs="Times New Roman"/>
          <w:color w:val="000000" w:themeColor="text1"/>
          <w:sz w:val="28"/>
          <w:szCs w:val="28"/>
        </w:rPr>
        <w:t>дорівнюв</w:t>
      </w:r>
      <w:r w:rsidR="00FF2B39">
        <w:rPr>
          <w:rFonts w:ascii="Times New Roman" w:hAnsi="Times New Roman" w:cs="Times New Roman"/>
          <w:color w:val="000000" w:themeColor="text1"/>
          <w:sz w:val="28"/>
          <w:szCs w:val="28"/>
        </w:rPr>
        <w:t>ало</w:t>
      </w:r>
      <w:r w:rsidRPr="00CC7883">
        <w:rPr>
          <w:rFonts w:ascii="Times New Roman" w:hAnsi="Times New Roman" w:cs="Times New Roman"/>
          <w:color w:val="000000" w:themeColor="text1"/>
          <w:sz w:val="28"/>
          <w:szCs w:val="28"/>
        </w:rPr>
        <w:t xml:space="preserve"> 304,9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2,309, частка впливу була на рівні 10,19 %. Вплив сорту винограду залишався достовірним,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w:t>
      </w:r>
      <w:r w:rsidR="007E09FB" w:rsidRPr="00CC7883">
        <w:rPr>
          <w:rFonts w:ascii="Times New Roman" w:hAnsi="Times New Roman" w:cs="Times New Roman"/>
          <w:color w:val="000000" w:themeColor="text1"/>
          <w:sz w:val="28"/>
          <w:szCs w:val="28"/>
        </w:rPr>
        <w:t>дорівнюва</w:t>
      </w:r>
      <w:r w:rsidR="00FF2B39">
        <w:rPr>
          <w:rFonts w:ascii="Times New Roman" w:hAnsi="Times New Roman" w:cs="Times New Roman"/>
          <w:color w:val="000000" w:themeColor="text1"/>
          <w:sz w:val="28"/>
          <w:szCs w:val="28"/>
        </w:rPr>
        <w:t>ло</w:t>
      </w:r>
      <w:r w:rsidRPr="00CC7883">
        <w:rPr>
          <w:rFonts w:ascii="Times New Roman" w:hAnsi="Times New Roman" w:cs="Times New Roman"/>
          <w:color w:val="000000" w:themeColor="text1"/>
          <w:sz w:val="28"/>
          <w:szCs w:val="28"/>
        </w:rPr>
        <w:t xml:space="preserve"> 389,437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2,699, частка впливу була на рівні 7,81 %. Серед двофакторних взаємодій більший вплив мали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частка впливу дорівнювала 7,56 %, а також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(3,85 %). Частка впливу взаємодії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дорівнювала 0,89 %,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1,23 %. Частка похибки була на рівні 0,64 %.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досліді, де мікроклони культивували на поживних субстратах, критерій Фішера для основних факторів впливу перевищував відповідні табличні значення. На показники проліферації пазушних бруньок</w:t>
      </w:r>
      <w:r w:rsidR="0007412A">
        <w:rPr>
          <w:rFonts w:ascii="Times New Roman" w:hAnsi="Times New Roman" w:cs="Times New Roman"/>
          <w:color w:val="000000" w:themeColor="text1"/>
          <w:sz w:val="28"/>
          <w:szCs w:val="28"/>
        </w:rPr>
        <w:t xml:space="preserve"> </w:t>
      </w:r>
      <w:r w:rsidR="0007412A" w:rsidRPr="00CC7883">
        <w:rPr>
          <w:rFonts w:ascii="Times New Roman" w:hAnsi="Times New Roman" w:cs="Times New Roman"/>
          <w:color w:val="000000" w:themeColor="text1"/>
          <w:sz w:val="28"/>
          <w:szCs w:val="28"/>
        </w:rPr>
        <w:lastRenderedPageBreak/>
        <w:t>(</w:t>
      </w:r>
      <w:r w:rsidR="0007412A">
        <w:rPr>
          <w:rFonts w:ascii="Times New Roman" w:hAnsi="Times New Roman" w:cs="Times New Roman"/>
          <w:color w:val="000000" w:themeColor="text1"/>
          <w:sz w:val="28"/>
          <w:szCs w:val="28"/>
        </w:rPr>
        <w:t>д</w:t>
      </w:r>
      <w:r w:rsidR="0007412A" w:rsidRPr="00CC7883">
        <w:rPr>
          <w:rFonts w:ascii="Times New Roman" w:hAnsi="Times New Roman" w:cs="Times New Roman"/>
          <w:color w:val="000000" w:themeColor="text1"/>
          <w:sz w:val="28"/>
          <w:szCs w:val="28"/>
        </w:rPr>
        <w:t>одаток</w:t>
      </w:r>
      <w:r w:rsidR="0007412A">
        <w:rPr>
          <w:rFonts w:ascii="Times New Roman" w:hAnsi="Times New Roman" w:cs="Times New Roman"/>
          <w:color w:val="000000" w:themeColor="text1"/>
          <w:sz w:val="28"/>
          <w:szCs w:val="28"/>
        </w:rPr>
        <w:t> </w:t>
      </w:r>
      <w:r w:rsidR="0007412A" w:rsidRPr="00CC7883">
        <w:rPr>
          <w:rFonts w:ascii="Times New Roman" w:hAnsi="Times New Roman" w:cs="Times New Roman"/>
          <w:color w:val="000000" w:themeColor="text1"/>
          <w:sz w:val="28"/>
          <w:szCs w:val="28"/>
        </w:rPr>
        <w:t>Г.</w:t>
      </w:r>
      <w:r w:rsidR="00737273">
        <w:rPr>
          <w:rFonts w:ascii="Times New Roman" w:hAnsi="Times New Roman" w:cs="Times New Roman"/>
          <w:color w:val="000000" w:themeColor="text1"/>
          <w:sz w:val="28"/>
          <w:szCs w:val="28"/>
        </w:rPr>
        <w:t> </w:t>
      </w:r>
      <w:r w:rsidR="0007412A">
        <w:rPr>
          <w:rFonts w:ascii="Times New Roman" w:hAnsi="Times New Roman" w:cs="Times New Roman"/>
          <w:color w:val="000000" w:themeColor="text1"/>
          <w:sz w:val="28"/>
          <w:szCs w:val="28"/>
        </w:rPr>
        <w:t>2</w:t>
      </w:r>
      <w:r w:rsidR="0007412A"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основний вплив мав </w:t>
      </w:r>
      <w:r w:rsidR="00FF2B39">
        <w:rPr>
          <w:rFonts w:ascii="Times New Roman" w:hAnsi="Times New Roman" w:cs="Times New Roman"/>
          <w:color w:val="000000" w:themeColor="text1"/>
          <w:sz w:val="28"/>
          <w:szCs w:val="28"/>
        </w:rPr>
        <w:t>фактор «</w:t>
      </w:r>
      <w:r w:rsidRPr="00CC7883">
        <w:rPr>
          <w:rFonts w:ascii="Times New Roman" w:hAnsi="Times New Roman" w:cs="Times New Roman"/>
          <w:color w:val="000000" w:themeColor="text1"/>
          <w:sz w:val="28"/>
          <w:szCs w:val="28"/>
        </w:rPr>
        <w:t>тип поживних мінеральних субстратів</w:t>
      </w:r>
      <w:r w:rsidR="00FF2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w:t>
      </w:r>
      <w:r w:rsidR="007E09FB" w:rsidRPr="00CC7883">
        <w:rPr>
          <w:rFonts w:ascii="Times New Roman" w:hAnsi="Times New Roman" w:cs="Times New Roman"/>
          <w:color w:val="000000" w:themeColor="text1"/>
          <w:sz w:val="28"/>
          <w:szCs w:val="28"/>
        </w:rPr>
        <w:t>дорівнюв</w:t>
      </w:r>
      <w:r w:rsidR="00FF2B39">
        <w:rPr>
          <w:rFonts w:ascii="Times New Roman" w:hAnsi="Times New Roman" w:cs="Times New Roman"/>
          <w:color w:val="000000" w:themeColor="text1"/>
          <w:sz w:val="28"/>
          <w:szCs w:val="28"/>
        </w:rPr>
        <w:t>ало</w:t>
      </w:r>
      <w:r w:rsidRPr="00CC7883">
        <w:rPr>
          <w:rFonts w:ascii="Times New Roman" w:hAnsi="Times New Roman" w:cs="Times New Roman"/>
          <w:color w:val="000000" w:themeColor="text1"/>
          <w:sz w:val="28"/>
          <w:szCs w:val="28"/>
        </w:rPr>
        <w:t xml:space="preserve"> 8978,984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2,911. Частка впливу фактор</w:t>
      </w:r>
      <w:r w:rsidR="00D06804">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дорівнювала 79,77 %. Вплив </w:t>
      </w:r>
      <w:r w:rsidR="002D0683">
        <w:rPr>
          <w:rFonts w:ascii="Times New Roman" w:hAnsi="Times New Roman" w:cs="Times New Roman"/>
          <w:color w:val="000000" w:themeColor="text1"/>
          <w:sz w:val="28"/>
          <w:szCs w:val="28"/>
        </w:rPr>
        <w:t>фактору «</w:t>
      </w:r>
      <w:r w:rsidRPr="00CC7883">
        <w:rPr>
          <w:rFonts w:ascii="Times New Roman" w:hAnsi="Times New Roman" w:cs="Times New Roman"/>
          <w:color w:val="000000" w:themeColor="text1"/>
          <w:sz w:val="28"/>
          <w:szCs w:val="28"/>
        </w:rPr>
        <w:t>сорт винограду</w:t>
      </w:r>
      <w:r w:rsidR="002D06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був статистично достовірним, значення F</w:t>
      </w:r>
      <w:r w:rsidRPr="00CC7883">
        <w:rPr>
          <w:rFonts w:ascii="Times New Roman" w:hAnsi="Times New Roman" w:cs="Times New Roman"/>
          <w:color w:val="000000" w:themeColor="text1"/>
          <w:sz w:val="28"/>
          <w:szCs w:val="28"/>
          <w:vertAlign w:val="subscript"/>
        </w:rPr>
        <w:t xml:space="preserve">факт. </w:t>
      </w:r>
      <w:r w:rsidR="007E09FB" w:rsidRPr="00CC7883">
        <w:rPr>
          <w:rFonts w:ascii="Times New Roman" w:hAnsi="Times New Roman" w:cs="Times New Roman"/>
          <w:color w:val="000000" w:themeColor="text1"/>
          <w:sz w:val="28"/>
          <w:szCs w:val="28"/>
        </w:rPr>
        <w:t>дорівнюв</w:t>
      </w:r>
      <w:r w:rsidR="002D0683">
        <w:rPr>
          <w:rFonts w:ascii="Times New Roman" w:hAnsi="Times New Roman" w:cs="Times New Roman"/>
          <w:color w:val="000000" w:themeColor="text1"/>
          <w:sz w:val="28"/>
          <w:szCs w:val="28"/>
        </w:rPr>
        <w:t>ало</w:t>
      </w:r>
      <w:r w:rsidRPr="00CC7883">
        <w:rPr>
          <w:rFonts w:ascii="Times New Roman" w:hAnsi="Times New Roman" w:cs="Times New Roman"/>
          <w:color w:val="000000" w:themeColor="text1"/>
          <w:sz w:val="28"/>
          <w:szCs w:val="28"/>
        </w:rPr>
        <w:t xml:space="preserve"> 634,311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2,911, вплив цього фактор</w:t>
      </w:r>
      <w:r w:rsidR="00FF2B39">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був на рівні 5,64</w:t>
      </w:r>
      <w:r w:rsidR="000B41B9" w:rsidRPr="00CC7883">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Частка взаємодії факторів дорівнювала 14,51 %, похибка досліду була на рівні 0,09 %.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Для показника ризогенезу ініціальних експлантів найбільші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отримано за типом поживних мінеральних субстратів.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w:t>
      </w:r>
      <w:r w:rsidR="007E09FB" w:rsidRPr="00CC7883">
        <w:rPr>
          <w:rFonts w:ascii="Times New Roman" w:hAnsi="Times New Roman" w:cs="Times New Roman"/>
          <w:color w:val="000000" w:themeColor="text1"/>
          <w:sz w:val="28"/>
          <w:szCs w:val="28"/>
        </w:rPr>
        <w:t>дорівнюва</w:t>
      </w:r>
      <w:r w:rsidR="00FF2B39">
        <w:rPr>
          <w:rFonts w:ascii="Times New Roman" w:hAnsi="Times New Roman" w:cs="Times New Roman"/>
          <w:color w:val="000000" w:themeColor="text1"/>
          <w:sz w:val="28"/>
          <w:szCs w:val="28"/>
        </w:rPr>
        <w:t>ло</w:t>
      </w:r>
      <w:r w:rsidRPr="00CC7883">
        <w:rPr>
          <w:rFonts w:ascii="Times New Roman" w:hAnsi="Times New Roman" w:cs="Times New Roman"/>
          <w:color w:val="000000" w:themeColor="text1"/>
          <w:sz w:val="28"/>
          <w:szCs w:val="28"/>
        </w:rPr>
        <w:t xml:space="preserve"> 7968,026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2,911. Частка впливу фактор</w:t>
      </w:r>
      <w:r w:rsidR="00D06804">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була на рівні 86,60 %. Вплив сорту винограду був статистично достовірним (5,28 %). Частка взаємодії факторів дорівнювала 8,01 %. Частка неврахованих факторів, похибка досліду, була на рівні 0,11 %.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На показники приживлюваності рослин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через 30 діб культивування (другий дослід) усі основні фактори та їх взаємодія мали достовірний вплив, оскільки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перевищували табличні значення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Найбільш вагомим фактором був </w:t>
      </w:r>
      <w:r w:rsidR="00FF2B39">
        <w:rPr>
          <w:rFonts w:ascii="Times New Roman" w:hAnsi="Times New Roman" w:cs="Times New Roman"/>
          <w:color w:val="000000" w:themeColor="text1"/>
          <w:sz w:val="28"/>
          <w:szCs w:val="28"/>
        </w:rPr>
        <w:t>фактор «</w:t>
      </w:r>
      <w:r w:rsidRPr="00CC7883">
        <w:rPr>
          <w:rFonts w:ascii="Times New Roman" w:hAnsi="Times New Roman" w:cs="Times New Roman"/>
          <w:color w:val="000000" w:themeColor="text1"/>
          <w:sz w:val="28"/>
          <w:szCs w:val="28"/>
        </w:rPr>
        <w:t>тип поживних мінеральних субстратів</w:t>
      </w:r>
      <w:r w:rsidR="00FF2B3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 19 414,234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2,901), частка впливу як</w:t>
      </w:r>
      <w:r w:rsidR="00FF2B39">
        <w:rPr>
          <w:rFonts w:ascii="Times New Roman" w:hAnsi="Times New Roman" w:cs="Times New Roman"/>
          <w:color w:val="000000" w:themeColor="text1"/>
          <w:sz w:val="28"/>
          <w:szCs w:val="28"/>
        </w:rPr>
        <w:t>ого</w:t>
      </w:r>
      <w:r w:rsidRPr="00CC7883">
        <w:rPr>
          <w:rFonts w:ascii="Times New Roman" w:hAnsi="Times New Roman" w:cs="Times New Roman"/>
          <w:color w:val="000000" w:themeColor="text1"/>
          <w:sz w:val="28"/>
          <w:szCs w:val="28"/>
        </w:rPr>
        <w:t xml:space="preserve"> становила 72,33 %. Вплив сорту винограду був менш вираженим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 497,942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 2,901), із часткою впливу 16,76 %. Взаємодія сорту винограду з типом поживних мінеральних субстратів також була достовірною, забезпечивши 10,87 % загальної варіації показника. Частка випадкової похибки становила 0,04 % (</w:t>
      </w:r>
      <w:r w:rsidR="00A84D08">
        <w:rPr>
          <w:rFonts w:ascii="Times New Roman" w:hAnsi="Times New Roman" w:cs="Times New Roman"/>
          <w:color w:val="000000" w:themeColor="text1"/>
          <w:sz w:val="28"/>
          <w:szCs w:val="28"/>
        </w:rPr>
        <w:t>д</w:t>
      </w:r>
      <w:r w:rsidRPr="00CC7883">
        <w:rPr>
          <w:rFonts w:ascii="Times New Roman" w:hAnsi="Times New Roman" w:cs="Times New Roman"/>
          <w:color w:val="000000" w:themeColor="text1"/>
          <w:sz w:val="28"/>
          <w:szCs w:val="28"/>
        </w:rPr>
        <w:t xml:space="preserve">одаток </w:t>
      </w:r>
      <w:r w:rsidR="00BF1869" w:rsidRPr="00CC7883">
        <w:rPr>
          <w:rFonts w:ascii="Times New Roman" w:hAnsi="Times New Roman" w:cs="Times New Roman"/>
          <w:color w:val="000000" w:themeColor="text1"/>
          <w:sz w:val="28"/>
          <w:szCs w:val="28"/>
        </w:rPr>
        <w:t>Г</w:t>
      </w:r>
      <w:r w:rsidR="00F0550B" w:rsidRPr="00CC7883">
        <w:rPr>
          <w:rFonts w:ascii="Times New Roman" w:hAnsi="Times New Roman" w:cs="Times New Roman"/>
          <w:color w:val="000000" w:themeColor="text1"/>
          <w:sz w:val="28"/>
          <w:szCs w:val="28"/>
        </w:rPr>
        <w:t>.</w:t>
      </w:r>
      <w:r w:rsidR="000A2EA8">
        <w:rPr>
          <w:rFonts w:ascii="Times New Roman" w:hAnsi="Times New Roman" w:cs="Times New Roman"/>
          <w:color w:val="000000" w:themeColor="text1"/>
          <w:sz w:val="28"/>
          <w:szCs w:val="28"/>
        </w:rPr>
        <w:t xml:space="preserve"> </w:t>
      </w:r>
      <w:r w:rsidR="00F0550B" w:rsidRPr="00CC7883">
        <w:rPr>
          <w:rFonts w:ascii="Times New Roman" w:hAnsi="Times New Roman" w:cs="Times New Roman"/>
          <w:color w:val="000000" w:themeColor="text1"/>
          <w:sz w:val="28"/>
          <w:szCs w:val="28"/>
        </w:rPr>
        <w:t>3</w:t>
      </w:r>
      <w:r w:rsidRPr="00CC7883">
        <w:rPr>
          <w:rFonts w:ascii="Times New Roman" w:hAnsi="Times New Roman" w:cs="Times New Roman"/>
          <w:color w:val="000000" w:themeColor="text1"/>
          <w:sz w:val="28"/>
          <w:szCs w:val="28"/>
        </w:rPr>
        <w:t>).</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Результати дисперсійного аналізу показали, що для більшості досліджуваних біометричних показників росту і розвитку мікроклонів винограду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за основними факторами та їх взаємодією перевищували відповідні табличні значення за критерієм Фішера, що свідчить про статистично достовірний характер їх впливу (</w:t>
      </w:r>
      <w:r w:rsidR="00A84D08">
        <w:rPr>
          <w:rFonts w:ascii="Times New Roman" w:hAnsi="Times New Roman" w:cs="Times New Roman"/>
          <w:color w:val="000000" w:themeColor="text1"/>
          <w:sz w:val="28"/>
          <w:szCs w:val="28"/>
        </w:rPr>
        <w:t>д</w:t>
      </w:r>
      <w:r w:rsidRPr="00CC7883">
        <w:rPr>
          <w:rFonts w:ascii="Times New Roman" w:hAnsi="Times New Roman" w:cs="Times New Roman"/>
          <w:color w:val="000000" w:themeColor="text1"/>
          <w:sz w:val="28"/>
          <w:szCs w:val="28"/>
        </w:rPr>
        <w:t xml:space="preserve">одаток </w:t>
      </w:r>
      <w:r w:rsidR="00BF1869" w:rsidRPr="00CC7883">
        <w:rPr>
          <w:rFonts w:ascii="Times New Roman" w:hAnsi="Times New Roman" w:cs="Times New Roman"/>
          <w:color w:val="000000" w:themeColor="text1"/>
          <w:sz w:val="28"/>
          <w:szCs w:val="28"/>
        </w:rPr>
        <w:t>Г</w:t>
      </w:r>
      <w:r w:rsidR="00F0550B" w:rsidRPr="00CC7883">
        <w:rPr>
          <w:rFonts w:ascii="Times New Roman" w:hAnsi="Times New Roman" w:cs="Times New Roman"/>
          <w:color w:val="000000" w:themeColor="text1"/>
          <w:sz w:val="28"/>
          <w:szCs w:val="28"/>
        </w:rPr>
        <w:t>.</w:t>
      </w:r>
      <w:r w:rsidR="000A2EA8">
        <w:rPr>
          <w:rFonts w:ascii="Times New Roman" w:hAnsi="Times New Roman" w:cs="Times New Roman"/>
          <w:color w:val="000000" w:themeColor="text1"/>
          <w:sz w:val="28"/>
          <w:szCs w:val="28"/>
        </w:rPr>
        <w:t xml:space="preserve"> </w:t>
      </w:r>
      <w:r w:rsidR="00F0550B" w:rsidRPr="00CC7883">
        <w:rPr>
          <w:rFonts w:ascii="Times New Roman" w:hAnsi="Times New Roman" w:cs="Times New Roman"/>
          <w:color w:val="000000" w:themeColor="text1"/>
          <w:sz w:val="28"/>
          <w:szCs w:val="28"/>
        </w:rPr>
        <w:t>4</w:t>
      </w:r>
      <w:r w:rsidRPr="00CC7883">
        <w:rPr>
          <w:rFonts w:ascii="Times New Roman" w:hAnsi="Times New Roman" w:cs="Times New Roman"/>
          <w:color w:val="000000" w:themeColor="text1"/>
          <w:sz w:val="28"/>
          <w:szCs w:val="28"/>
        </w:rPr>
        <w:t xml:space="preserve">). У дослідах з культивуванням мікроклонів на поживних середовищах встановлено, що формування показників висоти рослин і кількості листків визначалося переважно сортом винограду, площа листка, площа листкової </w:t>
      </w:r>
      <w:r w:rsidRPr="00CC7883">
        <w:rPr>
          <w:rFonts w:ascii="Times New Roman" w:hAnsi="Times New Roman" w:cs="Times New Roman"/>
          <w:color w:val="000000" w:themeColor="text1"/>
          <w:sz w:val="28"/>
          <w:szCs w:val="28"/>
        </w:rPr>
        <w:lastRenderedPageBreak/>
        <w:t>поверхні, облистяність і показники розвитку кореневої системи значною мірою залежали від складу поживного середовища, зокрема його додаткових компонентів. Частка впливу цього фактор</w:t>
      </w:r>
      <w:r w:rsidR="00596001">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для більшості показників розвитку кореневої системи та листкової поверхні була визначальною, при цьому внесок сорту винограду і вмісту фітогормонів мав менше значення, але залишався статистично достовірним.</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досліді з культивуванням мікроклонів на поживних мінеральних субстратах</w:t>
      </w:r>
      <w:r w:rsidR="00F0550B" w:rsidRPr="00CC7883">
        <w:rPr>
          <w:rFonts w:ascii="Times New Roman" w:hAnsi="Times New Roman" w:cs="Times New Roman"/>
          <w:color w:val="000000" w:themeColor="text1"/>
          <w:sz w:val="28"/>
          <w:szCs w:val="28"/>
        </w:rPr>
        <w:t xml:space="preserve"> (</w:t>
      </w:r>
      <w:r w:rsidR="00A84D08">
        <w:rPr>
          <w:rFonts w:ascii="Times New Roman" w:hAnsi="Times New Roman" w:cs="Times New Roman"/>
          <w:color w:val="000000" w:themeColor="text1"/>
          <w:sz w:val="28"/>
          <w:szCs w:val="28"/>
        </w:rPr>
        <w:t>д</w:t>
      </w:r>
      <w:r w:rsidR="00F0550B" w:rsidRPr="00CC7883">
        <w:rPr>
          <w:rFonts w:ascii="Times New Roman" w:hAnsi="Times New Roman" w:cs="Times New Roman"/>
          <w:color w:val="000000" w:themeColor="text1"/>
          <w:sz w:val="28"/>
          <w:szCs w:val="28"/>
        </w:rPr>
        <w:t>одаток Г.</w:t>
      </w:r>
      <w:r w:rsidR="003E4136">
        <w:rPr>
          <w:rFonts w:ascii="Times New Roman" w:hAnsi="Times New Roman" w:cs="Times New Roman"/>
          <w:color w:val="000000" w:themeColor="text1"/>
          <w:sz w:val="28"/>
          <w:szCs w:val="28"/>
        </w:rPr>
        <w:t xml:space="preserve"> </w:t>
      </w:r>
      <w:r w:rsidR="00F0550B" w:rsidRPr="00CC7883">
        <w:rPr>
          <w:rFonts w:ascii="Times New Roman" w:hAnsi="Times New Roman" w:cs="Times New Roman"/>
          <w:color w:val="000000" w:themeColor="text1"/>
          <w:sz w:val="28"/>
          <w:szCs w:val="28"/>
        </w:rPr>
        <w:t>5)</w:t>
      </w:r>
      <w:r w:rsidRPr="00CC7883">
        <w:rPr>
          <w:rFonts w:ascii="Times New Roman" w:hAnsi="Times New Roman" w:cs="Times New Roman"/>
          <w:color w:val="000000" w:themeColor="text1"/>
          <w:sz w:val="28"/>
          <w:szCs w:val="28"/>
        </w:rPr>
        <w:t xml:space="preserve"> головну роль у формуванні вегетативної надземної маси також відігравав </w:t>
      </w:r>
      <w:r w:rsidR="0000298A">
        <w:rPr>
          <w:rFonts w:ascii="Times New Roman" w:hAnsi="Times New Roman" w:cs="Times New Roman"/>
          <w:color w:val="000000" w:themeColor="text1"/>
          <w:sz w:val="28"/>
          <w:szCs w:val="28"/>
        </w:rPr>
        <w:t>фактор «</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частка впливу якого для окремих показників досягала максимальних значень. Вплив сорту винограду та взаємодії факторів був менш вираженим, проте у </w:t>
      </w:r>
      <w:r w:rsidR="004E1D04">
        <w:rPr>
          <w:rFonts w:ascii="Times New Roman" w:hAnsi="Times New Roman" w:cs="Times New Roman"/>
          <w:color w:val="000000" w:themeColor="text1"/>
          <w:sz w:val="28"/>
          <w:szCs w:val="28"/>
        </w:rPr>
        <w:t>низці</w:t>
      </w:r>
      <w:r w:rsidRPr="00CC7883">
        <w:rPr>
          <w:rFonts w:ascii="Times New Roman" w:hAnsi="Times New Roman" w:cs="Times New Roman"/>
          <w:color w:val="000000" w:themeColor="text1"/>
          <w:sz w:val="28"/>
          <w:szCs w:val="28"/>
        </w:rPr>
        <w:t xml:space="preserve"> випадків істотно доповнював загальну варіацію ознак. Частка похибки досліду для більшості показників залишалася низькою, що підтверджує високу надійність отриманих експериментальних даних.</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i/>
          <w:color w:val="000000" w:themeColor="text1"/>
          <w:sz w:val="28"/>
          <w:szCs w:val="28"/>
        </w:rPr>
        <w:t>Статистичний аналіз отриманих результатів за розділом 5</w:t>
      </w:r>
      <w:r w:rsidRPr="00CC7883">
        <w:rPr>
          <w:rFonts w:ascii="Times New Roman" w:hAnsi="Times New Roman" w:cs="Times New Roman"/>
          <w:color w:val="000000" w:themeColor="text1"/>
          <w:sz w:val="28"/>
          <w:szCs w:val="28"/>
        </w:rPr>
        <w:t>. Результати дисперсійного аналізу показників водного режиму пагонів і кореневої системи мікроклонів винограду, які культивували на різних типах поживних середовищ, показали статистично достовірний вплив основних факторів, оскільки показники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перевищували табличні значення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за критерієм Фішера (</w:t>
      </w:r>
      <w:r w:rsidR="00A84D08">
        <w:rPr>
          <w:rFonts w:ascii="Times New Roman" w:hAnsi="Times New Roman" w:cs="Times New Roman"/>
          <w:color w:val="000000" w:themeColor="text1"/>
          <w:sz w:val="28"/>
          <w:szCs w:val="28"/>
        </w:rPr>
        <w:t>д</w:t>
      </w:r>
      <w:r w:rsidRPr="00CC7883">
        <w:rPr>
          <w:rFonts w:ascii="Times New Roman" w:hAnsi="Times New Roman" w:cs="Times New Roman"/>
          <w:color w:val="000000" w:themeColor="text1"/>
          <w:sz w:val="28"/>
          <w:szCs w:val="28"/>
        </w:rPr>
        <w:t xml:space="preserve">одаток </w:t>
      </w:r>
      <w:r w:rsidR="00BF1869" w:rsidRPr="00CC7883">
        <w:rPr>
          <w:rFonts w:ascii="Times New Roman" w:hAnsi="Times New Roman" w:cs="Times New Roman"/>
          <w:color w:val="000000" w:themeColor="text1"/>
          <w:sz w:val="28"/>
          <w:szCs w:val="28"/>
        </w:rPr>
        <w:t>Г</w:t>
      </w:r>
      <w:r w:rsidR="00F0550B" w:rsidRPr="00CC7883">
        <w:rPr>
          <w:rFonts w:ascii="Times New Roman" w:hAnsi="Times New Roman" w:cs="Times New Roman"/>
          <w:color w:val="000000" w:themeColor="text1"/>
          <w:sz w:val="28"/>
          <w:szCs w:val="28"/>
        </w:rPr>
        <w:t>.</w:t>
      </w:r>
      <w:r w:rsidR="003E4136">
        <w:rPr>
          <w:rFonts w:ascii="Times New Roman" w:hAnsi="Times New Roman" w:cs="Times New Roman"/>
          <w:color w:val="000000" w:themeColor="text1"/>
          <w:sz w:val="28"/>
          <w:szCs w:val="28"/>
        </w:rPr>
        <w:t xml:space="preserve"> </w:t>
      </w:r>
      <w:r w:rsidR="00F0550B" w:rsidRPr="00CC7883">
        <w:rPr>
          <w:rFonts w:ascii="Times New Roman" w:hAnsi="Times New Roman" w:cs="Times New Roman"/>
          <w:color w:val="000000" w:themeColor="text1"/>
          <w:sz w:val="28"/>
          <w:szCs w:val="28"/>
        </w:rPr>
        <w:t>6</w:t>
      </w:r>
      <w:r w:rsidRPr="00CC7883">
        <w:rPr>
          <w:rFonts w:ascii="Times New Roman" w:hAnsi="Times New Roman" w:cs="Times New Roman"/>
          <w:color w:val="000000" w:themeColor="text1"/>
          <w:sz w:val="28"/>
          <w:szCs w:val="28"/>
        </w:rPr>
        <w:t>). Основним фактором, який впливав на показники водного режиму</w:t>
      </w:r>
      <w:r w:rsidR="006A4D34">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бу</w:t>
      </w:r>
      <w:r w:rsidR="00D6330F">
        <w:rPr>
          <w:rFonts w:ascii="Times New Roman" w:hAnsi="Times New Roman" w:cs="Times New Roman"/>
          <w:color w:val="000000" w:themeColor="text1"/>
          <w:sz w:val="28"/>
          <w:szCs w:val="28"/>
        </w:rPr>
        <w:t>в</w:t>
      </w:r>
      <w:r w:rsidRPr="00CC7883">
        <w:rPr>
          <w:rFonts w:ascii="Times New Roman" w:hAnsi="Times New Roman" w:cs="Times New Roman"/>
          <w:color w:val="000000" w:themeColor="text1"/>
          <w:sz w:val="28"/>
          <w:szCs w:val="28"/>
        </w:rPr>
        <w:t xml:space="preserve"> </w:t>
      </w:r>
      <w:r w:rsidR="006613B0">
        <w:rPr>
          <w:rFonts w:ascii="Times New Roman" w:hAnsi="Times New Roman" w:cs="Times New Roman"/>
          <w:color w:val="000000" w:themeColor="text1"/>
          <w:sz w:val="28"/>
          <w:szCs w:val="28"/>
        </w:rPr>
        <w:t>фактор «</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частка </w:t>
      </w:r>
      <w:r w:rsidR="00E57FAC">
        <w:rPr>
          <w:rFonts w:ascii="Times New Roman" w:hAnsi="Times New Roman" w:cs="Times New Roman"/>
          <w:color w:val="000000" w:themeColor="text1"/>
          <w:sz w:val="28"/>
          <w:szCs w:val="28"/>
        </w:rPr>
        <w:t xml:space="preserve">впливу </w:t>
      </w:r>
      <w:r w:rsidRPr="00CC7883">
        <w:rPr>
          <w:rFonts w:ascii="Times New Roman" w:hAnsi="Times New Roman" w:cs="Times New Roman"/>
          <w:color w:val="000000" w:themeColor="text1"/>
          <w:sz w:val="28"/>
          <w:szCs w:val="28"/>
        </w:rPr>
        <w:t>як</w:t>
      </w:r>
      <w:r w:rsidR="00E57FAC">
        <w:rPr>
          <w:rFonts w:ascii="Times New Roman" w:hAnsi="Times New Roman" w:cs="Times New Roman"/>
          <w:color w:val="000000" w:themeColor="text1"/>
          <w:sz w:val="28"/>
          <w:szCs w:val="28"/>
        </w:rPr>
        <w:t>ого</w:t>
      </w:r>
      <w:r w:rsidRPr="00CC7883">
        <w:rPr>
          <w:rFonts w:ascii="Times New Roman" w:hAnsi="Times New Roman" w:cs="Times New Roman"/>
          <w:color w:val="000000" w:themeColor="text1"/>
          <w:sz w:val="28"/>
          <w:szCs w:val="28"/>
        </w:rPr>
        <w:t xml:space="preserve">, за </w:t>
      </w:r>
      <w:r w:rsidR="004E1D04">
        <w:rPr>
          <w:rFonts w:ascii="Times New Roman" w:hAnsi="Times New Roman" w:cs="Times New Roman"/>
          <w:color w:val="000000" w:themeColor="text1"/>
          <w:sz w:val="28"/>
          <w:szCs w:val="28"/>
        </w:rPr>
        <w:t>низкою</w:t>
      </w:r>
      <w:r w:rsidRPr="00CC7883">
        <w:rPr>
          <w:rFonts w:ascii="Times New Roman" w:hAnsi="Times New Roman" w:cs="Times New Roman"/>
          <w:color w:val="000000" w:themeColor="text1"/>
          <w:sz w:val="28"/>
          <w:szCs w:val="28"/>
        </w:rPr>
        <w:t xml:space="preserve"> показників, дорівнювала 50,01–88,66 %. Для показників загального вмісту води і сухих речовин пагонів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w:t>
      </w:r>
      <w:r w:rsidR="004474E7"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за фактором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дорівнював 1402,742 та 2764,850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2,308, а частка впливу – 88,08 % і 88,66 % відповідно. Вплив сорту винограду і вмісту фітогормонів був меншим. Для вмісту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hAnsi="Times New Roman" w:cs="Times New Roman"/>
          <w:color w:val="000000" w:themeColor="text1"/>
          <w:sz w:val="28"/>
          <w:szCs w:val="28"/>
        </w:rPr>
        <w:t xml:space="preserve"> води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за додатковими компонентами дорівнюва</w:t>
      </w:r>
      <w:r w:rsidR="00D06804">
        <w:rPr>
          <w:rFonts w:ascii="Times New Roman" w:hAnsi="Times New Roman" w:cs="Times New Roman"/>
          <w:color w:val="000000" w:themeColor="text1"/>
          <w:sz w:val="28"/>
          <w:szCs w:val="28"/>
        </w:rPr>
        <w:t>в</w:t>
      </w:r>
      <w:r w:rsidRPr="00CC7883">
        <w:rPr>
          <w:rFonts w:ascii="Times New Roman" w:hAnsi="Times New Roman" w:cs="Times New Roman"/>
          <w:color w:val="000000" w:themeColor="text1"/>
          <w:sz w:val="28"/>
          <w:szCs w:val="28"/>
        </w:rPr>
        <w:t xml:space="preserve"> 1103,441, а за сортом винограду – 1670,719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2,308–2,698), що забезпечувало майже однаковий вплив на варіацію показника (50,01 % і 45,43 %). Аналіз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ої здатності через 5–60 хв показав відсутність статистично достовірного впливу більшості </w:t>
      </w:r>
      <w:r w:rsidRPr="00CC7883">
        <w:rPr>
          <w:rFonts w:ascii="Times New Roman" w:hAnsi="Times New Roman" w:cs="Times New Roman"/>
          <w:color w:val="000000" w:themeColor="text1"/>
          <w:sz w:val="28"/>
          <w:szCs w:val="28"/>
        </w:rPr>
        <w:lastRenderedPageBreak/>
        <w:t>факторів через 5–10 хв, коли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не перевищували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Через 15–20 хв вплив основних факторів збільшувався, а максимальні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відмічено через 30 і 60 хв за фактором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(237,238 і 691,073), що відповідало частці впливу 37,05–46,14 %. Вплив сорту винограду та типу поживних мінеральних субстратів був статистично достовірним.</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Подібна тенденція спостерігалася для показників інтенсивності транспірації.</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Для водного режиму кореневої системи</w:t>
      </w:r>
      <w:r w:rsidR="00F0550B" w:rsidRPr="00CC7883">
        <w:rPr>
          <w:rFonts w:ascii="Times New Roman" w:hAnsi="Times New Roman" w:cs="Times New Roman"/>
          <w:color w:val="000000" w:themeColor="text1"/>
          <w:sz w:val="28"/>
          <w:szCs w:val="28"/>
        </w:rPr>
        <w:t xml:space="preserve"> (</w:t>
      </w:r>
      <w:r w:rsidR="00A84D08">
        <w:rPr>
          <w:rFonts w:ascii="Times New Roman" w:hAnsi="Times New Roman" w:cs="Times New Roman"/>
          <w:color w:val="000000" w:themeColor="text1"/>
          <w:sz w:val="28"/>
          <w:szCs w:val="28"/>
        </w:rPr>
        <w:t>д</w:t>
      </w:r>
      <w:r w:rsidR="00F0550B" w:rsidRPr="00CC7883">
        <w:rPr>
          <w:rFonts w:ascii="Times New Roman" w:hAnsi="Times New Roman" w:cs="Times New Roman"/>
          <w:color w:val="000000" w:themeColor="text1"/>
          <w:sz w:val="28"/>
          <w:szCs w:val="28"/>
        </w:rPr>
        <w:t>одаток Г.</w:t>
      </w:r>
      <w:r w:rsidR="003E4136">
        <w:rPr>
          <w:rFonts w:ascii="Times New Roman" w:hAnsi="Times New Roman" w:cs="Times New Roman"/>
          <w:color w:val="000000" w:themeColor="text1"/>
          <w:sz w:val="28"/>
          <w:szCs w:val="28"/>
        </w:rPr>
        <w:t xml:space="preserve"> </w:t>
      </w:r>
      <w:r w:rsidR="00F0550B" w:rsidRPr="00CC7883">
        <w:rPr>
          <w:rFonts w:ascii="Times New Roman" w:hAnsi="Times New Roman" w:cs="Times New Roman"/>
          <w:color w:val="000000" w:themeColor="text1"/>
          <w:sz w:val="28"/>
          <w:szCs w:val="28"/>
        </w:rPr>
        <w:t>7)</w:t>
      </w:r>
      <w:r w:rsidRPr="00CC7883">
        <w:rPr>
          <w:rFonts w:ascii="Times New Roman" w:hAnsi="Times New Roman" w:cs="Times New Roman"/>
          <w:color w:val="000000" w:themeColor="text1"/>
          <w:sz w:val="28"/>
          <w:szCs w:val="28"/>
        </w:rPr>
        <w:t xml:space="preserve">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за додатковими компонентами для показників загальної кількості води,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hAnsi="Times New Roman" w:cs="Times New Roman"/>
          <w:color w:val="000000" w:themeColor="text1"/>
          <w:sz w:val="28"/>
          <w:szCs w:val="28"/>
        </w:rPr>
        <w:t xml:space="preserve"> води та сухих речовин у коренях дорівнював 465,007; 4414,681; 953,464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2,308, частка впливу – 56,86 %, 87,12 % і 57,56</w:t>
      </w:r>
      <w:r w:rsidR="00187918">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 Вплив сорту винограду був менш вираженим (27,29–27,63 %),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мав менший вплив (0,98–9,72 %), взаємодія факторів не перевищувала 8,68 %. Частка неврахованих факторів для показників водного режиму кореневої системи залишалася низькою (0,38–2,37 %).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Результати дисперсійного аналізу показників пігментного складу листків і пагонів мікроклонів винограду першого досліду </w:t>
      </w:r>
      <w:r w:rsidR="007E09FB">
        <w:rPr>
          <w:rFonts w:ascii="Times New Roman" w:hAnsi="Times New Roman" w:cs="Times New Roman"/>
          <w:color w:val="000000" w:themeColor="text1"/>
          <w:sz w:val="28"/>
          <w:szCs w:val="28"/>
        </w:rPr>
        <w:t>засвідчили</w:t>
      </w:r>
      <w:r w:rsidRPr="00CC7883">
        <w:rPr>
          <w:rFonts w:ascii="Times New Roman" w:hAnsi="Times New Roman" w:cs="Times New Roman"/>
          <w:color w:val="000000" w:themeColor="text1"/>
          <w:sz w:val="28"/>
          <w:szCs w:val="28"/>
        </w:rPr>
        <w:t xml:space="preserve"> статистично достовірний вплив основних факторів, оскільки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у всіх випадках перевищували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w:t>
      </w:r>
      <w:r w:rsidR="00A84D08">
        <w:rPr>
          <w:rFonts w:ascii="Times New Roman" w:hAnsi="Times New Roman" w:cs="Times New Roman"/>
          <w:color w:val="000000" w:themeColor="text1"/>
          <w:sz w:val="28"/>
          <w:szCs w:val="28"/>
        </w:rPr>
        <w:t>д</w:t>
      </w:r>
      <w:r w:rsidRPr="00CC7883">
        <w:rPr>
          <w:rFonts w:ascii="Times New Roman" w:hAnsi="Times New Roman" w:cs="Times New Roman"/>
          <w:color w:val="000000" w:themeColor="text1"/>
          <w:sz w:val="28"/>
          <w:szCs w:val="28"/>
        </w:rPr>
        <w:t xml:space="preserve">одаток </w:t>
      </w:r>
      <w:r w:rsidR="00BF1869" w:rsidRPr="00CC7883">
        <w:rPr>
          <w:rFonts w:ascii="Times New Roman" w:hAnsi="Times New Roman" w:cs="Times New Roman"/>
          <w:color w:val="000000" w:themeColor="text1"/>
          <w:sz w:val="28"/>
          <w:szCs w:val="28"/>
        </w:rPr>
        <w:t>Г</w:t>
      </w:r>
      <w:r w:rsidR="00F0550B" w:rsidRPr="00CC7883">
        <w:rPr>
          <w:rFonts w:ascii="Times New Roman" w:hAnsi="Times New Roman" w:cs="Times New Roman"/>
          <w:color w:val="000000" w:themeColor="text1"/>
          <w:sz w:val="28"/>
          <w:szCs w:val="28"/>
        </w:rPr>
        <w:t>.</w:t>
      </w:r>
      <w:r w:rsidR="003E4136">
        <w:rPr>
          <w:rFonts w:ascii="Times New Roman" w:hAnsi="Times New Roman" w:cs="Times New Roman"/>
          <w:color w:val="000000" w:themeColor="text1"/>
          <w:sz w:val="28"/>
          <w:szCs w:val="28"/>
        </w:rPr>
        <w:t xml:space="preserve"> </w:t>
      </w:r>
      <w:r w:rsidR="00F0550B" w:rsidRPr="00CC7883">
        <w:rPr>
          <w:rFonts w:ascii="Times New Roman" w:hAnsi="Times New Roman" w:cs="Times New Roman"/>
          <w:color w:val="000000" w:themeColor="text1"/>
          <w:sz w:val="28"/>
          <w:szCs w:val="28"/>
        </w:rPr>
        <w:t>8</w:t>
      </w:r>
      <w:r w:rsidRPr="00CC7883">
        <w:rPr>
          <w:rFonts w:ascii="Times New Roman" w:hAnsi="Times New Roman" w:cs="Times New Roman"/>
          <w:color w:val="000000" w:themeColor="text1"/>
          <w:sz w:val="28"/>
          <w:szCs w:val="28"/>
        </w:rPr>
        <w:t xml:space="preserve">). Для листків основним фактором, який впливав на синтез пігментів (хлорофілу </w:t>
      </w:r>
      <w:r w:rsidRPr="00CC7883">
        <w:rPr>
          <w:rFonts w:ascii="Times New Roman" w:hAnsi="Times New Roman" w:cs="Times New Roman"/>
          <w:i/>
          <w:color w:val="000000" w:themeColor="text1"/>
          <w:sz w:val="28"/>
          <w:szCs w:val="28"/>
        </w:rPr>
        <w:t>a</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color w:val="000000" w:themeColor="text1"/>
          <w:sz w:val="28"/>
          <w:szCs w:val="28"/>
        </w:rPr>
        <w:t>b</w:t>
      </w:r>
      <w:r w:rsidRPr="00CC7883">
        <w:rPr>
          <w:rFonts w:ascii="Times New Roman" w:hAnsi="Times New Roman" w:cs="Times New Roman"/>
          <w:color w:val="000000" w:themeColor="text1"/>
          <w:sz w:val="28"/>
          <w:szCs w:val="28"/>
        </w:rPr>
        <w:t>, їх суми)</w:t>
      </w:r>
      <w:r w:rsidR="007E09FB">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бу</w:t>
      </w:r>
      <w:r w:rsidR="006613B0">
        <w:rPr>
          <w:rFonts w:ascii="Times New Roman" w:hAnsi="Times New Roman" w:cs="Times New Roman"/>
          <w:color w:val="000000" w:themeColor="text1"/>
          <w:sz w:val="28"/>
          <w:szCs w:val="28"/>
        </w:rPr>
        <w:t>в фактор</w:t>
      </w:r>
      <w:r w:rsidRPr="00CC7883">
        <w:rPr>
          <w:rFonts w:ascii="Times New Roman" w:hAnsi="Times New Roman" w:cs="Times New Roman"/>
          <w:color w:val="000000" w:themeColor="text1"/>
          <w:sz w:val="28"/>
          <w:szCs w:val="28"/>
        </w:rPr>
        <w:t xml:space="preserve">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частка впливу як</w:t>
      </w:r>
      <w:r w:rsidR="006613B0">
        <w:rPr>
          <w:rFonts w:ascii="Times New Roman" w:hAnsi="Times New Roman" w:cs="Times New Roman"/>
          <w:color w:val="000000" w:themeColor="text1"/>
          <w:sz w:val="28"/>
          <w:szCs w:val="28"/>
        </w:rPr>
        <w:t>ого</w:t>
      </w:r>
      <w:r w:rsidRPr="00CC7883">
        <w:rPr>
          <w:rFonts w:ascii="Times New Roman" w:hAnsi="Times New Roman" w:cs="Times New Roman"/>
          <w:color w:val="000000" w:themeColor="text1"/>
          <w:sz w:val="28"/>
          <w:szCs w:val="28"/>
        </w:rPr>
        <w:t xml:space="preserve"> становила 41,54–79,11</w:t>
      </w:r>
      <w:r w:rsidR="00187918">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22351,459–11688,589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2,308). Вплив сорту винограду також був статистично достовірним і дорівнював 25,95–39,51 %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35438,872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2,698), вплив фактор</w:t>
      </w:r>
      <w:r w:rsidR="00D06804">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був низьким (1,74–2,45 %). Для вмісту каротиноїдів у листках переважний вплив ма</w:t>
      </w:r>
      <w:r w:rsidR="006613B0">
        <w:rPr>
          <w:rFonts w:ascii="Times New Roman" w:hAnsi="Times New Roman" w:cs="Times New Roman"/>
          <w:color w:val="000000" w:themeColor="text1"/>
          <w:sz w:val="28"/>
          <w:szCs w:val="28"/>
        </w:rPr>
        <w:t>в фактор</w:t>
      </w:r>
      <w:r w:rsidRPr="00CC7883">
        <w:rPr>
          <w:rFonts w:ascii="Times New Roman" w:hAnsi="Times New Roman" w:cs="Times New Roman"/>
          <w:color w:val="000000" w:themeColor="text1"/>
          <w:sz w:val="28"/>
          <w:szCs w:val="28"/>
        </w:rPr>
        <w:t xml:space="preserve">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(71,00 %,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4292,103), вплив сорту винограду та вмісту фітогормонів був меншим</w:t>
      </w:r>
      <w:r w:rsidR="00F5067F" w:rsidRPr="00F62136">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(2,43–13,60 %). Частка взаємодії факторів, за винятком </w:t>
      </w:r>
      <w:r w:rsidR="00596001">
        <w:rPr>
          <w:rFonts w:ascii="Times New Roman" w:hAnsi="Times New Roman" w:cs="Times New Roman"/>
          <w:color w:val="000000" w:themeColor="text1"/>
          <w:sz w:val="28"/>
          <w:szCs w:val="28"/>
        </w:rPr>
        <w:t xml:space="preserve">взаємодії факторів </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сорт винограду</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не перевищувала 15,04 %, а похибка досліду </w:t>
      </w:r>
      <w:r w:rsidRPr="00CC7883">
        <w:rPr>
          <w:rFonts w:ascii="Times New Roman" w:hAnsi="Times New Roman" w:cs="Times New Roman"/>
          <w:color w:val="000000" w:themeColor="text1"/>
          <w:sz w:val="28"/>
          <w:szCs w:val="28"/>
        </w:rPr>
        <w:lastRenderedPageBreak/>
        <w:t>залишалася мінімальною (0,04–0,39 %).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пагонах вплив факторів, які вивчали, на пігментний комплекс був більш рівномірним, ніж у листках. Основну частку варіації хлорофілів </w:t>
      </w:r>
      <w:r w:rsidRPr="00CC7883">
        <w:rPr>
          <w:rFonts w:ascii="Times New Roman" w:hAnsi="Times New Roman" w:cs="Times New Roman"/>
          <w:i/>
          <w:color w:val="000000" w:themeColor="text1"/>
          <w:sz w:val="28"/>
          <w:szCs w:val="28"/>
        </w:rPr>
        <w:t>a</w:t>
      </w:r>
      <w:r w:rsidRPr="00CC7883">
        <w:rPr>
          <w:rFonts w:ascii="Times New Roman" w:hAnsi="Times New Roman" w:cs="Times New Roman"/>
          <w:color w:val="000000" w:themeColor="text1"/>
          <w:sz w:val="28"/>
          <w:szCs w:val="28"/>
        </w:rPr>
        <w:t xml:space="preserve"> і </w:t>
      </w:r>
      <w:r w:rsidRPr="00CC7883">
        <w:rPr>
          <w:rFonts w:ascii="Times New Roman" w:hAnsi="Times New Roman" w:cs="Times New Roman"/>
          <w:i/>
          <w:color w:val="000000" w:themeColor="text1"/>
          <w:sz w:val="28"/>
          <w:szCs w:val="28"/>
        </w:rPr>
        <w:t>b</w:t>
      </w:r>
      <w:r w:rsidRPr="00CC7883">
        <w:rPr>
          <w:rFonts w:ascii="Times New Roman" w:hAnsi="Times New Roman" w:cs="Times New Roman"/>
          <w:color w:val="000000" w:themeColor="text1"/>
          <w:sz w:val="28"/>
          <w:szCs w:val="28"/>
        </w:rPr>
        <w:t xml:space="preserve"> забезпечува</w:t>
      </w:r>
      <w:r w:rsidR="00596001">
        <w:rPr>
          <w:rFonts w:ascii="Times New Roman" w:hAnsi="Times New Roman" w:cs="Times New Roman"/>
          <w:color w:val="000000" w:themeColor="text1"/>
          <w:sz w:val="28"/>
          <w:szCs w:val="28"/>
        </w:rPr>
        <w:t>в фактор «</w:t>
      </w:r>
      <w:r w:rsidRPr="00CC7883">
        <w:rPr>
          <w:rFonts w:ascii="Times New Roman" w:hAnsi="Times New Roman" w:cs="Times New Roman"/>
          <w:color w:val="000000" w:themeColor="text1"/>
          <w:sz w:val="28"/>
          <w:szCs w:val="28"/>
        </w:rPr>
        <w:t>додаткові компоненти</w:t>
      </w:r>
      <w:r w:rsidR="00596001">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внесок факторів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вміст фітогормонів</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та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був різним залежно від пігменту. Для каротиноїдів головним фактором впливу залиша</w:t>
      </w:r>
      <w:r w:rsidR="00E57FAC">
        <w:rPr>
          <w:rFonts w:ascii="Times New Roman" w:hAnsi="Times New Roman" w:cs="Times New Roman"/>
          <w:color w:val="000000" w:themeColor="text1"/>
          <w:sz w:val="28"/>
          <w:szCs w:val="28"/>
        </w:rPr>
        <w:t>вся</w:t>
      </w:r>
      <w:r w:rsidRPr="00CC7883">
        <w:rPr>
          <w:rFonts w:ascii="Times New Roman" w:hAnsi="Times New Roman" w:cs="Times New Roman"/>
          <w:color w:val="000000" w:themeColor="text1"/>
          <w:sz w:val="28"/>
          <w:szCs w:val="28"/>
        </w:rPr>
        <w:t xml:space="preserve"> додаткові компоненти, вплив сорту винограду і вмісту фітогормонів був статистично достовірним, але менш вираженим. Частка неврахованих факторів залишалася мінімальною (2,06–13,16 %), що свідчить про високу надійність отриманих результатів.</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Дисперсійний аналіз показав статистично достовірний вплив основних факторів на водний режим мікроклонів, які культивували на мінеральних субстратах, оскільки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перевищували табличні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w:t>
      </w:r>
      <w:r w:rsidR="00A84D08">
        <w:rPr>
          <w:rFonts w:ascii="Times New Roman" w:hAnsi="Times New Roman" w:cs="Times New Roman"/>
          <w:color w:val="000000" w:themeColor="text1"/>
          <w:sz w:val="28"/>
          <w:szCs w:val="28"/>
        </w:rPr>
        <w:t>д</w:t>
      </w:r>
      <w:r w:rsidRPr="00CC7883">
        <w:rPr>
          <w:rFonts w:ascii="Times New Roman" w:hAnsi="Times New Roman" w:cs="Times New Roman"/>
          <w:color w:val="000000" w:themeColor="text1"/>
          <w:sz w:val="28"/>
          <w:szCs w:val="28"/>
        </w:rPr>
        <w:t>одаток</w:t>
      </w:r>
      <w:r w:rsidR="0007412A">
        <w:rPr>
          <w:rFonts w:ascii="Times New Roman" w:hAnsi="Times New Roman" w:cs="Times New Roman"/>
          <w:color w:val="000000" w:themeColor="text1"/>
          <w:sz w:val="28"/>
          <w:szCs w:val="28"/>
        </w:rPr>
        <w:t> </w:t>
      </w:r>
      <w:r w:rsidR="00BF1869" w:rsidRPr="00CC7883">
        <w:rPr>
          <w:rFonts w:ascii="Times New Roman" w:hAnsi="Times New Roman" w:cs="Times New Roman"/>
          <w:color w:val="000000" w:themeColor="text1"/>
          <w:sz w:val="28"/>
          <w:szCs w:val="28"/>
        </w:rPr>
        <w:t>Г</w:t>
      </w:r>
      <w:r w:rsidR="00F0550B" w:rsidRPr="00CC7883">
        <w:rPr>
          <w:rFonts w:ascii="Times New Roman" w:hAnsi="Times New Roman" w:cs="Times New Roman"/>
          <w:color w:val="000000" w:themeColor="text1"/>
          <w:sz w:val="28"/>
          <w:szCs w:val="28"/>
        </w:rPr>
        <w:t>.</w:t>
      </w:r>
      <w:r w:rsidR="003E4136">
        <w:rPr>
          <w:rFonts w:ascii="Times New Roman" w:hAnsi="Times New Roman" w:cs="Times New Roman"/>
          <w:color w:val="000000" w:themeColor="text1"/>
          <w:sz w:val="28"/>
          <w:szCs w:val="28"/>
        </w:rPr>
        <w:t> </w:t>
      </w:r>
      <w:r w:rsidR="00F0550B" w:rsidRPr="00CC7883">
        <w:rPr>
          <w:rFonts w:ascii="Times New Roman" w:hAnsi="Times New Roman" w:cs="Times New Roman"/>
          <w:color w:val="000000" w:themeColor="text1"/>
          <w:sz w:val="28"/>
          <w:szCs w:val="28"/>
        </w:rPr>
        <w:t>9</w:t>
      </w:r>
      <w:r w:rsidRPr="00CC7883">
        <w:rPr>
          <w:rFonts w:ascii="Times New Roman" w:hAnsi="Times New Roman" w:cs="Times New Roman"/>
          <w:color w:val="000000" w:themeColor="text1"/>
          <w:sz w:val="28"/>
          <w:szCs w:val="28"/>
        </w:rPr>
        <w:t xml:space="preserve">). Для </w:t>
      </w:r>
      <w:r w:rsidRPr="00CC7883">
        <w:rPr>
          <w:rStyle w:val="af2"/>
          <w:rFonts w:ascii="Times New Roman" w:hAnsi="Times New Roman" w:cs="Times New Roman"/>
          <w:b w:val="0"/>
          <w:color w:val="000000" w:themeColor="text1"/>
          <w:sz w:val="28"/>
          <w:szCs w:val="28"/>
        </w:rPr>
        <w:t>вмісту води у прирості пагонів</w:t>
      </w:r>
      <w:r w:rsidR="004474E7" w:rsidRPr="00CC7883">
        <w:rPr>
          <w:rStyle w:val="af2"/>
          <w:rFonts w:ascii="Times New Roman" w:hAnsi="Times New Roman" w:cs="Times New Roman"/>
          <w:b w:val="0"/>
          <w:color w:val="000000" w:themeColor="text1"/>
          <w:sz w:val="28"/>
          <w:szCs w:val="28"/>
        </w:rPr>
        <w:t xml:space="preserve"> </w:t>
      </w:r>
      <w:r w:rsidRPr="00CC7883">
        <w:rPr>
          <w:rFonts w:ascii="Times New Roman" w:hAnsi="Times New Roman" w:cs="Times New Roman"/>
          <w:color w:val="000000" w:themeColor="text1"/>
          <w:sz w:val="28"/>
          <w:szCs w:val="28"/>
        </w:rPr>
        <w:t xml:space="preserve">основним фактором впливу був </w:t>
      </w:r>
      <w:r w:rsidR="0000298A">
        <w:rPr>
          <w:rFonts w:ascii="Times New Roman" w:hAnsi="Times New Roman" w:cs="Times New Roman"/>
          <w:color w:val="000000" w:themeColor="text1"/>
          <w:sz w:val="28"/>
          <w:szCs w:val="28"/>
        </w:rPr>
        <w:t>фактор «</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(91,70 %,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671,620), вплив сорту винограду, взаємодії факторів, похибки були незначними (1,41–4,53 %). Для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Style w:val="af2"/>
          <w:rFonts w:ascii="Times New Roman" w:hAnsi="Times New Roman" w:cs="Times New Roman"/>
          <w:b w:val="0"/>
          <w:color w:val="000000" w:themeColor="text1"/>
          <w:sz w:val="28"/>
          <w:szCs w:val="28"/>
        </w:rPr>
        <w:t xml:space="preserve"> води</w:t>
      </w:r>
      <w:r w:rsidR="00B14793" w:rsidRPr="00CC7883">
        <w:rPr>
          <w:rStyle w:val="af2"/>
          <w:rFonts w:ascii="Times New Roman" w:hAnsi="Times New Roman" w:cs="Times New Roman"/>
          <w:b w:val="0"/>
          <w:color w:val="000000" w:themeColor="text1"/>
          <w:sz w:val="28"/>
          <w:szCs w:val="28"/>
        </w:rPr>
        <w:t xml:space="preserve"> </w:t>
      </w:r>
      <w:r w:rsidRPr="00CC7883">
        <w:rPr>
          <w:rFonts w:ascii="Times New Roman" w:hAnsi="Times New Roman" w:cs="Times New Roman"/>
          <w:color w:val="000000" w:themeColor="text1"/>
          <w:sz w:val="28"/>
          <w:szCs w:val="28"/>
        </w:rPr>
        <w:t xml:space="preserve">вплив сорту винограду (43,61 %) і типу поживних мінеральних субстратів (43,07 %) був статистично достовірним, взаємодія факторів – 12,81 %, похибка – 0,52 %. Аналіз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Style w:val="af2"/>
          <w:rFonts w:ascii="Times New Roman" w:hAnsi="Times New Roman" w:cs="Times New Roman"/>
          <w:b w:val="0"/>
          <w:color w:val="000000" w:themeColor="text1"/>
          <w:sz w:val="28"/>
          <w:szCs w:val="28"/>
        </w:rPr>
        <w:t>ої здатності</w:t>
      </w:r>
      <w:r w:rsidRPr="00CC7883">
        <w:rPr>
          <w:rFonts w:ascii="Times New Roman" w:hAnsi="Times New Roman" w:cs="Times New Roman"/>
          <w:color w:val="000000" w:themeColor="text1"/>
          <w:sz w:val="28"/>
          <w:szCs w:val="28"/>
        </w:rPr>
        <w:t xml:space="preserve"> показав, що через 5 хв визначень був приблизно рівний вплив сорту винограду (44,28 %) і субстратів (42,40 %), через 10 хв вплив основних факторів був недостовірним, оскільки 59,29 % варіації припадало на похибку. Через 15–20 хв визначень вплив субстратів збільшувався до 70,41 %, через 30 хв – до 74,54 %, через 60 хв – 59,25 % при одночасному збільшенні впливу сорту винограду (35,74 %). Для </w:t>
      </w:r>
      <w:r w:rsidRPr="00CC7883">
        <w:rPr>
          <w:rStyle w:val="af2"/>
          <w:rFonts w:ascii="Times New Roman" w:hAnsi="Times New Roman" w:cs="Times New Roman"/>
          <w:b w:val="0"/>
          <w:color w:val="000000" w:themeColor="text1"/>
          <w:sz w:val="28"/>
          <w:szCs w:val="28"/>
        </w:rPr>
        <w:t>сухих речовин у прирості</w:t>
      </w:r>
      <w:r w:rsidRPr="00CC7883">
        <w:rPr>
          <w:rFonts w:ascii="Times New Roman" w:hAnsi="Times New Roman" w:cs="Times New Roman"/>
          <w:color w:val="000000" w:themeColor="text1"/>
          <w:sz w:val="28"/>
          <w:szCs w:val="28"/>
        </w:rPr>
        <w:t xml:space="preserve"> основним фактором впливу залишався </w:t>
      </w:r>
      <w:r w:rsidR="0000298A">
        <w:rPr>
          <w:rFonts w:ascii="Times New Roman" w:hAnsi="Times New Roman" w:cs="Times New Roman"/>
          <w:color w:val="000000" w:themeColor="text1"/>
          <w:sz w:val="28"/>
          <w:szCs w:val="28"/>
        </w:rPr>
        <w:t>фактор «</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(91,86 %), вплив сорту винограду – 2,90 %, взаємодія факторів – 4,67 %, похибка – 0,56</w:t>
      </w:r>
      <w:r w:rsidR="00187918">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Подібна закономірність спостерігалася і для показників інтенсивності транспірації.</w:t>
      </w:r>
      <w:r w:rsidR="00B14793"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На ранніх часових проміжках визначень (через 5 хв) основним </w:t>
      </w:r>
      <w:r w:rsidRPr="00CC7883">
        <w:rPr>
          <w:rFonts w:ascii="Times New Roman" w:hAnsi="Times New Roman" w:cs="Times New Roman"/>
          <w:color w:val="000000" w:themeColor="text1"/>
          <w:sz w:val="28"/>
          <w:szCs w:val="28"/>
        </w:rPr>
        <w:lastRenderedPageBreak/>
        <w:t xml:space="preserve">фактором впливу був </w:t>
      </w:r>
      <w:r w:rsidR="0000298A">
        <w:rPr>
          <w:rFonts w:ascii="Times New Roman" w:hAnsi="Times New Roman" w:cs="Times New Roman"/>
          <w:color w:val="000000" w:themeColor="text1"/>
          <w:sz w:val="28"/>
          <w:szCs w:val="28"/>
        </w:rPr>
        <w:t>фактор «</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(77,02</w:t>
      </w:r>
      <w:r w:rsidR="00187918">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вплив сорту винограду був незначним (2,45 %), а взаємодія факторів – 14,29 %. Через 10 хв частка впливу вмісту фітогормонів зменшувалась до 50,47 %, вплив сорту винограду до 10,71 %, взаємодія факторів, навпаки</w:t>
      </w:r>
      <w:r w:rsidR="00F0382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збільшувалась до 36,79 %. Похибка залишалась низькою (2,02–6,25 %). </w:t>
      </w:r>
    </w:p>
    <w:p w:rsidR="005936B8" w:rsidRPr="00CC7883" w:rsidRDefault="005936B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Для показників </w:t>
      </w:r>
      <w:r w:rsidRPr="00CC7883">
        <w:rPr>
          <w:rStyle w:val="af2"/>
          <w:rFonts w:ascii="Times New Roman" w:hAnsi="Times New Roman" w:cs="Times New Roman"/>
          <w:b w:val="0"/>
          <w:color w:val="000000" w:themeColor="text1"/>
          <w:sz w:val="28"/>
          <w:szCs w:val="28"/>
        </w:rPr>
        <w:t>водного режиму коренів (</w:t>
      </w:r>
      <w:r w:rsidR="00A84D08">
        <w:rPr>
          <w:rStyle w:val="af2"/>
          <w:rFonts w:ascii="Times New Roman" w:hAnsi="Times New Roman" w:cs="Times New Roman"/>
          <w:b w:val="0"/>
          <w:color w:val="000000" w:themeColor="text1"/>
          <w:sz w:val="28"/>
          <w:szCs w:val="28"/>
        </w:rPr>
        <w:t>д</w:t>
      </w:r>
      <w:r w:rsidRPr="00CC7883">
        <w:rPr>
          <w:rStyle w:val="af2"/>
          <w:rFonts w:ascii="Times New Roman" w:hAnsi="Times New Roman" w:cs="Times New Roman"/>
          <w:b w:val="0"/>
          <w:color w:val="000000" w:themeColor="text1"/>
          <w:sz w:val="28"/>
          <w:szCs w:val="28"/>
        </w:rPr>
        <w:t>одаток Г.</w:t>
      </w:r>
      <w:r w:rsidR="003E4136">
        <w:rPr>
          <w:rStyle w:val="af2"/>
          <w:rFonts w:ascii="Times New Roman" w:hAnsi="Times New Roman" w:cs="Times New Roman"/>
          <w:b w:val="0"/>
          <w:color w:val="000000" w:themeColor="text1"/>
          <w:sz w:val="28"/>
          <w:szCs w:val="28"/>
        </w:rPr>
        <w:t xml:space="preserve"> </w:t>
      </w:r>
      <w:r w:rsidRPr="00CC7883">
        <w:rPr>
          <w:rStyle w:val="af2"/>
          <w:rFonts w:ascii="Times New Roman" w:hAnsi="Times New Roman" w:cs="Times New Roman"/>
          <w:b w:val="0"/>
          <w:color w:val="000000" w:themeColor="text1"/>
          <w:sz w:val="28"/>
          <w:szCs w:val="28"/>
        </w:rPr>
        <w:t>10)</w:t>
      </w:r>
      <w:r w:rsidRPr="00CC7883">
        <w:rPr>
          <w:rFonts w:ascii="Times New Roman" w:hAnsi="Times New Roman" w:cs="Times New Roman"/>
          <w:color w:val="000000" w:themeColor="text1"/>
          <w:sz w:val="28"/>
          <w:szCs w:val="28"/>
        </w:rPr>
        <w:t xml:space="preserve"> основний вплив мав </w:t>
      </w:r>
      <w:r w:rsidR="0000298A">
        <w:rPr>
          <w:rFonts w:ascii="Times New Roman" w:hAnsi="Times New Roman" w:cs="Times New Roman"/>
          <w:color w:val="000000" w:themeColor="text1"/>
          <w:sz w:val="28"/>
          <w:szCs w:val="28"/>
        </w:rPr>
        <w:t>фактор «</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Для загального вмісту води – 49,28 %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207,002), для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Style w:val="af2"/>
          <w:rFonts w:ascii="Times New Roman" w:hAnsi="Times New Roman" w:cs="Times New Roman"/>
          <w:b w:val="0"/>
          <w:color w:val="000000" w:themeColor="text1"/>
          <w:sz w:val="28"/>
          <w:szCs w:val="28"/>
        </w:rPr>
        <w:t xml:space="preserve"> води</w:t>
      </w:r>
      <w:r w:rsidR="00F03829">
        <w:rPr>
          <w:rStyle w:val="af2"/>
          <w:rFonts w:ascii="Times New Roman" w:hAnsi="Times New Roman" w:cs="Times New Roman"/>
          <w:b w:val="0"/>
          <w:color w:val="000000" w:themeColor="text1"/>
          <w:sz w:val="28"/>
          <w:szCs w:val="28"/>
        </w:rPr>
        <w:t xml:space="preserve"> </w:t>
      </w:r>
      <w:r w:rsidRPr="00CC7883">
        <w:rPr>
          <w:rFonts w:ascii="Times New Roman" w:hAnsi="Times New Roman" w:cs="Times New Roman"/>
          <w:color w:val="000000" w:themeColor="text1"/>
          <w:sz w:val="28"/>
          <w:szCs w:val="28"/>
        </w:rPr>
        <w:t>– 57,37 %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6924,093), для </w:t>
      </w:r>
      <w:r w:rsidRPr="00CC7883">
        <w:rPr>
          <w:rStyle w:val="af2"/>
          <w:rFonts w:ascii="Times New Roman" w:hAnsi="Times New Roman" w:cs="Times New Roman"/>
          <w:b w:val="0"/>
          <w:color w:val="000000" w:themeColor="text1"/>
          <w:sz w:val="28"/>
          <w:szCs w:val="28"/>
        </w:rPr>
        <w:t>сухих речовин у коренях</w:t>
      </w:r>
      <w:r w:rsidRPr="00CC7883">
        <w:rPr>
          <w:rFonts w:ascii="Times New Roman" w:hAnsi="Times New Roman" w:cs="Times New Roman"/>
          <w:color w:val="000000" w:themeColor="text1"/>
          <w:sz w:val="28"/>
          <w:szCs w:val="28"/>
        </w:rPr>
        <w:t xml:space="preserve"> – 50,01 %. Слід </w:t>
      </w:r>
      <w:r w:rsidR="00596001">
        <w:rPr>
          <w:rFonts w:ascii="Times New Roman" w:hAnsi="Times New Roman" w:cs="Times New Roman"/>
          <w:color w:val="000000" w:themeColor="text1"/>
          <w:sz w:val="28"/>
          <w:szCs w:val="28"/>
        </w:rPr>
        <w:t>зазначити</w:t>
      </w:r>
      <w:r w:rsidRPr="00CC7883">
        <w:rPr>
          <w:rFonts w:ascii="Times New Roman" w:hAnsi="Times New Roman" w:cs="Times New Roman"/>
          <w:color w:val="000000" w:themeColor="text1"/>
          <w:sz w:val="28"/>
          <w:szCs w:val="28"/>
        </w:rPr>
        <w:t xml:space="preserve">, що вплив взаємодії факторів </w:t>
      </w:r>
      <w:r w:rsidR="00596001">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тип поживних мінеральних субстратів</w:t>
      </w:r>
      <w:r w:rsidR="00596001">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та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знаходився у межах 28,67–41,05 %.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Для показників вмісту пігментів у листках і пагонах критерії Фішера основних факторів впливу перевищували табличні значення, що свідчить про статистично достовірний їх вплив (</w:t>
      </w:r>
      <w:r w:rsidR="00A84D08">
        <w:rPr>
          <w:rFonts w:ascii="Times New Roman" w:hAnsi="Times New Roman" w:cs="Times New Roman"/>
          <w:color w:val="000000" w:themeColor="text1"/>
          <w:sz w:val="28"/>
          <w:szCs w:val="28"/>
        </w:rPr>
        <w:t>д</w:t>
      </w:r>
      <w:r w:rsidRPr="00CC7883">
        <w:rPr>
          <w:rFonts w:ascii="Times New Roman" w:hAnsi="Times New Roman" w:cs="Times New Roman"/>
          <w:color w:val="000000" w:themeColor="text1"/>
          <w:sz w:val="28"/>
          <w:szCs w:val="28"/>
        </w:rPr>
        <w:t xml:space="preserve">одаток </w:t>
      </w:r>
      <w:r w:rsidR="00BF1869" w:rsidRPr="00CC7883">
        <w:rPr>
          <w:rFonts w:ascii="Times New Roman" w:hAnsi="Times New Roman" w:cs="Times New Roman"/>
          <w:color w:val="000000" w:themeColor="text1"/>
          <w:sz w:val="28"/>
          <w:szCs w:val="28"/>
        </w:rPr>
        <w:t>Г</w:t>
      </w:r>
      <w:r w:rsidR="005936B8" w:rsidRPr="00CC7883">
        <w:rPr>
          <w:rFonts w:ascii="Times New Roman" w:hAnsi="Times New Roman" w:cs="Times New Roman"/>
          <w:color w:val="000000" w:themeColor="text1"/>
          <w:sz w:val="28"/>
          <w:szCs w:val="28"/>
        </w:rPr>
        <w:t>.</w:t>
      </w:r>
      <w:r w:rsidR="003E4136">
        <w:rPr>
          <w:rFonts w:ascii="Times New Roman" w:hAnsi="Times New Roman" w:cs="Times New Roman"/>
          <w:color w:val="000000" w:themeColor="text1"/>
          <w:sz w:val="28"/>
          <w:szCs w:val="28"/>
        </w:rPr>
        <w:t xml:space="preserve"> </w:t>
      </w:r>
      <w:r w:rsidR="005936B8" w:rsidRPr="00CC7883">
        <w:rPr>
          <w:rFonts w:ascii="Times New Roman" w:hAnsi="Times New Roman" w:cs="Times New Roman"/>
          <w:color w:val="000000" w:themeColor="text1"/>
          <w:sz w:val="28"/>
          <w:szCs w:val="28"/>
        </w:rPr>
        <w:t>11</w:t>
      </w:r>
      <w:r w:rsidRPr="00CC7883">
        <w:rPr>
          <w:rFonts w:ascii="Times New Roman" w:hAnsi="Times New Roman" w:cs="Times New Roman"/>
          <w:color w:val="000000" w:themeColor="text1"/>
          <w:sz w:val="28"/>
          <w:szCs w:val="28"/>
        </w:rPr>
        <w:t xml:space="preserve">). Для листків основним фактором впливу на синтез хлорофілу </w:t>
      </w:r>
      <w:r w:rsidRPr="00CC7883">
        <w:rPr>
          <w:rFonts w:ascii="Times New Roman" w:hAnsi="Times New Roman" w:cs="Times New Roman"/>
          <w:i/>
          <w:color w:val="000000" w:themeColor="text1"/>
          <w:sz w:val="28"/>
          <w:szCs w:val="28"/>
        </w:rPr>
        <w:t>a</w:t>
      </w:r>
      <w:r w:rsidRPr="00CC7883">
        <w:rPr>
          <w:rFonts w:ascii="Times New Roman" w:hAnsi="Times New Roman" w:cs="Times New Roman"/>
          <w:color w:val="000000" w:themeColor="text1"/>
          <w:sz w:val="28"/>
          <w:szCs w:val="28"/>
        </w:rPr>
        <w:t xml:space="preserve"> був </w:t>
      </w:r>
      <w:r w:rsidR="00596001">
        <w:rPr>
          <w:rFonts w:ascii="Times New Roman" w:hAnsi="Times New Roman" w:cs="Times New Roman"/>
          <w:color w:val="000000" w:themeColor="text1"/>
          <w:sz w:val="28"/>
          <w:szCs w:val="28"/>
        </w:rPr>
        <w:t>фактор «</w:t>
      </w:r>
      <w:r w:rsidRPr="00CC7883">
        <w:rPr>
          <w:rFonts w:ascii="Times New Roman" w:hAnsi="Times New Roman" w:cs="Times New Roman"/>
          <w:color w:val="000000" w:themeColor="text1"/>
          <w:sz w:val="28"/>
          <w:szCs w:val="28"/>
        </w:rPr>
        <w:t>тип поживних мінеральних субстратів</w:t>
      </w:r>
      <w:r w:rsidR="00596001">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(56,62 %), на синтез хлорофілу </w:t>
      </w:r>
      <w:r w:rsidRPr="00CC7883">
        <w:rPr>
          <w:rFonts w:ascii="Times New Roman" w:hAnsi="Times New Roman" w:cs="Times New Roman"/>
          <w:i/>
          <w:color w:val="000000" w:themeColor="text1"/>
          <w:sz w:val="28"/>
          <w:szCs w:val="28"/>
        </w:rPr>
        <w:t>b</w:t>
      </w:r>
      <w:r w:rsidRPr="00CC7883">
        <w:rPr>
          <w:rFonts w:ascii="Times New Roman" w:hAnsi="Times New Roman" w:cs="Times New Roman"/>
          <w:color w:val="000000" w:themeColor="text1"/>
          <w:sz w:val="28"/>
          <w:szCs w:val="28"/>
        </w:rPr>
        <w:t xml:space="preserve"> – </w:t>
      </w:r>
      <w:r w:rsidR="00596001">
        <w:rPr>
          <w:rFonts w:ascii="Times New Roman" w:hAnsi="Times New Roman" w:cs="Times New Roman"/>
          <w:color w:val="000000" w:themeColor="text1"/>
          <w:sz w:val="28"/>
          <w:szCs w:val="28"/>
        </w:rPr>
        <w:t xml:space="preserve">фактор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(53,22 %), на їх суму – </w:t>
      </w:r>
      <w:r w:rsidR="00596001">
        <w:rPr>
          <w:rFonts w:ascii="Times New Roman" w:hAnsi="Times New Roman" w:cs="Times New Roman"/>
          <w:color w:val="000000" w:themeColor="text1"/>
          <w:sz w:val="28"/>
          <w:szCs w:val="28"/>
        </w:rPr>
        <w:t>фактор «</w:t>
      </w:r>
      <w:r w:rsidRPr="00CC7883">
        <w:rPr>
          <w:rFonts w:ascii="Times New Roman" w:hAnsi="Times New Roman" w:cs="Times New Roman"/>
          <w:color w:val="000000" w:themeColor="text1"/>
          <w:sz w:val="28"/>
          <w:szCs w:val="28"/>
        </w:rPr>
        <w:t>тип поживних мінеральних субстратів</w:t>
      </w:r>
      <w:r w:rsidR="00596001">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(50,19 %), на синтез каротиноїдів – </w:t>
      </w:r>
      <w:r w:rsidR="00596001">
        <w:rPr>
          <w:rFonts w:ascii="Times New Roman" w:hAnsi="Times New Roman" w:cs="Times New Roman"/>
          <w:color w:val="000000" w:themeColor="text1"/>
          <w:sz w:val="28"/>
          <w:szCs w:val="28"/>
        </w:rPr>
        <w:t>фактор «</w:t>
      </w:r>
      <w:r w:rsidRPr="00CC7883">
        <w:rPr>
          <w:rFonts w:ascii="Times New Roman" w:hAnsi="Times New Roman" w:cs="Times New Roman"/>
          <w:color w:val="000000" w:themeColor="text1"/>
          <w:sz w:val="28"/>
          <w:szCs w:val="28"/>
        </w:rPr>
        <w:t>тип поживних мінеральних субстратів</w:t>
      </w:r>
      <w:r w:rsidR="00596001">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(71,26 %). Частка взаємодії факторів і похибка досліду залишалися низькими (0,02–17,94 %). Для пагонів </w:t>
      </w:r>
      <w:r w:rsidR="002B03BA">
        <w:rPr>
          <w:rFonts w:ascii="Times New Roman" w:hAnsi="Times New Roman" w:cs="Times New Roman"/>
          <w:color w:val="000000" w:themeColor="text1"/>
          <w:sz w:val="28"/>
          <w:szCs w:val="28"/>
        </w:rPr>
        <w:t xml:space="preserve">фактор </w:t>
      </w:r>
      <w:r w:rsidR="00596001">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тип поживних мінеральних субстратів</w:t>
      </w:r>
      <w:r w:rsidR="00596001">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мав найбільший вплив на синтез каротиноїдів (80,68 %), хлорофіл</w:t>
      </w:r>
      <w:r w:rsidR="002B03BA">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i/>
          <w:color w:val="000000" w:themeColor="text1"/>
          <w:sz w:val="28"/>
          <w:szCs w:val="28"/>
        </w:rPr>
        <w:t>a</w:t>
      </w:r>
      <w:r w:rsidRPr="00CC7883">
        <w:rPr>
          <w:rFonts w:ascii="Times New Roman" w:hAnsi="Times New Roman" w:cs="Times New Roman"/>
          <w:color w:val="000000" w:themeColor="text1"/>
          <w:sz w:val="28"/>
          <w:szCs w:val="28"/>
        </w:rPr>
        <w:t xml:space="preserve"> (59,44 %), сум</w:t>
      </w:r>
      <w:r w:rsidR="002B03BA">
        <w:rPr>
          <w:rFonts w:ascii="Times New Roman" w:hAnsi="Times New Roman" w:cs="Times New Roman"/>
          <w:color w:val="000000" w:themeColor="text1"/>
          <w:sz w:val="28"/>
          <w:szCs w:val="28"/>
        </w:rPr>
        <w:t>и</w:t>
      </w:r>
      <w:r w:rsidRPr="00CC7883">
        <w:rPr>
          <w:rFonts w:ascii="Times New Roman" w:hAnsi="Times New Roman" w:cs="Times New Roman"/>
          <w:color w:val="000000" w:themeColor="text1"/>
          <w:sz w:val="28"/>
          <w:szCs w:val="28"/>
        </w:rPr>
        <w:t xml:space="preserve"> хлорофілів </w:t>
      </w:r>
      <w:r w:rsidRPr="00CC7883">
        <w:rPr>
          <w:rFonts w:ascii="Times New Roman" w:hAnsi="Times New Roman" w:cs="Times New Roman"/>
          <w:i/>
          <w:color w:val="000000" w:themeColor="text1"/>
          <w:sz w:val="28"/>
          <w:szCs w:val="28"/>
        </w:rPr>
        <w:t>a</w:t>
      </w:r>
      <w:r w:rsidRPr="00CC7883">
        <w:rPr>
          <w:rFonts w:ascii="Times New Roman" w:hAnsi="Times New Roman" w:cs="Times New Roman"/>
          <w:color w:val="000000" w:themeColor="text1"/>
          <w:sz w:val="28"/>
          <w:szCs w:val="28"/>
        </w:rPr>
        <w:t xml:space="preserve"> і </w:t>
      </w:r>
      <w:r w:rsidRPr="00CC7883">
        <w:rPr>
          <w:rFonts w:ascii="Times New Roman" w:hAnsi="Times New Roman" w:cs="Times New Roman"/>
          <w:i/>
          <w:color w:val="000000" w:themeColor="text1"/>
          <w:sz w:val="28"/>
          <w:szCs w:val="28"/>
        </w:rPr>
        <w:t>b</w:t>
      </w:r>
      <w:r w:rsidRPr="00CC7883">
        <w:rPr>
          <w:rFonts w:ascii="Times New Roman" w:hAnsi="Times New Roman" w:cs="Times New Roman"/>
          <w:color w:val="000000" w:themeColor="text1"/>
          <w:sz w:val="28"/>
          <w:szCs w:val="28"/>
        </w:rPr>
        <w:t xml:space="preserve"> (57,16</w:t>
      </w:r>
      <w:r w:rsidR="009A27A1">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 Синтез хлорофілу </w:t>
      </w:r>
      <w:r w:rsidRPr="00CC7883">
        <w:rPr>
          <w:rFonts w:ascii="Times New Roman" w:hAnsi="Times New Roman" w:cs="Times New Roman"/>
          <w:i/>
          <w:color w:val="000000" w:themeColor="text1"/>
          <w:sz w:val="28"/>
          <w:szCs w:val="28"/>
        </w:rPr>
        <w:t>b</w:t>
      </w:r>
      <w:r w:rsidRPr="00CC7883">
        <w:rPr>
          <w:rFonts w:ascii="Times New Roman" w:hAnsi="Times New Roman" w:cs="Times New Roman"/>
          <w:color w:val="000000" w:themeColor="text1"/>
          <w:sz w:val="28"/>
          <w:szCs w:val="28"/>
        </w:rPr>
        <w:t xml:space="preserve"> відбувався під впливом субстратів і сорту винограду (23,95–57,16 %). Частка неврахованих факторів не перевищувала 2,13 %.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Статистичний аналіз отриманих результатів за розділом</w:t>
      </w:r>
      <w:r w:rsidR="00B14793"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i/>
          <w:iCs/>
          <w:color w:val="000000" w:themeColor="text1"/>
          <w:sz w:val="28"/>
          <w:szCs w:val="28"/>
        </w:rPr>
        <w:t xml:space="preserve">6. </w:t>
      </w:r>
      <w:r w:rsidRPr="00CC7883">
        <w:rPr>
          <w:rFonts w:ascii="Times New Roman" w:hAnsi="Times New Roman" w:cs="Times New Roman"/>
          <w:color w:val="000000" w:themeColor="text1"/>
          <w:sz w:val="28"/>
          <w:szCs w:val="28"/>
        </w:rPr>
        <w:t xml:space="preserve">Результати дисперсійного аналізу анатомічних показників продихового апарату нижнього епідермісу листків мікроклонів винограду (поживні середовища) показали, що критерії Фішера для основних факторів впливу </w:t>
      </w:r>
      <w:r w:rsidRPr="00CC7883">
        <w:rPr>
          <w:rFonts w:ascii="Times New Roman" w:hAnsi="Times New Roman" w:cs="Times New Roman"/>
          <w:color w:val="000000" w:themeColor="text1"/>
          <w:sz w:val="28"/>
          <w:szCs w:val="28"/>
        </w:rPr>
        <w:lastRenderedPageBreak/>
        <w:t>загалом перевищували табличні значення (</w:t>
      </w:r>
      <w:r w:rsidR="00A84D08">
        <w:rPr>
          <w:rFonts w:ascii="Times New Roman" w:hAnsi="Times New Roman" w:cs="Times New Roman"/>
          <w:color w:val="000000" w:themeColor="text1"/>
          <w:sz w:val="28"/>
          <w:szCs w:val="28"/>
        </w:rPr>
        <w:t>д</w:t>
      </w:r>
      <w:r w:rsidRPr="00CC7883">
        <w:rPr>
          <w:rFonts w:ascii="Times New Roman" w:hAnsi="Times New Roman" w:cs="Times New Roman"/>
          <w:color w:val="000000" w:themeColor="text1"/>
          <w:sz w:val="28"/>
          <w:szCs w:val="28"/>
        </w:rPr>
        <w:t xml:space="preserve">одаток </w:t>
      </w:r>
      <w:r w:rsidR="00BF1869" w:rsidRPr="00CC7883">
        <w:rPr>
          <w:rFonts w:ascii="Times New Roman" w:hAnsi="Times New Roman" w:cs="Times New Roman"/>
          <w:color w:val="000000" w:themeColor="text1"/>
          <w:sz w:val="28"/>
          <w:szCs w:val="28"/>
        </w:rPr>
        <w:t>Г</w:t>
      </w:r>
      <w:r w:rsidR="005936B8" w:rsidRPr="00CC7883">
        <w:rPr>
          <w:rFonts w:ascii="Times New Roman" w:hAnsi="Times New Roman" w:cs="Times New Roman"/>
          <w:color w:val="000000" w:themeColor="text1"/>
          <w:sz w:val="28"/>
          <w:szCs w:val="28"/>
        </w:rPr>
        <w:t>.</w:t>
      </w:r>
      <w:r w:rsidR="003E4136">
        <w:rPr>
          <w:rFonts w:ascii="Times New Roman" w:hAnsi="Times New Roman" w:cs="Times New Roman"/>
          <w:color w:val="000000" w:themeColor="text1"/>
          <w:sz w:val="28"/>
          <w:szCs w:val="28"/>
        </w:rPr>
        <w:t xml:space="preserve"> </w:t>
      </w:r>
      <w:r w:rsidR="005936B8" w:rsidRPr="00CC7883">
        <w:rPr>
          <w:rFonts w:ascii="Times New Roman" w:hAnsi="Times New Roman" w:cs="Times New Roman"/>
          <w:color w:val="000000" w:themeColor="text1"/>
          <w:sz w:val="28"/>
          <w:szCs w:val="28"/>
        </w:rPr>
        <w:t>12</w:t>
      </w:r>
      <w:r w:rsidRPr="00CC7883">
        <w:rPr>
          <w:rFonts w:ascii="Times New Roman" w:hAnsi="Times New Roman" w:cs="Times New Roman"/>
          <w:color w:val="000000" w:themeColor="text1"/>
          <w:sz w:val="28"/>
          <w:szCs w:val="28"/>
        </w:rPr>
        <w:t>). Кількість продихів на 1 мм² листкової пластинки формувалась під переважним впливом фактор</w:t>
      </w:r>
      <w:r w:rsidR="00596001">
        <w:rPr>
          <w:rFonts w:ascii="Times New Roman" w:hAnsi="Times New Roman" w:cs="Times New Roman"/>
          <w:color w:val="000000" w:themeColor="text1"/>
          <w:sz w:val="28"/>
          <w:szCs w:val="28"/>
        </w:rPr>
        <w:t xml:space="preserve">а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(67,73 %,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7769,077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2,308),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також мав суттєвий вплив (28,63 %,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5473,861), </w:t>
      </w:r>
      <w:r w:rsidR="00D06804" w:rsidRPr="00CC7883">
        <w:rPr>
          <w:rFonts w:ascii="Times New Roman" w:hAnsi="Times New Roman" w:cs="Times New Roman"/>
          <w:color w:val="000000" w:themeColor="text1"/>
          <w:sz w:val="28"/>
          <w:szCs w:val="28"/>
        </w:rPr>
        <w:t>вплив фактор</w:t>
      </w:r>
      <w:r w:rsidR="00D06804">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w:t>
      </w:r>
      <w:r w:rsidR="00596001">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вміст фітогормонів</w:t>
      </w:r>
      <w:r w:rsidR="00596001">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був найменшим (1,27 %). Загальна кількість продихів на площу листкової пластинки формувалась під впливом фактор</w:t>
      </w:r>
      <w:r w:rsidR="005B1B89">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(54,92 %,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68875,269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2,698), значний вплив мав фактор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(33,10 %,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24905,114), внесок </w:t>
      </w:r>
      <w:r w:rsidR="005B1B89">
        <w:rPr>
          <w:rFonts w:ascii="Times New Roman" w:hAnsi="Times New Roman" w:cs="Times New Roman"/>
          <w:color w:val="000000" w:themeColor="text1"/>
          <w:sz w:val="28"/>
          <w:szCs w:val="28"/>
        </w:rPr>
        <w:t>фактор</w:t>
      </w:r>
      <w:r w:rsidR="00E57FAC">
        <w:rPr>
          <w:rFonts w:ascii="Times New Roman" w:hAnsi="Times New Roman" w:cs="Times New Roman"/>
          <w:color w:val="000000" w:themeColor="text1"/>
          <w:sz w:val="28"/>
          <w:szCs w:val="28"/>
        </w:rPr>
        <w:t>а</w:t>
      </w:r>
      <w:r w:rsidR="005B1B89">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вміст фітогормонів</w:t>
      </w:r>
      <w:r w:rsidR="005B1B8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залишався незначним (5,79 %). Сумарна частка взаємодії факторів не перевищувала 4,66 %, похибка досліду була мінімальною (0,03 %).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Лінійні розміри продихів нижнього епідермісу листків мікроклонів винограду показа</w:t>
      </w:r>
      <w:r w:rsidR="00F03829">
        <w:rPr>
          <w:rFonts w:ascii="Times New Roman" w:hAnsi="Times New Roman" w:cs="Times New Roman"/>
          <w:color w:val="000000" w:themeColor="text1"/>
          <w:sz w:val="28"/>
          <w:szCs w:val="28"/>
        </w:rPr>
        <w:t>ли</w:t>
      </w:r>
      <w:r w:rsidRPr="00CC7883">
        <w:rPr>
          <w:rFonts w:ascii="Times New Roman" w:hAnsi="Times New Roman" w:cs="Times New Roman"/>
          <w:color w:val="000000" w:themeColor="text1"/>
          <w:sz w:val="28"/>
          <w:szCs w:val="28"/>
        </w:rPr>
        <w:t>, що основним фактором впливу бу</w:t>
      </w:r>
      <w:r w:rsidR="005B1B89">
        <w:rPr>
          <w:rFonts w:ascii="Times New Roman" w:hAnsi="Times New Roman" w:cs="Times New Roman"/>
          <w:color w:val="000000" w:themeColor="text1"/>
          <w:sz w:val="28"/>
          <w:szCs w:val="28"/>
        </w:rPr>
        <w:t>в</w:t>
      </w:r>
      <w:r w:rsidRPr="00CC7883">
        <w:rPr>
          <w:rFonts w:ascii="Times New Roman" w:hAnsi="Times New Roman" w:cs="Times New Roman"/>
          <w:color w:val="000000" w:themeColor="text1"/>
          <w:sz w:val="28"/>
          <w:szCs w:val="28"/>
        </w:rPr>
        <w:t xml:space="preserve"> </w:t>
      </w:r>
      <w:r w:rsidR="00E57FAC">
        <w:rPr>
          <w:rFonts w:ascii="Times New Roman" w:hAnsi="Times New Roman" w:cs="Times New Roman"/>
          <w:color w:val="000000" w:themeColor="text1"/>
          <w:sz w:val="28"/>
          <w:szCs w:val="28"/>
        </w:rPr>
        <w:t xml:space="preserve">фактор </w:t>
      </w:r>
      <w:r w:rsidR="005B1B8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додаткові компоненти</w:t>
      </w:r>
      <w:r w:rsidR="005B1B8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частка </w:t>
      </w:r>
      <w:r w:rsidR="00E57FAC">
        <w:rPr>
          <w:rFonts w:ascii="Times New Roman" w:hAnsi="Times New Roman" w:cs="Times New Roman"/>
          <w:color w:val="000000" w:themeColor="text1"/>
          <w:sz w:val="28"/>
          <w:szCs w:val="28"/>
        </w:rPr>
        <w:t>його впливу</w:t>
      </w:r>
      <w:r w:rsidRPr="00CC7883">
        <w:rPr>
          <w:rFonts w:ascii="Times New Roman" w:hAnsi="Times New Roman" w:cs="Times New Roman"/>
          <w:color w:val="000000" w:themeColor="text1"/>
          <w:sz w:val="28"/>
          <w:szCs w:val="28"/>
        </w:rPr>
        <w:t xml:space="preserve"> дорівнювала 70,87–88,86 % для довжини, ширини та площі продихів, а також ширини замикаючих клітин і продихових щілин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113–1117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2,308). </w:t>
      </w:r>
      <w:r w:rsidR="005B1B89">
        <w:rPr>
          <w:rFonts w:ascii="Times New Roman" w:hAnsi="Times New Roman" w:cs="Times New Roman"/>
          <w:color w:val="000000" w:themeColor="text1"/>
          <w:sz w:val="28"/>
          <w:szCs w:val="28"/>
        </w:rPr>
        <w:t xml:space="preserve">Фактор </w:t>
      </w:r>
      <w:r w:rsidR="002B7A02">
        <w:rPr>
          <w:rFonts w:ascii="Times New Roman" w:hAnsi="Times New Roman" w:cs="Times New Roman"/>
          <w:color w:val="000000" w:themeColor="text1"/>
          <w:sz w:val="28"/>
          <w:szCs w:val="28"/>
        </w:rPr>
        <w:t>«</w:t>
      </w:r>
      <w:r w:rsidR="005B1B89">
        <w:rPr>
          <w:rFonts w:ascii="Times New Roman" w:hAnsi="Times New Roman" w:cs="Times New Roman"/>
          <w:color w:val="000000" w:themeColor="text1"/>
          <w:sz w:val="28"/>
          <w:szCs w:val="28"/>
        </w:rPr>
        <w:t>с</w:t>
      </w:r>
      <w:r w:rsidR="002B7A02" w:rsidRPr="00CC7883">
        <w:rPr>
          <w:rFonts w:ascii="Times New Roman" w:hAnsi="Times New Roman" w:cs="Times New Roman"/>
          <w:color w:val="000000" w:themeColor="text1"/>
          <w:sz w:val="28"/>
          <w:szCs w:val="28"/>
        </w:rPr>
        <w:t>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мав менший вплив (0,78–20,12 %), внесок вмісту фітогормонів не перевищував 1,23–2,15 %. Взаємодія факторів була незначною, частка неврахованих факторів залишалася мінімальною (0,03–2,04 %).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Результати дисперсійного аналізу анатомічних показників продихового апарату листків мікроклонів винограду (мінеральні субстрати) </w:t>
      </w:r>
      <w:r w:rsidR="005936B8" w:rsidRPr="00CC7883">
        <w:rPr>
          <w:rFonts w:ascii="Times New Roman" w:hAnsi="Times New Roman" w:cs="Times New Roman"/>
          <w:color w:val="000000" w:themeColor="text1"/>
          <w:sz w:val="28"/>
          <w:szCs w:val="28"/>
        </w:rPr>
        <w:t>(</w:t>
      </w:r>
      <w:r w:rsidR="00A84D08">
        <w:rPr>
          <w:rFonts w:ascii="Times New Roman" w:hAnsi="Times New Roman" w:cs="Times New Roman"/>
          <w:color w:val="000000" w:themeColor="text1"/>
          <w:sz w:val="28"/>
          <w:szCs w:val="28"/>
        </w:rPr>
        <w:t>д</w:t>
      </w:r>
      <w:r w:rsidR="005936B8" w:rsidRPr="00CC7883">
        <w:rPr>
          <w:rFonts w:ascii="Times New Roman" w:hAnsi="Times New Roman" w:cs="Times New Roman"/>
          <w:color w:val="000000" w:themeColor="text1"/>
          <w:sz w:val="28"/>
          <w:szCs w:val="28"/>
        </w:rPr>
        <w:t>одаток Г.</w:t>
      </w:r>
      <w:r w:rsidR="003E4136">
        <w:rPr>
          <w:rFonts w:ascii="Times New Roman" w:hAnsi="Times New Roman" w:cs="Times New Roman"/>
          <w:color w:val="000000" w:themeColor="text1"/>
          <w:sz w:val="28"/>
          <w:szCs w:val="28"/>
        </w:rPr>
        <w:t xml:space="preserve"> </w:t>
      </w:r>
      <w:r w:rsidR="005936B8" w:rsidRPr="00CC7883">
        <w:rPr>
          <w:rFonts w:ascii="Times New Roman" w:hAnsi="Times New Roman" w:cs="Times New Roman"/>
          <w:color w:val="000000" w:themeColor="text1"/>
          <w:sz w:val="28"/>
          <w:szCs w:val="28"/>
        </w:rPr>
        <w:t xml:space="preserve">13) </w:t>
      </w:r>
      <w:r w:rsidRPr="00CC7883">
        <w:rPr>
          <w:rFonts w:ascii="Times New Roman" w:hAnsi="Times New Roman" w:cs="Times New Roman"/>
          <w:color w:val="000000" w:themeColor="text1"/>
          <w:sz w:val="28"/>
          <w:szCs w:val="28"/>
        </w:rPr>
        <w:t xml:space="preserve">показали статистично достовірний вплив основних факторів. </w:t>
      </w:r>
      <w:r w:rsidR="0000298A">
        <w:rPr>
          <w:rFonts w:ascii="Times New Roman" w:hAnsi="Times New Roman" w:cs="Times New Roman"/>
          <w:color w:val="000000" w:themeColor="text1"/>
          <w:sz w:val="28"/>
          <w:szCs w:val="28"/>
        </w:rPr>
        <w:t>Фактор «т</w:t>
      </w:r>
      <w:r w:rsidR="0000298A" w:rsidRPr="00CC7883">
        <w:rPr>
          <w:rFonts w:ascii="Times New Roman" w:hAnsi="Times New Roman" w:cs="Times New Roman"/>
          <w:color w:val="000000" w:themeColor="text1"/>
          <w:sz w:val="28"/>
          <w:szCs w:val="28"/>
        </w:rPr>
        <w:t>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визначав основну частку варіації більшості показників: кількість продихів на 1 мм² листкової пластинки (55,83</w:t>
      </w:r>
      <w:r w:rsidR="009A27A1">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7494,136), загальна кількість продихів на листковій поверхні (49,48 %,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26659,740), довжина та ширина продихів (64,37–73,97 %,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 96,309–208,548), ширина продихових щілин та площа продихів (59,18–71,45 %,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 5224,825). </w:t>
      </w:r>
      <w:r w:rsidR="00E57FAC">
        <w:rPr>
          <w:rFonts w:ascii="Times New Roman" w:hAnsi="Times New Roman" w:cs="Times New Roman"/>
          <w:color w:val="000000" w:themeColor="text1"/>
          <w:sz w:val="28"/>
          <w:szCs w:val="28"/>
        </w:rPr>
        <w:t xml:space="preserve">Фактор </w:t>
      </w:r>
      <w:r w:rsidR="002B7A02">
        <w:rPr>
          <w:rFonts w:ascii="Times New Roman" w:hAnsi="Times New Roman" w:cs="Times New Roman"/>
          <w:color w:val="000000" w:themeColor="text1"/>
          <w:sz w:val="28"/>
          <w:szCs w:val="28"/>
        </w:rPr>
        <w:t>«</w:t>
      </w:r>
      <w:r w:rsidR="00E57FAC">
        <w:rPr>
          <w:rFonts w:ascii="Times New Roman" w:hAnsi="Times New Roman" w:cs="Times New Roman"/>
          <w:color w:val="000000" w:themeColor="text1"/>
          <w:sz w:val="28"/>
          <w:szCs w:val="28"/>
        </w:rPr>
        <w:t>с</w:t>
      </w:r>
      <w:r w:rsidR="002B7A02" w:rsidRPr="00CC7883">
        <w:rPr>
          <w:rFonts w:ascii="Times New Roman" w:hAnsi="Times New Roman" w:cs="Times New Roman"/>
          <w:color w:val="000000" w:themeColor="text1"/>
          <w:sz w:val="28"/>
          <w:szCs w:val="28"/>
        </w:rPr>
        <w:t>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мав менший, але достовірний вплив на варіацію показників (5,12–38,95 %), вплив взаємодії факторів залишався відносно невеликим (5,14–23,29 %). Похибка досліду </w:t>
      </w:r>
      <w:r w:rsidRPr="00CC7883">
        <w:rPr>
          <w:rFonts w:ascii="Times New Roman" w:hAnsi="Times New Roman" w:cs="Times New Roman"/>
          <w:color w:val="000000" w:themeColor="text1"/>
          <w:sz w:val="28"/>
          <w:szCs w:val="28"/>
        </w:rPr>
        <w:lastRenderedPageBreak/>
        <w:t>була мінімальною (0,02–6,91 %), що підтверджує надійність отриманих результатів.</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i/>
          <w:iCs/>
          <w:color w:val="000000" w:themeColor="text1"/>
          <w:sz w:val="28"/>
          <w:szCs w:val="28"/>
        </w:rPr>
        <w:t>Статистичний аналіз отриманих результатів за розділом</w:t>
      </w:r>
      <w:r w:rsidR="001221F9" w:rsidRPr="00CC7883">
        <w:rPr>
          <w:rFonts w:ascii="Times New Roman" w:hAnsi="Times New Roman" w:cs="Times New Roman"/>
          <w:i/>
          <w:iCs/>
          <w:color w:val="000000" w:themeColor="text1"/>
          <w:sz w:val="28"/>
          <w:szCs w:val="28"/>
        </w:rPr>
        <w:t xml:space="preserve"> </w:t>
      </w:r>
      <w:r w:rsidRPr="00CC7883">
        <w:rPr>
          <w:rFonts w:ascii="Times New Roman" w:hAnsi="Times New Roman" w:cs="Times New Roman"/>
          <w:i/>
          <w:iCs/>
          <w:color w:val="000000" w:themeColor="text1"/>
          <w:sz w:val="28"/>
          <w:szCs w:val="28"/>
        </w:rPr>
        <w:t xml:space="preserve">7. </w:t>
      </w:r>
      <w:r w:rsidRPr="00CC7883">
        <w:rPr>
          <w:rFonts w:ascii="Times New Roman" w:hAnsi="Times New Roman" w:cs="Times New Roman"/>
          <w:color w:val="000000" w:themeColor="text1"/>
          <w:sz w:val="28"/>
          <w:szCs w:val="28"/>
        </w:rPr>
        <w:t xml:space="preserve">Приживлюваність мікроклонів винограду в умовах </w:t>
      </w:r>
      <w:r w:rsidR="001221F9" w:rsidRPr="00CC7883">
        <w:rPr>
          <w:rFonts w:ascii="Times New Roman" w:hAnsi="Times New Roman" w:cs="Times New Roman"/>
          <w:i/>
          <w:color w:val="000000" w:themeColor="text1"/>
          <w:sz w:val="28"/>
          <w:szCs w:val="28"/>
        </w:rPr>
        <w:t>in vivo</w:t>
      </w:r>
      <w:r w:rsidR="001221F9"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(дослід 1) </w:t>
      </w:r>
      <w:r w:rsidR="005936B8" w:rsidRPr="00CC7883">
        <w:rPr>
          <w:rFonts w:ascii="Times New Roman" w:hAnsi="Times New Roman" w:cs="Times New Roman"/>
          <w:color w:val="000000" w:themeColor="text1"/>
          <w:sz w:val="28"/>
          <w:szCs w:val="28"/>
        </w:rPr>
        <w:t>(</w:t>
      </w:r>
      <w:r w:rsidR="00A84D08">
        <w:rPr>
          <w:rFonts w:ascii="Times New Roman" w:hAnsi="Times New Roman" w:cs="Times New Roman"/>
          <w:color w:val="000000" w:themeColor="text1"/>
          <w:sz w:val="28"/>
          <w:szCs w:val="28"/>
        </w:rPr>
        <w:t>д</w:t>
      </w:r>
      <w:r w:rsidR="005936B8" w:rsidRPr="00CC7883">
        <w:rPr>
          <w:rFonts w:ascii="Times New Roman" w:hAnsi="Times New Roman" w:cs="Times New Roman"/>
          <w:color w:val="000000" w:themeColor="text1"/>
          <w:sz w:val="28"/>
          <w:szCs w:val="28"/>
        </w:rPr>
        <w:t>одаток</w:t>
      </w:r>
      <w:r w:rsidR="0007412A">
        <w:rPr>
          <w:rFonts w:ascii="Times New Roman" w:hAnsi="Times New Roman" w:cs="Times New Roman"/>
          <w:color w:val="000000" w:themeColor="text1"/>
          <w:sz w:val="28"/>
          <w:szCs w:val="28"/>
        </w:rPr>
        <w:t> </w:t>
      </w:r>
      <w:r w:rsidR="005936B8" w:rsidRPr="00CC7883">
        <w:rPr>
          <w:rFonts w:ascii="Times New Roman" w:hAnsi="Times New Roman" w:cs="Times New Roman"/>
          <w:color w:val="000000" w:themeColor="text1"/>
          <w:sz w:val="28"/>
          <w:szCs w:val="28"/>
        </w:rPr>
        <w:t>Г.</w:t>
      </w:r>
      <w:r w:rsidR="003E4136">
        <w:rPr>
          <w:rFonts w:ascii="Times New Roman" w:hAnsi="Times New Roman" w:cs="Times New Roman"/>
          <w:color w:val="000000" w:themeColor="text1"/>
          <w:sz w:val="28"/>
          <w:szCs w:val="28"/>
        </w:rPr>
        <w:t xml:space="preserve"> </w:t>
      </w:r>
      <w:r w:rsidR="005936B8" w:rsidRPr="00CC7883">
        <w:rPr>
          <w:rFonts w:ascii="Times New Roman" w:hAnsi="Times New Roman" w:cs="Times New Roman"/>
          <w:color w:val="000000" w:themeColor="text1"/>
          <w:sz w:val="28"/>
          <w:szCs w:val="28"/>
        </w:rPr>
        <w:t xml:space="preserve">14) </w:t>
      </w:r>
      <w:r w:rsidRPr="00CC7883">
        <w:rPr>
          <w:rFonts w:ascii="Times New Roman" w:hAnsi="Times New Roman" w:cs="Times New Roman"/>
          <w:color w:val="000000" w:themeColor="text1"/>
          <w:sz w:val="28"/>
          <w:szCs w:val="28"/>
        </w:rPr>
        <w:t>через 30, 60 і 90 діб характеризувалася більшими значеннями критерію F</w:t>
      </w:r>
      <w:r w:rsidRPr="00CC7883">
        <w:rPr>
          <w:rFonts w:ascii="Times New Roman" w:hAnsi="Times New Roman" w:cs="Times New Roman"/>
          <w:color w:val="000000" w:themeColor="text1"/>
          <w:sz w:val="28"/>
          <w:szCs w:val="28"/>
          <w:vertAlign w:val="subscript"/>
        </w:rPr>
        <w:t>факт.</w:t>
      </w:r>
      <w:r w:rsidR="00B14793" w:rsidRPr="00CC7883">
        <w:rPr>
          <w:rFonts w:ascii="Times New Roman" w:hAnsi="Times New Roman" w:cs="Times New Roman"/>
          <w:color w:val="000000" w:themeColor="text1"/>
          <w:sz w:val="28"/>
          <w:szCs w:val="28"/>
          <w:vertAlign w:val="subscript"/>
        </w:rPr>
        <w:t xml:space="preserve"> </w:t>
      </w:r>
      <w:r w:rsidRPr="00CC7883">
        <w:rPr>
          <w:rFonts w:ascii="Times New Roman" w:hAnsi="Times New Roman" w:cs="Times New Roman"/>
          <w:color w:val="000000" w:themeColor="text1"/>
          <w:sz w:val="28"/>
          <w:szCs w:val="28"/>
        </w:rPr>
        <w:t>порівняно з F</w:t>
      </w:r>
      <w:r w:rsidRPr="00CC7883">
        <w:rPr>
          <w:rFonts w:ascii="Times New Roman" w:hAnsi="Times New Roman" w:cs="Times New Roman"/>
          <w:color w:val="000000" w:themeColor="text1"/>
          <w:sz w:val="28"/>
          <w:szCs w:val="28"/>
          <w:vertAlign w:val="subscript"/>
        </w:rPr>
        <w:t xml:space="preserve">теор., </w:t>
      </w:r>
      <w:r w:rsidRPr="00CC7883">
        <w:rPr>
          <w:rFonts w:ascii="Times New Roman" w:hAnsi="Times New Roman" w:cs="Times New Roman"/>
          <w:color w:val="000000" w:themeColor="text1"/>
          <w:sz w:val="28"/>
          <w:szCs w:val="28"/>
        </w:rPr>
        <w:t>за всіма основними факторами. За</w:t>
      </w:r>
      <w:r w:rsidR="000D2DF8">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фактором </w:t>
      </w:r>
      <w:r w:rsidR="005B1B89">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додаткові </w:t>
      </w:r>
      <w:r w:rsidR="005B1B89">
        <w:rPr>
          <w:rFonts w:ascii="Times New Roman" w:hAnsi="Times New Roman" w:cs="Times New Roman"/>
          <w:color w:val="000000" w:themeColor="text1"/>
          <w:sz w:val="28"/>
          <w:szCs w:val="28"/>
        </w:rPr>
        <w:t>компоненти»</w:t>
      </w:r>
      <w:r w:rsidRPr="00CC7883">
        <w:rPr>
          <w:rFonts w:ascii="Times New Roman" w:hAnsi="Times New Roman" w:cs="Times New Roman"/>
          <w:color w:val="000000" w:themeColor="text1"/>
          <w:sz w:val="28"/>
          <w:szCs w:val="28"/>
        </w:rPr>
        <w:t xml:space="preserve">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дорівнювали 2657,448 через 30 діб, 6049,209 через 60 діб і 1738,280 через 90 діб</w:t>
      </w:r>
      <w:r w:rsidR="00B14793"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2,308, частка впливу була на рівні 63,42 %, 80,40 % і 64,77 %. </w:t>
      </w:r>
      <w:r w:rsidR="00F136CD">
        <w:rPr>
          <w:rFonts w:ascii="Times New Roman" w:hAnsi="Times New Roman" w:cs="Times New Roman"/>
          <w:color w:val="000000" w:themeColor="text1"/>
          <w:sz w:val="28"/>
          <w:szCs w:val="28"/>
        </w:rPr>
        <w:t>Значення</w:t>
      </w:r>
      <w:r w:rsidRPr="00CC7883">
        <w:rPr>
          <w:rFonts w:ascii="Times New Roman" w:hAnsi="Times New Roman" w:cs="Times New Roman"/>
          <w:color w:val="000000" w:themeColor="text1"/>
          <w:sz w:val="28"/>
          <w:szCs w:val="28"/>
        </w:rPr>
        <w:t xml:space="preserve">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w:t>
      </w:r>
      <w:r w:rsidR="00F136CD">
        <w:rPr>
          <w:rFonts w:ascii="Times New Roman" w:hAnsi="Times New Roman" w:cs="Times New Roman"/>
          <w:color w:val="000000" w:themeColor="text1"/>
          <w:sz w:val="28"/>
          <w:szCs w:val="28"/>
        </w:rPr>
        <w:t xml:space="preserve">за фактором </w:t>
      </w:r>
      <w:r w:rsidR="005B1B89">
        <w:rPr>
          <w:rFonts w:ascii="Times New Roman" w:hAnsi="Times New Roman" w:cs="Times New Roman"/>
          <w:color w:val="000000" w:themeColor="text1"/>
          <w:sz w:val="28"/>
          <w:szCs w:val="28"/>
        </w:rPr>
        <w:t>«</w:t>
      </w:r>
      <w:r w:rsidR="00F136CD">
        <w:rPr>
          <w:rFonts w:ascii="Times New Roman" w:hAnsi="Times New Roman" w:cs="Times New Roman"/>
          <w:color w:val="000000" w:themeColor="text1"/>
          <w:sz w:val="28"/>
          <w:szCs w:val="28"/>
        </w:rPr>
        <w:t>вміст фітогормонів</w:t>
      </w:r>
      <w:r w:rsidR="005B1B89">
        <w:rPr>
          <w:rFonts w:ascii="Times New Roman" w:hAnsi="Times New Roman" w:cs="Times New Roman"/>
          <w:color w:val="000000" w:themeColor="text1"/>
          <w:sz w:val="28"/>
          <w:szCs w:val="28"/>
        </w:rPr>
        <w:t>»</w:t>
      </w:r>
      <w:r w:rsidR="00F136CD">
        <w:rPr>
          <w:rFonts w:ascii="Times New Roman" w:hAnsi="Times New Roman" w:cs="Times New Roman"/>
          <w:color w:val="000000" w:themeColor="text1"/>
          <w:sz w:val="28"/>
          <w:szCs w:val="28"/>
        </w:rPr>
        <w:t xml:space="preserve"> дорівнювали </w:t>
      </w:r>
      <w:r w:rsidRPr="00CC7883">
        <w:rPr>
          <w:rFonts w:ascii="Times New Roman" w:hAnsi="Times New Roman" w:cs="Times New Roman"/>
          <w:color w:val="000000" w:themeColor="text1"/>
          <w:sz w:val="28"/>
          <w:szCs w:val="28"/>
        </w:rPr>
        <w:t>3801,546, 3814,791 і 1918,640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3,939, частка впливу була на рівні 18,14 %, 10,14 % і 14,30 %. За фактором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дорівнювали 392,289, 204,378 і 218,270</w:t>
      </w:r>
      <w:r w:rsidR="00F136CD">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2,698, частка впливу була на рівні 5,62 %, 1,63 % і 4,88 %. </w:t>
      </w:r>
    </w:p>
    <w:p w:rsidR="00571DD8" w:rsidRPr="00CC7883" w:rsidRDefault="00571DD8"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Приживлюваність мікроклонів винограду </w:t>
      </w:r>
      <w:r w:rsidR="00894C28" w:rsidRPr="00CC7883">
        <w:rPr>
          <w:rFonts w:ascii="Times New Roman" w:eastAsia="NSimSun" w:hAnsi="Times New Roman" w:cs="Times New Roman"/>
          <w:i/>
          <w:iCs/>
          <w:color w:val="000000" w:themeColor="text1"/>
          <w:kern w:val="3"/>
          <w:sz w:val="28"/>
          <w:szCs w:val="28"/>
        </w:rPr>
        <w:t>in vivo</w:t>
      </w:r>
      <w:r w:rsidR="00894C28"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(дослід 2)</w:t>
      </w:r>
      <w:r w:rsidR="005936B8" w:rsidRPr="00CC7883">
        <w:rPr>
          <w:rFonts w:ascii="Times New Roman" w:hAnsi="Times New Roman" w:cs="Times New Roman"/>
          <w:color w:val="000000" w:themeColor="text1"/>
          <w:sz w:val="28"/>
          <w:szCs w:val="28"/>
        </w:rPr>
        <w:t xml:space="preserve"> (</w:t>
      </w:r>
      <w:r w:rsidR="00A84D08">
        <w:rPr>
          <w:rFonts w:ascii="Times New Roman" w:hAnsi="Times New Roman" w:cs="Times New Roman"/>
          <w:color w:val="000000" w:themeColor="text1"/>
          <w:sz w:val="28"/>
          <w:szCs w:val="28"/>
        </w:rPr>
        <w:t>д</w:t>
      </w:r>
      <w:r w:rsidR="005936B8" w:rsidRPr="00CC7883">
        <w:rPr>
          <w:rFonts w:ascii="Times New Roman" w:hAnsi="Times New Roman" w:cs="Times New Roman"/>
          <w:color w:val="000000" w:themeColor="text1"/>
          <w:sz w:val="28"/>
          <w:szCs w:val="28"/>
        </w:rPr>
        <w:t>одаток</w:t>
      </w:r>
      <w:r w:rsidR="002C064A">
        <w:rPr>
          <w:rFonts w:ascii="Times New Roman" w:hAnsi="Times New Roman" w:cs="Times New Roman"/>
          <w:color w:val="000000" w:themeColor="text1"/>
          <w:sz w:val="28"/>
          <w:szCs w:val="28"/>
        </w:rPr>
        <w:t> </w:t>
      </w:r>
      <w:r w:rsidR="005936B8" w:rsidRPr="00CC7883">
        <w:rPr>
          <w:rFonts w:ascii="Times New Roman" w:hAnsi="Times New Roman" w:cs="Times New Roman"/>
          <w:color w:val="000000" w:themeColor="text1"/>
          <w:sz w:val="28"/>
          <w:szCs w:val="28"/>
        </w:rPr>
        <w:t>Г.</w:t>
      </w:r>
      <w:r w:rsidR="003E4136">
        <w:rPr>
          <w:rFonts w:ascii="Times New Roman" w:hAnsi="Times New Roman" w:cs="Times New Roman"/>
          <w:color w:val="000000" w:themeColor="text1"/>
          <w:sz w:val="28"/>
          <w:szCs w:val="28"/>
        </w:rPr>
        <w:t> </w:t>
      </w:r>
      <w:r w:rsidR="005936B8" w:rsidRPr="00CC7883">
        <w:rPr>
          <w:rFonts w:ascii="Times New Roman" w:hAnsi="Times New Roman" w:cs="Times New Roman"/>
          <w:color w:val="000000" w:themeColor="text1"/>
          <w:sz w:val="28"/>
          <w:szCs w:val="28"/>
        </w:rPr>
        <w:t>15)</w:t>
      </w:r>
      <w:r w:rsidRPr="00CC7883">
        <w:rPr>
          <w:rFonts w:ascii="Times New Roman" w:hAnsi="Times New Roman" w:cs="Times New Roman"/>
          <w:color w:val="000000" w:themeColor="text1"/>
          <w:sz w:val="28"/>
          <w:szCs w:val="28"/>
        </w:rPr>
        <w:t xml:space="preserve"> через 30, 60 і 90 діб характеризувалася більшими значеннями F</w:t>
      </w:r>
      <w:r w:rsidR="00B14793"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vertAlign w:val="subscript"/>
        </w:rPr>
        <w:t xml:space="preserve">, </w:t>
      </w:r>
      <w:r w:rsidRPr="00CC7883">
        <w:rPr>
          <w:rFonts w:ascii="Times New Roman" w:hAnsi="Times New Roman" w:cs="Times New Roman"/>
          <w:color w:val="000000" w:themeColor="text1"/>
          <w:sz w:val="28"/>
          <w:szCs w:val="28"/>
        </w:rPr>
        <w:t xml:space="preserve">за фактором </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тип поживних </w:t>
      </w:r>
      <w:r w:rsidR="0000298A">
        <w:rPr>
          <w:rFonts w:ascii="Times New Roman" w:hAnsi="Times New Roman" w:cs="Times New Roman"/>
          <w:color w:val="000000" w:themeColor="text1"/>
          <w:sz w:val="28"/>
          <w:szCs w:val="28"/>
        </w:rPr>
        <w:t xml:space="preserve">мінеральних </w:t>
      </w:r>
      <w:r w:rsidRPr="00CC7883">
        <w:rPr>
          <w:rFonts w:ascii="Times New Roman" w:hAnsi="Times New Roman" w:cs="Times New Roman"/>
          <w:color w:val="000000" w:themeColor="text1"/>
          <w:sz w:val="28"/>
          <w:szCs w:val="28"/>
        </w:rPr>
        <w:t>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2,901.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дорівнювали 11145,56 через 30 діб, 39540,38 через 60 діб і 29828,89 через 90 діб, частка впливу була на рівні 79,06 %, 97,19 % і 98,00 %. За фактором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дорівнювали 1711,19, 602,25 і 263,25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2,901, частка впливу була на рівні 12,14 %, 1,48 % і 0,86 %. Для взаємодії </w:t>
      </w:r>
      <w:r w:rsidR="0000298A">
        <w:rPr>
          <w:rFonts w:ascii="Times New Roman" w:hAnsi="Times New Roman" w:cs="Times New Roman"/>
          <w:color w:val="000000" w:themeColor="text1"/>
          <w:sz w:val="28"/>
          <w:szCs w:val="28"/>
        </w:rPr>
        <w:t xml:space="preserve">факторів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тип поживних </w:t>
      </w:r>
      <w:r w:rsidR="0000298A">
        <w:rPr>
          <w:rFonts w:ascii="Times New Roman" w:hAnsi="Times New Roman" w:cs="Times New Roman"/>
          <w:color w:val="000000" w:themeColor="text1"/>
          <w:sz w:val="28"/>
          <w:szCs w:val="28"/>
        </w:rPr>
        <w:t xml:space="preserve">мінеральних </w:t>
      </w:r>
      <w:r w:rsidRPr="00CC7883">
        <w:rPr>
          <w:rFonts w:ascii="Times New Roman" w:hAnsi="Times New Roman" w:cs="Times New Roman"/>
          <w:color w:val="000000" w:themeColor="text1"/>
          <w:sz w:val="28"/>
          <w:szCs w:val="28"/>
        </w:rPr>
        <w:t>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значення F</w:t>
      </w:r>
      <w:r w:rsidRPr="00CC7883">
        <w:rPr>
          <w:rFonts w:ascii="Times New Roman" w:hAnsi="Times New Roman" w:cs="Times New Roman"/>
          <w:color w:val="000000" w:themeColor="text1"/>
          <w:sz w:val="28"/>
          <w:szCs w:val="28"/>
          <w:vertAlign w:val="subscript"/>
        </w:rPr>
        <w:t>факт.</w:t>
      </w:r>
      <w:r w:rsidRPr="00CC7883">
        <w:rPr>
          <w:rFonts w:ascii="Times New Roman" w:hAnsi="Times New Roman" w:cs="Times New Roman"/>
          <w:color w:val="000000" w:themeColor="text1"/>
          <w:sz w:val="28"/>
          <w:szCs w:val="28"/>
        </w:rPr>
        <w:t xml:space="preserve"> дорівнювали 409,90 через 30 діб, 176,96 через 60 діб і 111,75 через 90 діб при F</w:t>
      </w:r>
      <w:r w:rsidRPr="00CC7883">
        <w:rPr>
          <w:rFonts w:ascii="Times New Roman" w:hAnsi="Times New Roman" w:cs="Times New Roman"/>
          <w:color w:val="000000" w:themeColor="text1"/>
          <w:sz w:val="28"/>
          <w:szCs w:val="28"/>
          <w:vertAlign w:val="subscript"/>
        </w:rPr>
        <w:t>теор.</w:t>
      </w:r>
      <w:r w:rsidRPr="00CC7883">
        <w:rPr>
          <w:rFonts w:ascii="Times New Roman" w:hAnsi="Times New Roman" w:cs="Times New Roman"/>
          <w:color w:val="000000" w:themeColor="text1"/>
          <w:sz w:val="28"/>
          <w:szCs w:val="28"/>
        </w:rPr>
        <w:t xml:space="preserve"> = 2,189, частка впливу була на рівні 8,72 %, 1,30 % і 1,10 %. Похибка була на рівні 0,08 %, 0,03 % і 0,04 %.</w:t>
      </w:r>
    </w:p>
    <w:p w:rsidR="00571DD8" w:rsidRPr="00CC7883" w:rsidRDefault="00571DD8" w:rsidP="00047411">
      <w:pPr>
        <w:widowControl w:val="0"/>
        <w:spacing w:after="0" w:line="360" w:lineRule="auto"/>
        <w:ind w:firstLine="720"/>
        <w:jc w:val="both"/>
        <w:rPr>
          <w:rFonts w:ascii="Times New Roman" w:hAnsi="Times New Roman" w:cs="Times New Roman"/>
          <w:b/>
          <w:bCs/>
          <w:color w:val="000000" w:themeColor="text1"/>
          <w:sz w:val="28"/>
          <w:szCs w:val="28"/>
        </w:rPr>
      </w:pPr>
    </w:p>
    <w:p w:rsidR="00571DD8" w:rsidRPr="00CC7883" w:rsidRDefault="00571DD8" w:rsidP="00047411">
      <w:pPr>
        <w:widowControl w:val="0"/>
        <w:spacing w:after="0" w:line="360" w:lineRule="auto"/>
        <w:ind w:firstLine="720"/>
        <w:outlineLvl w:val="1"/>
        <w:rPr>
          <w:rFonts w:ascii="Times New Roman" w:hAnsi="Times New Roman" w:cs="Times New Roman"/>
          <w:b/>
          <w:bCs/>
          <w:color w:val="000000" w:themeColor="text1"/>
          <w:sz w:val="28"/>
          <w:szCs w:val="28"/>
        </w:rPr>
      </w:pPr>
      <w:bookmarkStart w:id="118" w:name="_Toc220058965"/>
      <w:r w:rsidRPr="00CC7883">
        <w:rPr>
          <w:rFonts w:ascii="Times New Roman" w:hAnsi="Times New Roman" w:cs="Times New Roman"/>
          <w:b/>
          <w:bCs/>
          <w:color w:val="000000" w:themeColor="text1"/>
          <w:sz w:val="28"/>
          <w:szCs w:val="28"/>
        </w:rPr>
        <w:t xml:space="preserve">Висновки </w:t>
      </w:r>
      <w:r w:rsidR="00A64E51" w:rsidRPr="00CC7883">
        <w:rPr>
          <w:rFonts w:ascii="Times New Roman" w:hAnsi="Times New Roman" w:cs="Times New Roman"/>
          <w:b/>
          <w:bCs/>
          <w:color w:val="000000" w:themeColor="text1"/>
          <w:sz w:val="28"/>
          <w:szCs w:val="28"/>
        </w:rPr>
        <w:t>до</w:t>
      </w:r>
      <w:r w:rsidRPr="00CC7883">
        <w:rPr>
          <w:rFonts w:ascii="Times New Roman" w:hAnsi="Times New Roman" w:cs="Times New Roman"/>
          <w:b/>
          <w:bCs/>
          <w:color w:val="000000" w:themeColor="text1"/>
          <w:sz w:val="28"/>
          <w:szCs w:val="28"/>
        </w:rPr>
        <w:t xml:space="preserve"> розділ</w:t>
      </w:r>
      <w:r w:rsidR="00A64E51" w:rsidRPr="00CC7883">
        <w:rPr>
          <w:rFonts w:ascii="Times New Roman" w:hAnsi="Times New Roman" w:cs="Times New Roman"/>
          <w:b/>
          <w:bCs/>
          <w:color w:val="000000" w:themeColor="text1"/>
          <w:sz w:val="28"/>
          <w:szCs w:val="28"/>
        </w:rPr>
        <w:t>у</w:t>
      </w:r>
      <w:r w:rsidRPr="00CC7883">
        <w:rPr>
          <w:rFonts w:ascii="Times New Roman" w:hAnsi="Times New Roman" w:cs="Times New Roman"/>
          <w:b/>
          <w:bCs/>
          <w:color w:val="000000" w:themeColor="text1"/>
          <w:sz w:val="28"/>
          <w:szCs w:val="28"/>
        </w:rPr>
        <w:t xml:space="preserve"> 8</w:t>
      </w:r>
      <w:bookmarkEnd w:id="118"/>
    </w:p>
    <w:p w:rsidR="00571DD8" w:rsidRPr="00CC7883" w:rsidRDefault="00571DD8" w:rsidP="00047411">
      <w:pPr>
        <w:widowControl w:val="0"/>
        <w:spacing w:after="0" w:line="360" w:lineRule="auto"/>
        <w:ind w:firstLine="720"/>
        <w:rPr>
          <w:rFonts w:ascii="Times New Roman" w:hAnsi="Times New Roman" w:cs="Times New Roman"/>
          <w:b/>
          <w:bCs/>
          <w:color w:val="000000" w:themeColor="text1"/>
          <w:sz w:val="28"/>
          <w:szCs w:val="28"/>
        </w:rPr>
      </w:pPr>
    </w:p>
    <w:p w:rsidR="00571DD8" w:rsidRPr="00CC7883" w:rsidRDefault="00571DD8" w:rsidP="00047411">
      <w:pPr>
        <w:pStyle w:val="a7"/>
        <w:widowControl w:val="0"/>
        <w:numPr>
          <w:ilvl w:val="0"/>
          <w:numId w:val="47"/>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Згідно зі схемою дослідження, у першому досліді (різні типи поживних середовищ) основними факторами, які впливали на показники, </w:t>
      </w:r>
      <w:r w:rsidR="00BA2655">
        <w:rPr>
          <w:rFonts w:ascii="Times New Roman" w:hAnsi="Times New Roman" w:cs="Times New Roman"/>
          <w:color w:val="000000" w:themeColor="text1"/>
          <w:sz w:val="28"/>
          <w:szCs w:val="28"/>
        </w:rPr>
        <w:t>які</w:t>
      </w:r>
      <w:r w:rsidRPr="00CC7883">
        <w:rPr>
          <w:rFonts w:ascii="Times New Roman" w:hAnsi="Times New Roman" w:cs="Times New Roman"/>
          <w:color w:val="000000" w:themeColor="text1"/>
          <w:sz w:val="28"/>
          <w:szCs w:val="28"/>
        </w:rPr>
        <w:t xml:space="preserve"> вивчали</w:t>
      </w:r>
      <w:r w:rsidR="002A11C7">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були: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(фактор 1), вміст фітогормонів (ІОК і 6-БАП) (фактор </w:t>
      </w:r>
      <w:r w:rsidRPr="00CC7883">
        <w:rPr>
          <w:rFonts w:ascii="Times New Roman" w:hAnsi="Times New Roman" w:cs="Times New Roman"/>
          <w:color w:val="000000" w:themeColor="text1"/>
          <w:sz w:val="28"/>
          <w:szCs w:val="28"/>
        </w:rPr>
        <w:lastRenderedPageBreak/>
        <w:t xml:space="preserve">2) та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(БАП, агроперліт, вермикуліт) (фактор 3). У другому досліді –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(фактор 1), </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(фактор 2).</w:t>
      </w:r>
    </w:p>
    <w:p w:rsidR="00571DD8" w:rsidRPr="00CC7883" w:rsidRDefault="00571DD8" w:rsidP="00047411">
      <w:pPr>
        <w:pStyle w:val="a7"/>
        <w:widowControl w:val="0"/>
        <w:numPr>
          <w:ilvl w:val="0"/>
          <w:numId w:val="47"/>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Дисперсійний аналіз експериментальних даних показав статистично достовірний вплив умов культивування мікроклонів винограду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на формування оптимальних морфофункціональних характеристик, необхідних для успішної адаптації. Проте для окремих показників, зокрема проліферації пазушних бруньок, ризогенезу ініціальних експлантів і приживлюваності мікроклонів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вплив окремих факторів або їх взаємодії не бу</w:t>
      </w:r>
      <w:r w:rsidR="001F6039">
        <w:rPr>
          <w:rFonts w:ascii="Times New Roman" w:hAnsi="Times New Roman" w:cs="Times New Roman"/>
          <w:color w:val="000000" w:themeColor="text1"/>
          <w:sz w:val="28"/>
          <w:szCs w:val="28"/>
        </w:rPr>
        <w:t>в</w:t>
      </w:r>
      <w:r w:rsidRPr="00CC7883">
        <w:rPr>
          <w:rFonts w:ascii="Times New Roman" w:hAnsi="Times New Roman" w:cs="Times New Roman"/>
          <w:color w:val="000000" w:themeColor="text1"/>
          <w:sz w:val="28"/>
          <w:szCs w:val="28"/>
        </w:rPr>
        <w:t xml:space="preserve"> статистично достовірним. За більшістю інших показників значення критерію Фішера для основних факторів перевищували табличні, що дало змогу кількісно оцінити їх частку впливу та встановити взаємозв’язок між станом рослин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і рівнем їх приживлюваності в умовах </w:t>
      </w:r>
      <w:r w:rsidR="00894C28"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szCs w:val="28"/>
        </w:rPr>
        <w:t>.</w:t>
      </w:r>
    </w:p>
    <w:p w:rsidR="00571DD8" w:rsidRPr="00CC7883" w:rsidRDefault="00571DD8" w:rsidP="00047411">
      <w:pPr>
        <w:pStyle w:val="a7"/>
        <w:widowControl w:val="0"/>
        <w:numPr>
          <w:ilvl w:val="0"/>
          <w:numId w:val="47"/>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Проліферація пазушних бруньок у досліді, де мікроклони культивували на поживних середовищах, найбільше залежала від додаткових компонентів поживного середовища MS (понад 70,00 % загальної варіації), ризогенез формувався під сумарним впливом додаткових складових і фітогормонального складу (близько 75,00 %). Приживлюваність ініціальних експлантів визначалась фітогормональним складом поживного середовища (понад 65,00 %), вплив сорту винограду не перевищував 15,00 %, взаємодія факторів була незначною (до 8,00 %). </w:t>
      </w:r>
    </w:p>
    <w:p w:rsidR="00571DD8" w:rsidRPr="00CC7883" w:rsidRDefault="00571DD8" w:rsidP="00047411">
      <w:pPr>
        <w:pStyle w:val="a7"/>
        <w:widowControl w:val="0"/>
        <w:spacing w:after="0" w:line="360" w:lineRule="auto"/>
        <w:ind w:left="0"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досліді, де мікроклони культивували на поживних субстратах, основним фактором, який впливав на показники регенерації ініціальних експлантів винограду, був </w:t>
      </w:r>
      <w:r w:rsidR="0000298A">
        <w:rPr>
          <w:rFonts w:ascii="Times New Roman" w:hAnsi="Times New Roman" w:cs="Times New Roman"/>
          <w:color w:val="000000" w:themeColor="text1"/>
          <w:sz w:val="28"/>
          <w:szCs w:val="28"/>
        </w:rPr>
        <w:t>фактор «</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79,77 % для проліферації пазушних бруньок, 86,60 % – для ризогенезу та 72,30 % – для приживлюваності експлантів. Вплив сорту винограду був незначним і знаходився у межах 5,28–16,70 %, частка взаємодії факторів не перевищувала 8,01–14,51 %. Низький рівень експериментальної похибки (0,04–0,11 %) доводить високу достовірність отриманих результатів.</w:t>
      </w:r>
    </w:p>
    <w:p w:rsidR="00571DD8" w:rsidRPr="00CC7883" w:rsidRDefault="00571DD8" w:rsidP="00047411">
      <w:pPr>
        <w:pStyle w:val="a7"/>
        <w:widowControl w:val="0"/>
        <w:numPr>
          <w:ilvl w:val="0"/>
          <w:numId w:val="47"/>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Біометричні показники розвитку надземної вегетативної маси (висота </w:t>
      </w:r>
      <w:r w:rsidRPr="00CC7883">
        <w:rPr>
          <w:rFonts w:ascii="Times New Roman" w:hAnsi="Times New Roman" w:cs="Times New Roman"/>
          <w:color w:val="000000" w:themeColor="text1"/>
          <w:sz w:val="28"/>
          <w:szCs w:val="28"/>
        </w:rPr>
        <w:lastRenderedPageBreak/>
        <w:t xml:space="preserve">рослин, кількість і площа листків, площа листкової поверхні, облистяність) (дослід 1) визначалися фактором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(51,84–69,72 %), вплив додаткових компонентів був меншим, але статистично значущим (23,20 %). На показники площі листка, площі листкової поверхні та облистяності найбільше впливали додаткові компоненти, частка їх впливу дорівнювала 35,7–62,9 %.</w:t>
      </w:r>
    </w:p>
    <w:p w:rsidR="00571DD8" w:rsidRPr="00CC7883" w:rsidRDefault="00571DD8" w:rsidP="00047411">
      <w:pPr>
        <w:pStyle w:val="a7"/>
        <w:widowControl w:val="0"/>
        <w:spacing w:after="0" w:line="360" w:lineRule="auto"/>
        <w:ind w:left="0"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Біометричні показники розвитку кореневої системи (кількість коренів, кількість коренів I і II порядків, довжина коренів I і II порядків, довжина одного кореня I і II порядків) визначалися фактором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53,43–87,58 %, вплив інших факторів та їх взаємодії був на рівні 0,61–7,68 %.</w:t>
      </w:r>
    </w:p>
    <w:p w:rsidR="00571DD8" w:rsidRPr="00CC7883" w:rsidRDefault="00571DD8" w:rsidP="00047411">
      <w:pPr>
        <w:pStyle w:val="a7"/>
        <w:widowControl w:val="0"/>
        <w:spacing w:after="0" w:line="360" w:lineRule="auto"/>
        <w:ind w:left="0"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Після культивування мікроклонів винограду на поживних мінеральних субстратах формування вегетативної надземної маси залежало від типу поживних мінеральних субстратів (висота рослин – 93,15 %, кількість листків – 51,36 %, площа листка – 68,85 %, площа листкової поверхні – 76,00 %, облистяність – 74,54 %), вплив сорту винограду був меншим, але статистично значущим і дорівнював 2,44–35,12 %. Частка впливу взаємодії факторів була на рівні 3,98–19,90 %. </w:t>
      </w:r>
    </w:p>
    <w:p w:rsidR="00571DD8" w:rsidRPr="00CC7883" w:rsidRDefault="00571DD8" w:rsidP="00047411">
      <w:pPr>
        <w:pStyle w:val="a7"/>
        <w:widowControl w:val="0"/>
        <w:spacing w:after="0" w:line="360" w:lineRule="auto"/>
        <w:ind w:left="0"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Формування кореневої системи також залежало від фактор</w:t>
      </w:r>
      <w:r w:rsidR="00E57FAC">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w:t>
      </w:r>
      <w:r w:rsidR="0000298A">
        <w:rPr>
          <w:rFonts w:ascii="Times New Roman" w:hAnsi="Times New Roman" w:cs="Times New Roman"/>
          <w:color w:val="000000" w:themeColor="text1"/>
          <w:sz w:val="28"/>
          <w:szCs w:val="28"/>
        </w:rPr>
        <w:t>«</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і було найбільшим для показників кільк</w:t>
      </w:r>
      <w:r w:rsidR="007E09FB">
        <w:rPr>
          <w:rFonts w:ascii="Times New Roman" w:hAnsi="Times New Roman" w:cs="Times New Roman"/>
          <w:color w:val="000000" w:themeColor="text1"/>
          <w:sz w:val="28"/>
          <w:szCs w:val="28"/>
        </w:rPr>
        <w:t>о</w:t>
      </w:r>
      <w:r w:rsidRPr="00CC7883">
        <w:rPr>
          <w:rFonts w:ascii="Times New Roman" w:hAnsi="Times New Roman" w:cs="Times New Roman"/>
          <w:color w:val="000000" w:themeColor="text1"/>
          <w:sz w:val="28"/>
          <w:szCs w:val="28"/>
        </w:rPr>
        <w:t>ст</w:t>
      </w:r>
      <w:r w:rsidR="00195B5F">
        <w:rPr>
          <w:rFonts w:ascii="Times New Roman" w:hAnsi="Times New Roman" w:cs="Times New Roman"/>
          <w:color w:val="000000" w:themeColor="text1"/>
          <w:sz w:val="28"/>
          <w:szCs w:val="28"/>
        </w:rPr>
        <w:t>і</w:t>
      </w:r>
      <w:r w:rsidRPr="00CC7883">
        <w:rPr>
          <w:rFonts w:ascii="Times New Roman" w:hAnsi="Times New Roman" w:cs="Times New Roman"/>
          <w:color w:val="000000" w:themeColor="text1"/>
          <w:sz w:val="28"/>
          <w:szCs w:val="28"/>
        </w:rPr>
        <w:t xml:space="preserve"> коренів І </w:t>
      </w:r>
      <w:r w:rsidR="00953EF8">
        <w:rPr>
          <w:rFonts w:ascii="Times New Roman" w:hAnsi="Times New Roman" w:cs="Times New Roman"/>
          <w:color w:val="000000" w:themeColor="text1"/>
          <w:sz w:val="28"/>
          <w:szCs w:val="28"/>
        </w:rPr>
        <w:t>і</w:t>
      </w:r>
      <w:r w:rsidRPr="00CC7883">
        <w:rPr>
          <w:rFonts w:ascii="Times New Roman" w:hAnsi="Times New Roman" w:cs="Times New Roman"/>
          <w:color w:val="000000" w:themeColor="text1"/>
          <w:sz w:val="28"/>
          <w:szCs w:val="28"/>
        </w:rPr>
        <w:t xml:space="preserve"> ІІ порядків (53,55–61,06 %), довжин</w:t>
      </w:r>
      <w:r w:rsidR="00195B5F">
        <w:rPr>
          <w:rFonts w:ascii="Times New Roman" w:hAnsi="Times New Roman" w:cs="Times New Roman"/>
          <w:color w:val="000000" w:themeColor="text1"/>
          <w:sz w:val="28"/>
          <w:szCs w:val="28"/>
        </w:rPr>
        <w:t>и</w:t>
      </w:r>
      <w:r w:rsidRPr="00CC7883">
        <w:rPr>
          <w:rFonts w:ascii="Times New Roman" w:hAnsi="Times New Roman" w:cs="Times New Roman"/>
          <w:color w:val="000000" w:themeColor="text1"/>
          <w:sz w:val="28"/>
          <w:szCs w:val="28"/>
        </w:rPr>
        <w:t xml:space="preserve"> коренів І </w:t>
      </w:r>
      <w:r w:rsidR="00953EF8">
        <w:rPr>
          <w:rFonts w:ascii="Times New Roman" w:hAnsi="Times New Roman" w:cs="Times New Roman"/>
          <w:color w:val="000000" w:themeColor="text1"/>
          <w:sz w:val="28"/>
          <w:szCs w:val="28"/>
        </w:rPr>
        <w:t>і</w:t>
      </w:r>
      <w:r w:rsidRPr="00CC7883">
        <w:rPr>
          <w:rFonts w:ascii="Times New Roman" w:hAnsi="Times New Roman" w:cs="Times New Roman"/>
          <w:color w:val="000000" w:themeColor="text1"/>
          <w:sz w:val="28"/>
          <w:szCs w:val="28"/>
        </w:rPr>
        <w:t xml:space="preserve"> ІІ порядків (72,55–97,33 %) і довжин</w:t>
      </w:r>
      <w:r w:rsidR="00195B5F">
        <w:rPr>
          <w:rFonts w:ascii="Times New Roman" w:hAnsi="Times New Roman" w:cs="Times New Roman"/>
          <w:color w:val="000000" w:themeColor="text1"/>
          <w:sz w:val="28"/>
          <w:szCs w:val="28"/>
        </w:rPr>
        <w:t>и</w:t>
      </w:r>
      <w:r w:rsidRPr="00CC7883">
        <w:rPr>
          <w:rFonts w:ascii="Times New Roman" w:hAnsi="Times New Roman" w:cs="Times New Roman"/>
          <w:color w:val="000000" w:themeColor="text1"/>
          <w:sz w:val="28"/>
          <w:szCs w:val="28"/>
        </w:rPr>
        <w:t xml:space="preserve"> одного кореня І і ІІ порядків (44,47–82,40</w:t>
      </w:r>
      <w:r w:rsidR="009A27A1">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w:t>
      </w:r>
      <w:r w:rsidR="00195B5F">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00195B5F">
        <w:rPr>
          <w:rFonts w:ascii="Times New Roman" w:hAnsi="Times New Roman" w:cs="Times New Roman"/>
          <w:color w:val="000000" w:themeColor="text1"/>
          <w:sz w:val="28"/>
          <w:szCs w:val="28"/>
        </w:rPr>
        <w:t>Ч</w:t>
      </w:r>
      <w:r w:rsidRPr="00CC7883">
        <w:rPr>
          <w:rFonts w:ascii="Times New Roman" w:hAnsi="Times New Roman" w:cs="Times New Roman"/>
          <w:color w:val="000000" w:themeColor="text1"/>
          <w:sz w:val="28"/>
          <w:szCs w:val="28"/>
        </w:rPr>
        <w:t>астка впливу сорту винограду і взаємодії факторів була меншою і знаходилась, в основному, у межах до 32,37</w:t>
      </w:r>
      <w:r w:rsidR="00C61BD1">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 </w:t>
      </w:r>
    </w:p>
    <w:p w:rsidR="00571DD8" w:rsidRPr="00CC7883" w:rsidRDefault="00571DD8" w:rsidP="00047411">
      <w:pPr>
        <w:pStyle w:val="a7"/>
        <w:widowControl w:val="0"/>
        <w:numPr>
          <w:ilvl w:val="0"/>
          <w:numId w:val="47"/>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Дисперсійний аналіз фізіолого-біохімічних показників мікроклонів винограду (поживні середовища) показав, що основним фактором, який впливав на їх формування</w:t>
      </w:r>
      <w:r w:rsidR="002A11C7">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були додаткові компоненти поживного середовища. Для показників загального вмісту води,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hAnsi="Times New Roman" w:cs="Times New Roman"/>
          <w:color w:val="000000" w:themeColor="text1"/>
          <w:sz w:val="28"/>
          <w:szCs w:val="28"/>
        </w:rPr>
        <w:t xml:space="preserve"> води, сухих речовин вегетативної надземної маси частка його впливу знаходилась в межах 50,01–88,66 %, для кореневої системи (для аналогічних показників) відповідно – в межах 56,86–87,12 %. На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у здатність </w:t>
      </w:r>
      <w:r w:rsidRPr="00CC7883">
        <w:rPr>
          <w:rFonts w:ascii="Times New Roman" w:hAnsi="Times New Roman" w:cs="Times New Roman"/>
          <w:color w:val="000000" w:themeColor="text1"/>
          <w:sz w:val="28"/>
          <w:szCs w:val="28"/>
        </w:rPr>
        <w:lastRenderedPageBreak/>
        <w:t xml:space="preserve">мікроклонів винограду через 5–10 хв переважно впливав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частка впливу якого була вищою за вплив інших факторів. Через 15–20 хв основний вплив мав фактор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поживного середовища, який збільшувався і дорівнював 37,05–46,14 % через 30 та 60 хв.</w:t>
      </w:r>
    </w:p>
    <w:p w:rsidR="00571DD8" w:rsidRPr="00CC7883" w:rsidRDefault="00571DD8" w:rsidP="00047411">
      <w:pPr>
        <w:pStyle w:val="a7"/>
        <w:widowControl w:val="0"/>
        <w:spacing w:after="0" w:line="360" w:lineRule="auto"/>
        <w:ind w:left="0"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Після культивування мікроклонів винограду на поживних мінеральних субстратах в умовах </w:t>
      </w:r>
      <w:r w:rsidR="001221F9"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на формування функціонального стану рослин найбільший вплив мав </w:t>
      </w:r>
      <w:r w:rsidR="0000298A">
        <w:rPr>
          <w:rFonts w:ascii="Times New Roman" w:hAnsi="Times New Roman" w:cs="Times New Roman"/>
          <w:color w:val="000000" w:themeColor="text1"/>
          <w:sz w:val="28"/>
          <w:szCs w:val="28"/>
        </w:rPr>
        <w:t>фактор «</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Для показників загального вмісту,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hAnsi="Times New Roman" w:cs="Times New Roman"/>
          <w:color w:val="000000" w:themeColor="text1"/>
          <w:sz w:val="28"/>
          <w:szCs w:val="28"/>
        </w:rPr>
        <w:t xml:space="preserve"> води, сухих речовин вегетативної надземної маси частка його впливу дорівнювала 43,07–91,86 %. Для показників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Fonts w:ascii="Times New Roman" w:hAnsi="Times New Roman" w:cs="Times New Roman"/>
          <w:color w:val="000000" w:themeColor="text1"/>
          <w:sz w:val="28"/>
          <w:szCs w:val="28"/>
        </w:rPr>
        <w:t xml:space="preserve">ої здатності основними факторами впливу були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і</w:t>
      </w:r>
      <w:r w:rsidR="00B14793" w:rsidRPr="00CC7883">
        <w:rPr>
          <w:rFonts w:ascii="Times New Roman" w:hAnsi="Times New Roman" w:cs="Times New Roman"/>
          <w:color w:val="000000" w:themeColor="text1"/>
          <w:sz w:val="28"/>
          <w:szCs w:val="28"/>
        </w:rPr>
        <w:t xml:space="preserve"> </w:t>
      </w:r>
      <w:r w:rsidR="0000298A">
        <w:rPr>
          <w:rFonts w:ascii="Times New Roman" w:hAnsi="Times New Roman" w:cs="Times New Roman"/>
          <w:color w:val="000000" w:themeColor="text1"/>
          <w:sz w:val="28"/>
          <w:szCs w:val="28"/>
        </w:rPr>
        <w:t>«</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частка їх впливу для показників через 5–60 хв дорівнювала 11,54–44,28 % і 13,47–74,54</w:t>
      </w:r>
      <w:r w:rsidR="009A27A1">
        <w:rPr>
          <w:rFonts w:ascii="Times New Roman" w:hAnsi="Times New Roman" w:cs="Times New Roman"/>
          <w:color w:val="000000" w:themeColor="text1"/>
          <w:sz w:val="28"/>
          <w:szCs w:val="28"/>
        </w:rPr>
        <w:t> </w:t>
      </w:r>
      <w:r w:rsidRPr="00CC7883">
        <w:rPr>
          <w:rFonts w:ascii="Times New Roman" w:hAnsi="Times New Roman" w:cs="Times New Roman"/>
          <w:color w:val="000000" w:themeColor="text1"/>
          <w:sz w:val="28"/>
          <w:szCs w:val="28"/>
        </w:rPr>
        <w:t xml:space="preserve">%. Для показників інтенсивності транспірації зберігалась аналогічна тенденція (50,47–77,02 % – </w:t>
      </w:r>
      <w:r w:rsidR="0000298A">
        <w:rPr>
          <w:rFonts w:ascii="Times New Roman" w:hAnsi="Times New Roman" w:cs="Times New Roman"/>
          <w:color w:val="000000" w:themeColor="text1"/>
          <w:sz w:val="28"/>
          <w:szCs w:val="28"/>
        </w:rPr>
        <w:t>«</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2,45–10,71</w:t>
      </w:r>
      <w:r w:rsidR="001E3021">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 –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w:t>
      </w:r>
    </w:p>
    <w:p w:rsidR="00571DD8" w:rsidRPr="00CC7883" w:rsidRDefault="00571DD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Вміст пігментів у тканинах листків і пагонів (культивування на поживних середовищах) більшою мірою залежав від фактор</w:t>
      </w:r>
      <w:r w:rsidR="00E57FAC">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Для</w:t>
      </w:r>
      <w:r w:rsidR="00B14793"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показників вмісту хлорофілів </w:t>
      </w:r>
      <w:r w:rsidRPr="00CC7883">
        <w:rPr>
          <w:rFonts w:ascii="Times New Roman" w:hAnsi="Times New Roman" w:cs="Times New Roman"/>
          <w:i/>
          <w:color w:val="000000" w:themeColor="text1"/>
          <w:sz w:val="28"/>
          <w:szCs w:val="28"/>
        </w:rPr>
        <w:t>a</w:t>
      </w:r>
      <w:r w:rsidRPr="00CC7883">
        <w:rPr>
          <w:rFonts w:ascii="Times New Roman" w:hAnsi="Times New Roman" w:cs="Times New Roman"/>
          <w:color w:val="000000" w:themeColor="text1"/>
          <w:sz w:val="28"/>
          <w:szCs w:val="28"/>
        </w:rPr>
        <w:t xml:space="preserve"> і </w:t>
      </w:r>
      <w:r w:rsidRPr="00CC7883">
        <w:rPr>
          <w:rFonts w:ascii="Times New Roman" w:hAnsi="Times New Roman" w:cs="Times New Roman"/>
          <w:i/>
          <w:color w:val="000000" w:themeColor="text1"/>
          <w:sz w:val="28"/>
          <w:szCs w:val="28"/>
        </w:rPr>
        <w:t>b</w:t>
      </w:r>
      <w:r w:rsidRPr="00CC7883">
        <w:rPr>
          <w:rFonts w:ascii="Times New Roman" w:hAnsi="Times New Roman" w:cs="Times New Roman"/>
          <w:color w:val="000000" w:themeColor="text1"/>
          <w:sz w:val="28"/>
          <w:szCs w:val="28"/>
        </w:rPr>
        <w:t xml:space="preserve"> його вплив був у межах 33,16</w:t>
      </w:r>
      <w:r w:rsidR="002004E7">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79,11 %</w:t>
      </w:r>
      <w:r w:rsidR="002004E7">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для показника сум</w:t>
      </w:r>
      <w:r w:rsidR="007E09FB">
        <w:rPr>
          <w:rFonts w:ascii="Times New Roman" w:hAnsi="Times New Roman" w:cs="Times New Roman"/>
          <w:color w:val="000000" w:themeColor="text1"/>
          <w:sz w:val="28"/>
          <w:szCs w:val="28"/>
        </w:rPr>
        <w:t>и</w:t>
      </w:r>
      <w:r w:rsidRPr="00CC7883">
        <w:rPr>
          <w:rFonts w:ascii="Times New Roman" w:hAnsi="Times New Roman" w:cs="Times New Roman"/>
          <w:color w:val="000000" w:themeColor="text1"/>
          <w:sz w:val="28"/>
          <w:szCs w:val="28"/>
        </w:rPr>
        <w:t xml:space="preserve"> хлорофілів </w:t>
      </w:r>
      <w:r w:rsidRPr="00CC7883">
        <w:rPr>
          <w:rFonts w:ascii="Times New Roman" w:hAnsi="Times New Roman" w:cs="Times New Roman"/>
          <w:i/>
          <w:color w:val="000000" w:themeColor="text1"/>
          <w:sz w:val="28"/>
          <w:szCs w:val="28"/>
        </w:rPr>
        <w:t>a</w:t>
      </w:r>
      <w:r w:rsidRPr="00CC7883">
        <w:rPr>
          <w:rFonts w:ascii="Times New Roman" w:hAnsi="Times New Roman" w:cs="Times New Roman"/>
          <w:color w:val="000000" w:themeColor="text1"/>
          <w:sz w:val="28"/>
          <w:szCs w:val="28"/>
        </w:rPr>
        <w:t xml:space="preserve"> + </w:t>
      </w:r>
      <w:r w:rsidRPr="00CC7883">
        <w:rPr>
          <w:rFonts w:ascii="Times New Roman" w:hAnsi="Times New Roman" w:cs="Times New Roman"/>
          <w:i/>
          <w:color w:val="000000" w:themeColor="text1"/>
          <w:sz w:val="28"/>
          <w:szCs w:val="28"/>
        </w:rPr>
        <w:t>b</w:t>
      </w:r>
      <w:r w:rsidRPr="00CC7883">
        <w:rPr>
          <w:rFonts w:ascii="Times New Roman" w:hAnsi="Times New Roman" w:cs="Times New Roman"/>
          <w:color w:val="000000" w:themeColor="text1"/>
          <w:sz w:val="28"/>
          <w:szCs w:val="28"/>
        </w:rPr>
        <w:t xml:space="preserve"> –</w:t>
      </w:r>
      <w:r w:rsidR="002004E7">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28,96</w:t>
      </w:r>
      <w:r w:rsidR="002004E7">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55,81 %</w:t>
      </w:r>
      <w:r w:rsidR="007E09FB">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для показників вмісту каротиноїдів</w:t>
      </w:r>
      <w:r w:rsidR="00E57FAC">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 36,76</w:t>
      </w:r>
      <w:r w:rsidR="002004E7">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71,00 %. Частка </w:t>
      </w:r>
      <w:r w:rsidR="00D06804" w:rsidRPr="00CC7883">
        <w:rPr>
          <w:rFonts w:ascii="Times New Roman" w:hAnsi="Times New Roman" w:cs="Times New Roman"/>
          <w:color w:val="000000" w:themeColor="text1"/>
          <w:sz w:val="28"/>
          <w:szCs w:val="28"/>
        </w:rPr>
        <w:t>впливу фактор</w:t>
      </w:r>
      <w:r w:rsidR="00D06804">
        <w:rPr>
          <w:rFonts w:ascii="Times New Roman" w:hAnsi="Times New Roman" w:cs="Times New Roman"/>
          <w:color w:val="000000" w:themeColor="text1"/>
          <w:sz w:val="28"/>
          <w:szCs w:val="28"/>
        </w:rPr>
        <w:t>а</w:t>
      </w:r>
      <w:r w:rsidR="00D06804" w:rsidRPr="00CC7883">
        <w:rPr>
          <w:rFonts w:ascii="Times New Roman" w:hAnsi="Times New Roman" w:cs="Times New Roman"/>
          <w:color w:val="000000" w:themeColor="text1"/>
          <w:sz w:val="28"/>
          <w:szCs w:val="28"/>
        </w:rPr>
        <w:t xml:space="preserve">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00C449F1">
        <w:rPr>
          <w:rFonts w:ascii="Times New Roman" w:hAnsi="Times New Roman" w:cs="Times New Roman"/>
          <w:color w:val="000000" w:themeColor="text1"/>
          <w:sz w:val="28"/>
          <w:szCs w:val="28"/>
        </w:rPr>
        <w:t>становила</w:t>
      </w:r>
      <w:r w:rsidRPr="00CC7883">
        <w:rPr>
          <w:rFonts w:ascii="Times New Roman" w:hAnsi="Times New Roman" w:cs="Times New Roman"/>
          <w:color w:val="000000" w:themeColor="text1"/>
          <w:sz w:val="28"/>
          <w:szCs w:val="28"/>
        </w:rPr>
        <w:t xml:space="preserve"> 4,13–39,51 %, фактору вміст фітогормонів – </w:t>
      </w:r>
      <w:r w:rsidR="00E57FAC">
        <w:rPr>
          <w:rFonts w:ascii="Times New Roman" w:hAnsi="Times New Roman" w:cs="Times New Roman"/>
          <w:color w:val="000000" w:themeColor="text1"/>
          <w:sz w:val="28"/>
          <w:szCs w:val="28"/>
        </w:rPr>
        <w:t>у</w:t>
      </w:r>
      <w:r w:rsidRPr="00CC7883">
        <w:rPr>
          <w:rFonts w:ascii="Times New Roman" w:hAnsi="Times New Roman" w:cs="Times New Roman"/>
          <w:color w:val="000000" w:themeColor="text1"/>
          <w:sz w:val="28"/>
          <w:szCs w:val="28"/>
        </w:rPr>
        <w:t xml:space="preserve"> межах 1,74–35,96 %. Частка впливу взаємодії факторів дорівнювала 0,17–15,04 %, похибки – 0,09–13,16 %. </w:t>
      </w:r>
    </w:p>
    <w:p w:rsidR="00571DD8" w:rsidRPr="00CC7883" w:rsidRDefault="00571DD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досліді, де культивування мікроклонів винограду здійснювали на поживних мінеральних субстратах, основний вплив на показники пігментного комплексу листків і пагонів мав фактор </w:t>
      </w:r>
      <w:r w:rsidR="0000298A">
        <w:rPr>
          <w:rFonts w:ascii="Times New Roman" w:hAnsi="Times New Roman" w:cs="Times New Roman"/>
          <w:color w:val="000000" w:themeColor="text1"/>
          <w:sz w:val="28"/>
          <w:szCs w:val="28"/>
        </w:rPr>
        <w:t>«</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Частка його впливу на вміст хлорофілів </w:t>
      </w:r>
      <w:r w:rsidRPr="00CC7883">
        <w:rPr>
          <w:rFonts w:ascii="Times New Roman" w:hAnsi="Times New Roman" w:cs="Times New Roman"/>
          <w:i/>
          <w:color w:val="000000" w:themeColor="text1"/>
          <w:sz w:val="28"/>
          <w:szCs w:val="28"/>
        </w:rPr>
        <w:t>a</w:t>
      </w:r>
      <w:r w:rsidRPr="00CC7883">
        <w:rPr>
          <w:rFonts w:ascii="Times New Roman" w:hAnsi="Times New Roman" w:cs="Times New Roman"/>
          <w:color w:val="000000" w:themeColor="text1"/>
          <w:sz w:val="28"/>
          <w:szCs w:val="28"/>
        </w:rPr>
        <w:t xml:space="preserve"> і </w:t>
      </w:r>
      <w:r w:rsidRPr="00CC7883">
        <w:rPr>
          <w:rFonts w:ascii="Times New Roman" w:hAnsi="Times New Roman" w:cs="Times New Roman"/>
          <w:i/>
          <w:color w:val="000000" w:themeColor="text1"/>
          <w:sz w:val="28"/>
          <w:szCs w:val="28"/>
        </w:rPr>
        <w:t>b</w:t>
      </w:r>
      <w:r w:rsidRPr="00CC7883">
        <w:rPr>
          <w:rFonts w:ascii="Times New Roman" w:hAnsi="Times New Roman" w:cs="Times New Roman"/>
          <w:color w:val="000000" w:themeColor="text1"/>
          <w:sz w:val="28"/>
          <w:szCs w:val="28"/>
        </w:rPr>
        <w:t xml:space="preserve"> дорівнювала 28,78–59,44 %, на суму хлорофілів </w:t>
      </w:r>
      <w:r w:rsidRPr="00CC7883">
        <w:rPr>
          <w:rFonts w:ascii="Times New Roman" w:hAnsi="Times New Roman" w:cs="Times New Roman"/>
          <w:i/>
          <w:color w:val="000000" w:themeColor="text1"/>
          <w:sz w:val="28"/>
          <w:szCs w:val="28"/>
        </w:rPr>
        <w:t>a</w:t>
      </w:r>
      <w:r w:rsidRPr="00CC7883">
        <w:rPr>
          <w:rFonts w:ascii="Times New Roman" w:hAnsi="Times New Roman" w:cs="Times New Roman"/>
          <w:color w:val="000000" w:themeColor="text1"/>
          <w:sz w:val="28"/>
          <w:szCs w:val="28"/>
        </w:rPr>
        <w:t xml:space="preserve"> + </w:t>
      </w:r>
      <w:r w:rsidRPr="00CC7883">
        <w:rPr>
          <w:rFonts w:ascii="Times New Roman" w:hAnsi="Times New Roman" w:cs="Times New Roman"/>
          <w:i/>
          <w:color w:val="000000" w:themeColor="text1"/>
          <w:sz w:val="28"/>
          <w:szCs w:val="28"/>
        </w:rPr>
        <w:t>b</w:t>
      </w:r>
      <w:r w:rsidRPr="00CC7883">
        <w:rPr>
          <w:rFonts w:ascii="Times New Roman" w:hAnsi="Times New Roman" w:cs="Times New Roman"/>
          <w:color w:val="000000" w:themeColor="text1"/>
          <w:sz w:val="28"/>
          <w:szCs w:val="28"/>
        </w:rPr>
        <w:t xml:space="preserve"> – 50,19–81,20 %, на вміст каротиноїдів – 13,41–71,26 %. Частка впливу фактора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і взаємодії </w:t>
      </w:r>
      <w:r w:rsidR="00E57FAC">
        <w:rPr>
          <w:rFonts w:ascii="Times New Roman" w:hAnsi="Times New Roman" w:cs="Times New Roman"/>
          <w:color w:val="000000" w:themeColor="text1"/>
          <w:sz w:val="28"/>
          <w:szCs w:val="28"/>
        </w:rPr>
        <w:t xml:space="preserve">факторів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00E57FAC">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w:t>
      </w:r>
      <w:r w:rsidR="00E57FAC">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тип поживного мінерального </w:t>
      </w:r>
      <w:r w:rsidRPr="00CC7883">
        <w:rPr>
          <w:rFonts w:ascii="Times New Roman" w:hAnsi="Times New Roman" w:cs="Times New Roman"/>
          <w:color w:val="000000" w:themeColor="text1"/>
          <w:sz w:val="28"/>
          <w:szCs w:val="28"/>
        </w:rPr>
        <w:lastRenderedPageBreak/>
        <w:t>субстрату</w:t>
      </w:r>
      <w:r w:rsidR="00E57FAC">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мал</w:t>
      </w:r>
      <w:r w:rsidR="00FC3333">
        <w:rPr>
          <w:rFonts w:ascii="Times New Roman" w:hAnsi="Times New Roman" w:cs="Times New Roman"/>
          <w:color w:val="000000" w:themeColor="text1"/>
          <w:sz w:val="28"/>
          <w:szCs w:val="28"/>
        </w:rPr>
        <w:t>и</w:t>
      </w:r>
      <w:r w:rsidRPr="00CC7883">
        <w:rPr>
          <w:rFonts w:ascii="Times New Roman" w:hAnsi="Times New Roman" w:cs="Times New Roman"/>
          <w:color w:val="000000" w:themeColor="text1"/>
          <w:sz w:val="28"/>
          <w:szCs w:val="28"/>
        </w:rPr>
        <w:t xml:space="preserve"> менше статистичне значення (7,65–17,94 %). Похибка не перевищувала 0,06–2,13 %. </w:t>
      </w:r>
    </w:p>
    <w:p w:rsidR="00571DD8" w:rsidRPr="00CC7883" w:rsidRDefault="00571DD8" w:rsidP="00047411">
      <w:pPr>
        <w:pStyle w:val="a7"/>
        <w:widowControl w:val="0"/>
        <w:numPr>
          <w:ilvl w:val="0"/>
          <w:numId w:val="47"/>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Для більшості показників, які характеризують стан розвитку продихового апарату нижнього епідермісу листкової пластинки (культивування на поживних середовищах), основним фактором впливу був фактор </w:t>
      </w:r>
      <w:r w:rsidR="006613B0">
        <w:rPr>
          <w:rFonts w:ascii="Times New Roman" w:hAnsi="Times New Roman" w:cs="Times New Roman"/>
          <w:color w:val="000000" w:themeColor="text1"/>
          <w:sz w:val="28"/>
          <w:szCs w:val="28"/>
        </w:rPr>
        <w:t>«</w:t>
      </w:r>
      <w:r w:rsidR="006613B0"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Частка його впливу на кількість продихів на 1 мм² листкової пластинки дорівнювала 67,73 %, на довжину і ширину продихів – 70,87–76,37 %, на ширину замикаючих клітин та ширину продихових щілин – 70,15–88,86 %, на площу продихів – 88,86 %. На показник кільк</w:t>
      </w:r>
      <w:r w:rsidR="00FC3333">
        <w:rPr>
          <w:rFonts w:ascii="Times New Roman" w:hAnsi="Times New Roman" w:cs="Times New Roman"/>
          <w:color w:val="000000" w:themeColor="text1"/>
          <w:sz w:val="28"/>
          <w:szCs w:val="28"/>
        </w:rPr>
        <w:t>ості</w:t>
      </w:r>
      <w:r w:rsidRPr="00CC7883">
        <w:rPr>
          <w:rFonts w:ascii="Times New Roman" w:hAnsi="Times New Roman" w:cs="Times New Roman"/>
          <w:color w:val="000000" w:themeColor="text1"/>
          <w:sz w:val="28"/>
          <w:szCs w:val="28"/>
        </w:rPr>
        <w:t xml:space="preserve"> продихів листкової пластинки найбільше впливав фактор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 54,92 %, частка </w:t>
      </w:r>
      <w:r w:rsidR="00D06804" w:rsidRPr="00CC7883">
        <w:rPr>
          <w:rFonts w:ascii="Times New Roman" w:hAnsi="Times New Roman" w:cs="Times New Roman"/>
          <w:color w:val="000000" w:themeColor="text1"/>
          <w:sz w:val="28"/>
          <w:szCs w:val="28"/>
        </w:rPr>
        <w:t>впливу фактор</w:t>
      </w:r>
      <w:r w:rsidR="00D06804">
        <w:rPr>
          <w:rFonts w:ascii="Times New Roman" w:hAnsi="Times New Roman" w:cs="Times New Roman"/>
          <w:color w:val="000000" w:themeColor="text1"/>
          <w:sz w:val="28"/>
          <w:szCs w:val="28"/>
        </w:rPr>
        <w:t>а</w:t>
      </w:r>
      <w:r w:rsidR="00D06804" w:rsidRPr="00CC7883">
        <w:rPr>
          <w:rFonts w:ascii="Times New Roman" w:hAnsi="Times New Roman" w:cs="Times New Roman"/>
          <w:color w:val="000000" w:themeColor="text1"/>
          <w:sz w:val="28"/>
          <w:szCs w:val="28"/>
        </w:rPr>
        <w:t xml:space="preserve"> </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додаткові компоненти</w:t>
      </w:r>
      <w:r w:rsidR="006613B0">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дорівнювала 33,10 %. Частка впливу вмісту фітогормонів для всіх показників не мала статистичного значення (0,61–5,79 %). </w:t>
      </w:r>
    </w:p>
    <w:p w:rsidR="00571DD8" w:rsidRPr="00CC7883" w:rsidRDefault="00571DD8" w:rsidP="00047411">
      <w:pPr>
        <w:widowControl w:val="0"/>
        <w:spacing w:after="0" w:line="360" w:lineRule="auto"/>
        <w:ind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Для досліду, де мікроклони винограду культивували на поживних мінеральних субстратах, більшість анатомічних характеристик продихового апарату формувалися під впливом фактор</w:t>
      </w:r>
      <w:r w:rsidR="00E57FAC">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w:t>
      </w:r>
      <w:r w:rsidR="0000298A">
        <w:rPr>
          <w:rFonts w:ascii="Times New Roman" w:hAnsi="Times New Roman" w:cs="Times New Roman"/>
          <w:color w:val="000000" w:themeColor="text1"/>
          <w:sz w:val="28"/>
          <w:szCs w:val="28"/>
        </w:rPr>
        <w:t>«</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Частка його впливу на кількість продихів на 1 мм² та на площу листкової пластинки знаходилась у межах 49,48–55,83 %, на довжину, ширину продихів – 64,37–73,97 %, на ширину замикаючих клітин, ширину продихової щілини – 39,90–59,18 %, на площу продихів – 71,45 %. Частка </w:t>
      </w:r>
      <w:r w:rsidR="00D06804" w:rsidRPr="00CC7883">
        <w:rPr>
          <w:rFonts w:ascii="Times New Roman" w:hAnsi="Times New Roman" w:cs="Times New Roman"/>
          <w:color w:val="000000" w:themeColor="text1"/>
          <w:sz w:val="28"/>
          <w:szCs w:val="28"/>
        </w:rPr>
        <w:t>впливу фактор</w:t>
      </w:r>
      <w:r w:rsidR="00D06804">
        <w:rPr>
          <w:rFonts w:ascii="Times New Roman" w:hAnsi="Times New Roman" w:cs="Times New Roman"/>
          <w:color w:val="000000" w:themeColor="text1"/>
          <w:sz w:val="28"/>
          <w:szCs w:val="28"/>
        </w:rPr>
        <w:t>а</w:t>
      </w:r>
      <w:r w:rsidR="00D06804" w:rsidRPr="00CC7883">
        <w:rPr>
          <w:rFonts w:ascii="Times New Roman" w:hAnsi="Times New Roman" w:cs="Times New Roman"/>
          <w:color w:val="000000" w:themeColor="text1"/>
          <w:sz w:val="28"/>
          <w:szCs w:val="28"/>
        </w:rPr>
        <w:t xml:space="preserve">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і взаємодії факторів дорівнювала 5,12–43,01 %, похибка для більшості показників не перевищувала 0,08–6,91 %. </w:t>
      </w:r>
    </w:p>
    <w:p w:rsidR="00571DD8" w:rsidRPr="00CC7883" w:rsidRDefault="00571DD8" w:rsidP="00047411">
      <w:pPr>
        <w:pStyle w:val="a7"/>
        <w:widowControl w:val="0"/>
        <w:numPr>
          <w:ilvl w:val="0"/>
          <w:numId w:val="47"/>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Приживлюваність мікроклонів винограду</w:t>
      </w:r>
      <w:r w:rsidR="007033B7">
        <w:rPr>
          <w:rFonts w:ascii="Times New Roman" w:hAnsi="Times New Roman" w:cs="Times New Roman"/>
          <w:color w:val="000000" w:themeColor="text1"/>
          <w:sz w:val="28"/>
          <w:szCs w:val="28"/>
        </w:rPr>
        <w:t xml:space="preserve">, які культивували </w:t>
      </w:r>
      <w:r w:rsidR="007033B7" w:rsidRPr="007033B7">
        <w:rPr>
          <w:rFonts w:ascii="Times New Roman" w:hAnsi="Times New Roman" w:cs="Times New Roman"/>
          <w:i/>
          <w:iCs/>
          <w:color w:val="000000" w:themeColor="text1"/>
          <w:sz w:val="28"/>
          <w:szCs w:val="28"/>
          <w:lang w:val="en-US"/>
        </w:rPr>
        <w:t>in</w:t>
      </w:r>
      <w:r w:rsidR="007033B7" w:rsidRPr="00F62136">
        <w:rPr>
          <w:rFonts w:ascii="Times New Roman" w:hAnsi="Times New Roman" w:cs="Times New Roman"/>
          <w:i/>
          <w:iCs/>
          <w:color w:val="000000" w:themeColor="text1"/>
          <w:sz w:val="28"/>
          <w:szCs w:val="28"/>
        </w:rPr>
        <w:t xml:space="preserve"> </w:t>
      </w:r>
      <w:r w:rsidR="007033B7" w:rsidRPr="007033B7">
        <w:rPr>
          <w:rFonts w:ascii="Times New Roman" w:hAnsi="Times New Roman" w:cs="Times New Roman"/>
          <w:i/>
          <w:iCs/>
          <w:color w:val="000000" w:themeColor="text1"/>
          <w:sz w:val="28"/>
          <w:szCs w:val="28"/>
          <w:lang w:val="en-US"/>
        </w:rPr>
        <w:t>vitro</w:t>
      </w:r>
      <w:r w:rsidR="007033B7"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в умовах </w:t>
      </w:r>
      <w:r w:rsidR="00894C28" w:rsidRPr="00CC7883">
        <w:rPr>
          <w:rFonts w:ascii="Times New Roman" w:eastAsia="NSimSun" w:hAnsi="Times New Roman" w:cs="Times New Roman"/>
          <w:i/>
          <w:iCs/>
          <w:color w:val="000000" w:themeColor="text1"/>
          <w:kern w:val="3"/>
          <w:sz w:val="28"/>
          <w:szCs w:val="28"/>
        </w:rPr>
        <w:t>in vivo</w:t>
      </w:r>
      <w:r w:rsidR="00894C28"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(яку визначали через 30, 60 і 90 діб), за схемою першого досліду залежала</w:t>
      </w:r>
      <w:r w:rsidR="00B14793"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від фактор</w:t>
      </w:r>
      <w:r w:rsidR="009F153E">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w:t>
      </w:r>
      <w:r w:rsidR="00E57FAC">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додаткові </w:t>
      </w:r>
      <w:r w:rsidR="00776C19">
        <w:rPr>
          <w:rFonts w:ascii="Times New Roman" w:hAnsi="Times New Roman" w:cs="Times New Roman"/>
          <w:color w:val="000000" w:themeColor="text1"/>
          <w:sz w:val="28"/>
          <w:szCs w:val="28"/>
        </w:rPr>
        <w:t>компоненти</w:t>
      </w:r>
      <w:r w:rsidR="00E57FAC">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Такий вплив був на рівні 63,42–80,40 %. Частка впливу фактор</w:t>
      </w:r>
      <w:r w:rsidR="00D06804">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w:t>
      </w:r>
      <w:r w:rsidR="00E57FAC">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вміст фітогормонів</w:t>
      </w:r>
      <w:r w:rsidR="00E57FAC">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дорівнювала</w:t>
      </w:r>
      <w:r w:rsidR="00B14793"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10,14–18,14 %. Частка впливу фактор</w:t>
      </w:r>
      <w:r w:rsidR="00D06804">
        <w:rPr>
          <w:rFonts w:ascii="Times New Roman" w:hAnsi="Times New Roman" w:cs="Times New Roman"/>
          <w:color w:val="000000" w:themeColor="text1"/>
          <w:sz w:val="28"/>
          <w:szCs w:val="28"/>
        </w:rPr>
        <w:t>а</w:t>
      </w:r>
      <w:r w:rsidRPr="00CC7883">
        <w:rPr>
          <w:rFonts w:ascii="Times New Roman" w:hAnsi="Times New Roman" w:cs="Times New Roman"/>
          <w:color w:val="000000" w:themeColor="text1"/>
          <w:sz w:val="28"/>
          <w:szCs w:val="28"/>
        </w:rPr>
        <w:t xml:space="preserve">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була на рівні 1,63–5,62 %. Частка впливу взаємодії факторів</w:t>
      </w:r>
      <w:r w:rsidR="00B14793"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змінювалась в межах 0,91–6,96 %. Похибка не перевищувала 0,72 %.</w:t>
      </w:r>
    </w:p>
    <w:p w:rsidR="00571DD8" w:rsidRPr="00CC7883" w:rsidRDefault="007033B7" w:rsidP="00047411">
      <w:pPr>
        <w:pStyle w:val="a7"/>
        <w:widowControl w:val="0"/>
        <w:spacing w:after="0" w:line="360" w:lineRule="auto"/>
        <w:ind w:left="0"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Приживлюваність мікроклонів винограду</w:t>
      </w:r>
      <w:r>
        <w:rPr>
          <w:rFonts w:ascii="Times New Roman" w:hAnsi="Times New Roman" w:cs="Times New Roman"/>
          <w:color w:val="000000" w:themeColor="text1"/>
          <w:sz w:val="28"/>
          <w:szCs w:val="28"/>
        </w:rPr>
        <w:t xml:space="preserve">, які культивували </w:t>
      </w:r>
      <w:r w:rsidRPr="007033B7">
        <w:rPr>
          <w:rFonts w:ascii="Times New Roman" w:hAnsi="Times New Roman" w:cs="Times New Roman"/>
          <w:i/>
          <w:iCs/>
          <w:color w:val="000000" w:themeColor="text1"/>
          <w:sz w:val="28"/>
          <w:szCs w:val="28"/>
          <w:lang w:val="en-US"/>
        </w:rPr>
        <w:t>in</w:t>
      </w:r>
      <w:r w:rsidRPr="00F62136">
        <w:rPr>
          <w:rFonts w:ascii="Times New Roman" w:hAnsi="Times New Roman" w:cs="Times New Roman"/>
          <w:i/>
          <w:iCs/>
          <w:color w:val="000000" w:themeColor="text1"/>
          <w:sz w:val="28"/>
          <w:szCs w:val="28"/>
        </w:rPr>
        <w:t xml:space="preserve"> </w:t>
      </w:r>
      <w:r w:rsidRPr="007033B7">
        <w:rPr>
          <w:rFonts w:ascii="Times New Roman" w:hAnsi="Times New Roman" w:cs="Times New Roman"/>
          <w:i/>
          <w:iCs/>
          <w:color w:val="000000" w:themeColor="text1"/>
          <w:sz w:val="28"/>
          <w:szCs w:val="28"/>
          <w:lang w:val="en-US"/>
        </w:rPr>
        <w:t>vitro</w:t>
      </w:r>
      <w:r w:rsidRPr="00F62136">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в </w:t>
      </w:r>
      <w:r w:rsidRPr="00CC7883">
        <w:rPr>
          <w:rFonts w:ascii="Times New Roman" w:hAnsi="Times New Roman" w:cs="Times New Roman"/>
          <w:color w:val="000000" w:themeColor="text1"/>
          <w:sz w:val="28"/>
          <w:szCs w:val="28"/>
        </w:rPr>
        <w:lastRenderedPageBreak/>
        <w:t xml:space="preserve">умовах </w:t>
      </w:r>
      <w:r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szCs w:val="28"/>
        </w:rPr>
        <w:t xml:space="preserve"> (яку визначали через 30, 60 і 90 діб), </w:t>
      </w:r>
      <w:r w:rsidR="00571DD8" w:rsidRPr="00CC7883">
        <w:rPr>
          <w:rFonts w:ascii="Times New Roman" w:hAnsi="Times New Roman" w:cs="Times New Roman"/>
          <w:color w:val="000000" w:themeColor="text1"/>
          <w:sz w:val="28"/>
          <w:szCs w:val="28"/>
        </w:rPr>
        <w:t>за схемою другого досліду на</w:t>
      </w:r>
      <w:r w:rsidR="00B14793" w:rsidRPr="00CC7883">
        <w:rPr>
          <w:rFonts w:ascii="Times New Roman" w:hAnsi="Times New Roman" w:cs="Times New Roman"/>
          <w:color w:val="000000" w:themeColor="text1"/>
          <w:sz w:val="28"/>
          <w:szCs w:val="28"/>
        </w:rPr>
        <w:t xml:space="preserve"> </w:t>
      </w:r>
      <w:r w:rsidR="00571DD8" w:rsidRPr="00CC7883">
        <w:rPr>
          <w:rFonts w:ascii="Times New Roman" w:hAnsi="Times New Roman" w:cs="Times New Roman"/>
          <w:color w:val="000000" w:themeColor="text1"/>
          <w:sz w:val="28"/>
          <w:szCs w:val="28"/>
        </w:rPr>
        <w:t>79,06–98,00 % залежала від фактор</w:t>
      </w:r>
      <w:r w:rsidR="009F153E">
        <w:rPr>
          <w:rFonts w:ascii="Times New Roman" w:hAnsi="Times New Roman" w:cs="Times New Roman"/>
          <w:color w:val="000000" w:themeColor="text1"/>
          <w:sz w:val="28"/>
          <w:szCs w:val="28"/>
        </w:rPr>
        <w:t>а</w:t>
      </w:r>
      <w:r w:rsidR="00571DD8" w:rsidRPr="00CC7883">
        <w:rPr>
          <w:rFonts w:ascii="Times New Roman" w:hAnsi="Times New Roman" w:cs="Times New Roman"/>
          <w:color w:val="000000" w:themeColor="text1"/>
          <w:sz w:val="28"/>
          <w:szCs w:val="28"/>
        </w:rPr>
        <w:t xml:space="preserve"> </w:t>
      </w:r>
      <w:r w:rsidR="0000298A">
        <w:rPr>
          <w:rFonts w:ascii="Times New Roman" w:hAnsi="Times New Roman" w:cs="Times New Roman"/>
          <w:color w:val="000000" w:themeColor="text1"/>
          <w:sz w:val="28"/>
          <w:szCs w:val="28"/>
        </w:rPr>
        <w:t>«</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00571DD8" w:rsidRPr="00CC7883">
        <w:rPr>
          <w:rFonts w:ascii="Times New Roman" w:hAnsi="Times New Roman" w:cs="Times New Roman"/>
          <w:color w:val="000000" w:themeColor="text1"/>
          <w:sz w:val="28"/>
          <w:szCs w:val="28"/>
        </w:rPr>
        <w:t xml:space="preserve">. Частка впливу сорту винограду дорівнювала 0,86–12,14 %. Частка впливу взаємодії </w:t>
      </w:r>
      <w:r w:rsidR="0000298A">
        <w:rPr>
          <w:rFonts w:ascii="Times New Roman" w:hAnsi="Times New Roman" w:cs="Times New Roman"/>
          <w:color w:val="000000" w:themeColor="text1"/>
          <w:sz w:val="28"/>
          <w:szCs w:val="28"/>
        </w:rPr>
        <w:t xml:space="preserve">факторів </w:t>
      </w:r>
      <w:r w:rsidR="002B7A02">
        <w:rPr>
          <w:rFonts w:ascii="Times New Roman" w:hAnsi="Times New Roman" w:cs="Times New Roman"/>
          <w:color w:val="000000" w:themeColor="text1"/>
          <w:sz w:val="28"/>
          <w:szCs w:val="28"/>
        </w:rPr>
        <w:t>«</w:t>
      </w:r>
      <w:r w:rsidR="002B7A02" w:rsidRPr="00CC7883">
        <w:rPr>
          <w:rFonts w:ascii="Times New Roman" w:hAnsi="Times New Roman" w:cs="Times New Roman"/>
          <w:color w:val="000000" w:themeColor="text1"/>
          <w:sz w:val="28"/>
          <w:szCs w:val="28"/>
        </w:rPr>
        <w:t>сорт винограду</w:t>
      </w:r>
      <w:r w:rsidR="002B7A02">
        <w:rPr>
          <w:rFonts w:ascii="Times New Roman" w:hAnsi="Times New Roman" w:cs="Times New Roman"/>
          <w:color w:val="000000" w:themeColor="text1"/>
          <w:sz w:val="28"/>
          <w:szCs w:val="28"/>
        </w:rPr>
        <w:t>»</w:t>
      </w:r>
      <w:r w:rsidR="00571DD8" w:rsidRPr="00CC7883">
        <w:rPr>
          <w:rFonts w:ascii="Times New Roman" w:hAnsi="Times New Roman" w:cs="Times New Roman"/>
          <w:color w:val="000000" w:themeColor="text1"/>
          <w:sz w:val="28"/>
          <w:szCs w:val="28"/>
        </w:rPr>
        <w:t xml:space="preserve"> × </w:t>
      </w:r>
      <w:r w:rsidR="0000298A">
        <w:rPr>
          <w:rFonts w:ascii="Times New Roman" w:hAnsi="Times New Roman" w:cs="Times New Roman"/>
          <w:color w:val="000000" w:themeColor="text1"/>
          <w:sz w:val="28"/>
          <w:szCs w:val="28"/>
        </w:rPr>
        <w:t>«</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00571DD8" w:rsidRPr="00CC7883">
        <w:rPr>
          <w:rFonts w:ascii="Times New Roman" w:hAnsi="Times New Roman" w:cs="Times New Roman"/>
          <w:color w:val="000000" w:themeColor="text1"/>
          <w:sz w:val="28"/>
          <w:szCs w:val="28"/>
        </w:rPr>
        <w:t xml:space="preserve"> не перевищувала 8,72 %, похибка була на рівні 0,03–0,08 %.</w:t>
      </w:r>
    </w:p>
    <w:p w:rsidR="00092472" w:rsidRPr="00CC7883" w:rsidRDefault="00092472" w:rsidP="00047411">
      <w:pPr>
        <w:widowControl w:val="0"/>
        <w:rPr>
          <w:rFonts w:ascii="Times New Roman" w:eastAsia="Times New Roman" w:hAnsi="Times New Roman" w:cs="Times New Roman"/>
          <w:color w:val="000000" w:themeColor="text1"/>
          <w:kern w:val="0"/>
          <w:sz w:val="28"/>
          <w:szCs w:val="28"/>
          <w:lang w:eastAsia="uk-UA"/>
        </w:rPr>
      </w:pPr>
    </w:p>
    <w:p w:rsidR="009B1361" w:rsidRPr="00CC7883" w:rsidRDefault="009B1361" w:rsidP="00047411">
      <w:pPr>
        <w:widowControl w:val="0"/>
        <w:spacing w:after="0" w:line="360" w:lineRule="auto"/>
        <w:jc w:val="center"/>
        <w:rPr>
          <w:rFonts w:ascii="Times New Roman" w:hAnsi="Times New Roman" w:cs="Times New Roman"/>
          <w:b/>
          <w:bCs/>
          <w:color w:val="000000" w:themeColor="text1"/>
          <w:sz w:val="28"/>
          <w:szCs w:val="28"/>
        </w:rPr>
        <w:sectPr w:rsidR="009B1361" w:rsidRPr="00CC7883" w:rsidSect="000B41B9">
          <w:headerReference w:type="default" r:id="rId189"/>
          <w:pgSz w:w="11906" w:h="16838" w:code="9"/>
          <w:pgMar w:top="1134" w:right="851" w:bottom="1134" w:left="1701" w:header="709" w:footer="709" w:gutter="0"/>
          <w:cols w:space="708"/>
          <w:docGrid w:linePitch="360"/>
        </w:sectPr>
      </w:pPr>
    </w:p>
    <w:p w:rsidR="009B1361" w:rsidRPr="00CC7883" w:rsidRDefault="009B1361" w:rsidP="00047411">
      <w:pPr>
        <w:widowControl w:val="0"/>
        <w:spacing w:after="0" w:line="360" w:lineRule="auto"/>
        <w:jc w:val="center"/>
        <w:outlineLvl w:val="0"/>
        <w:rPr>
          <w:rFonts w:ascii="Times New Roman" w:hAnsi="Times New Roman" w:cs="Times New Roman"/>
          <w:b/>
          <w:color w:val="000000" w:themeColor="text1"/>
          <w:sz w:val="28"/>
        </w:rPr>
      </w:pPr>
      <w:bookmarkStart w:id="119" w:name="_Toc220058966"/>
      <w:r w:rsidRPr="00CC7883">
        <w:rPr>
          <w:rFonts w:ascii="Times New Roman" w:hAnsi="Times New Roman" w:cs="Times New Roman"/>
          <w:b/>
          <w:color w:val="000000" w:themeColor="text1"/>
          <w:sz w:val="28"/>
        </w:rPr>
        <w:lastRenderedPageBreak/>
        <w:t>РОЗДІЛ 9</w:t>
      </w:r>
      <w:bookmarkEnd w:id="119"/>
    </w:p>
    <w:p w:rsidR="00340159" w:rsidRPr="00CC7883" w:rsidRDefault="009B1361" w:rsidP="00047411">
      <w:pPr>
        <w:widowControl w:val="0"/>
        <w:spacing w:after="0" w:line="360" w:lineRule="auto"/>
        <w:jc w:val="center"/>
        <w:outlineLvl w:val="0"/>
        <w:rPr>
          <w:rFonts w:ascii="Times New Roman" w:hAnsi="Times New Roman" w:cs="Times New Roman"/>
          <w:b/>
          <w:bCs/>
          <w:i/>
          <w:caps/>
          <w:color w:val="000000" w:themeColor="text1"/>
          <w:sz w:val="28"/>
          <w:szCs w:val="28"/>
          <w:lang w:eastAsia="uk-UA" w:bidi="uk-UA"/>
        </w:rPr>
      </w:pPr>
      <w:bookmarkStart w:id="120" w:name="_Toc220058967"/>
      <w:r w:rsidRPr="00CC7883">
        <w:rPr>
          <w:rFonts w:ascii="Times New Roman" w:hAnsi="Times New Roman" w:cs="Times New Roman"/>
          <w:b/>
          <w:color w:val="000000" w:themeColor="text1"/>
          <w:sz w:val="28"/>
        </w:rPr>
        <w:t xml:space="preserve">ЕКОНОМІЧНА ЕФЕКТИВНІСТЬ УДОСКОНАЛЕНИХ </w:t>
      </w:r>
      <w:r w:rsidRPr="00CC7883">
        <w:rPr>
          <w:rFonts w:ascii="Times New Roman" w:hAnsi="Times New Roman" w:cs="Times New Roman"/>
          <w:b/>
          <w:bCs/>
          <w:caps/>
          <w:color w:val="000000" w:themeColor="text1"/>
          <w:sz w:val="28"/>
          <w:szCs w:val="28"/>
          <w:lang w:eastAsia="uk-UA" w:bidi="uk-UA"/>
        </w:rPr>
        <w:t>технологічних прийомів культивування винограду</w:t>
      </w:r>
      <w:bookmarkEnd w:id="120"/>
    </w:p>
    <w:p w:rsidR="009B1361" w:rsidRPr="00CC7883" w:rsidRDefault="009B1361" w:rsidP="00047411">
      <w:pPr>
        <w:widowControl w:val="0"/>
        <w:spacing w:after="0" w:line="360" w:lineRule="auto"/>
        <w:jc w:val="center"/>
        <w:outlineLvl w:val="0"/>
        <w:rPr>
          <w:rFonts w:ascii="Times New Roman" w:hAnsi="Times New Roman" w:cs="Times New Roman"/>
          <w:b/>
          <w:caps/>
          <w:color w:val="000000" w:themeColor="text1"/>
          <w:sz w:val="28"/>
        </w:rPr>
      </w:pPr>
      <w:bookmarkStart w:id="121" w:name="_Toc220058968"/>
      <w:r w:rsidRPr="00CC7883">
        <w:rPr>
          <w:rFonts w:ascii="Times New Roman" w:hAnsi="Times New Roman" w:cs="Times New Roman"/>
          <w:b/>
          <w:bCs/>
          <w:i/>
          <w:caps/>
          <w:color w:val="000000" w:themeColor="text1"/>
          <w:sz w:val="28"/>
          <w:szCs w:val="28"/>
          <w:lang w:eastAsia="uk-UA" w:bidi="uk-UA"/>
        </w:rPr>
        <w:t>in</w:t>
      </w:r>
      <w:r w:rsidR="00F5525C" w:rsidRPr="00CC7883">
        <w:rPr>
          <w:rFonts w:ascii="Times New Roman" w:hAnsi="Times New Roman" w:cs="Times New Roman"/>
          <w:b/>
          <w:bCs/>
          <w:i/>
          <w:caps/>
          <w:color w:val="000000" w:themeColor="text1"/>
          <w:sz w:val="28"/>
          <w:szCs w:val="28"/>
          <w:lang w:eastAsia="uk-UA" w:bidi="uk-UA"/>
        </w:rPr>
        <w:t> </w:t>
      </w:r>
      <w:r w:rsidRPr="00CC7883">
        <w:rPr>
          <w:rFonts w:ascii="Times New Roman" w:hAnsi="Times New Roman" w:cs="Times New Roman"/>
          <w:b/>
          <w:bCs/>
          <w:i/>
          <w:caps/>
          <w:color w:val="000000" w:themeColor="text1"/>
          <w:sz w:val="28"/>
          <w:szCs w:val="28"/>
          <w:lang w:eastAsia="uk-UA" w:bidi="uk-UA"/>
        </w:rPr>
        <w:t>vitro</w:t>
      </w:r>
      <w:bookmarkEnd w:id="121"/>
    </w:p>
    <w:p w:rsidR="009B1361" w:rsidRPr="00CC7883" w:rsidRDefault="009B1361" w:rsidP="00047411">
      <w:pPr>
        <w:widowControl w:val="0"/>
        <w:spacing w:after="0" w:line="360" w:lineRule="auto"/>
        <w:jc w:val="center"/>
        <w:rPr>
          <w:rFonts w:ascii="Times New Roman" w:hAnsi="Times New Roman" w:cs="Times New Roman"/>
          <w:color w:val="000000" w:themeColor="text1"/>
          <w:sz w:val="28"/>
        </w:rPr>
      </w:pPr>
    </w:p>
    <w:p w:rsidR="009B1361" w:rsidRPr="00CC7883" w:rsidRDefault="009B1361"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Економічна оцінка удосконалених методів культивування винограду</w:t>
      </w:r>
      <w:r w:rsidR="00F5525C" w:rsidRPr="00CC7883">
        <w:rPr>
          <w:rFonts w:ascii="Times New Roman" w:hAnsi="Times New Roman" w:cs="Times New Roman"/>
          <w:i/>
          <w:iCs/>
          <w:color w:val="000000" w:themeColor="text1"/>
          <w:sz w:val="28"/>
          <w:szCs w:val="28"/>
        </w:rPr>
        <w:t xml:space="preserve"> in vitro</w:t>
      </w:r>
      <w:r w:rsidRPr="00CC7883">
        <w:rPr>
          <w:rFonts w:ascii="Times New Roman" w:hAnsi="Times New Roman" w:cs="Times New Roman"/>
          <w:color w:val="000000" w:themeColor="text1"/>
          <w:sz w:val="28"/>
        </w:rPr>
        <w:t xml:space="preserve"> є важливою складовою роботи, оскільки </w:t>
      </w:r>
      <w:r w:rsidR="006A794C">
        <w:rPr>
          <w:rFonts w:ascii="Times New Roman" w:hAnsi="Times New Roman" w:cs="Times New Roman"/>
          <w:color w:val="000000" w:themeColor="text1"/>
          <w:sz w:val="28"/>
        </w:rPr>
        <w:t>дає змогу не лише</w:t>
      </w:r>
      <w:r w:rsidRPr="00CC7883">
        <w:rPr>
          <w:rFonts w:ascii="Times New Roman" w:hAnsi="Times New Roman" w:cs="Times New Roman"/>
          <w:color w:val="000000" w:themeColor="text1"/>
          <w:sz w:val="28"/>
        </w:rPr>
        <w:t xml:space="preserve"> встановити біологічний ефект, а й показати, наскільки ці рішення виправдані </w:t>
      </w:r>
      <w:r w:rsidR="00BA2655">
        <w:rPr>
          <w:rFonts w:ascii="Times New Roman" w:hAnsi="Times New Roman" w:cs="Times New Roman"/>
          <w:color w:val="000000" w:themeColor="text1"/>
          <w:sz w:val="28"/>
        </w:rPr>
        <w:t>з погляду на виробництво</w:t>
      </w:r>
      <w:r w:rsidRPr="00CC7883">
        <w:rPr>
          <w:rFonts w:ascii="Times New Roman" w:hAnsi="Times New Roman" w:cs="Times New Roman"/>
          <w:color w:val="000000" w:themeColor="text1"/>
          <w:sz w:val="28"/>
        </w:rPr>
        <w:t xml:space="preserve">. </w:t>
      </w:r>
    </w:p>
    <w:p w:rsidR="009B1361" w:rsidRPr="00CC7883" w:rsidRDefault="009B1361"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Економічну ефективність оцінювали з розрахунку вирощування 1000 адаптованих мікроклонів винограду сортів «Добриня», «Гарант», «Ярило», «Загрей» для кожного варіанту. При цьому враховували загальні виробничі витрати, собівартість одержаних адаптованих мікроклонів, величину прибутку та рівень рентабельності процесу культивування винограду вищевказаних сортів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s="Times New Roman"/>
          <w:i/>
          <w:color w:val="000000" w:themeColor="text1"/>
          <w:sz w:val="28"/>
        </w:rPr>
        <w:t xml:space="preserve"> </w:t>
      </w:r>
      <w:r w:rsidRPr="00CC7883">
        <w:rPr>
          <w:rFonts w:ascii="Times New Roman" w:hAnsi="Times New Roman" w:cs="Times New Roman"/>
          <w:color w:val="000000" w:themeColor="text1"/>
          <w:sz w:val="28"/>
        </w:rPr>
        <w:t>та</w:t>
      </w:r>
      <w:r w:rsidRPr="00CC7883">
        <w:rPr>
          <w:rFonts w:ascii="Times New Roman" w:hAnsi="Times New Roman" w:cs="Times New Roman"/>
          <w:i/>
          <w:color w:val="000000" w:themeColor="text1"/>
          <w:sz w:val="28"/>
        </w:rPr>
        <w:t xml:space="preserve"> </w:t>
      </w:r>
      <w:r w:rsidR="00681BB9"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xml:space="preserve">. </w:t>
      </w:r>
    </w:p>
    <w:p w:rsidR="009B1361" w:rsidRPr="00CC7883" w:rsidRDefault="009B1361"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Оскільки приживлюваність мікроклонів винограду в умовах </w:t>
      </w:r>
      <w:r w:rsidR="00681BB9"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xml:space="preserve"> визначали через 30, 60 та 90 діб, то і основні економічні показники розраховували для рослин, що приживалися у ці терміни. Це дало змогу простежити, як змінюється економічний результат залежно від прийнятого технологічного рішення.</w:t>
      </w:r>
    </w:p>
    <w:p w:rsidR="009B1361" w:rsidRPr="00CC7883" w:rsidRDefault="009B1361"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Приживлюваність мікроклонів винограду фактично визначає економічний результат усієї технології. Чим нижча приживлюваність, тим дорожчою буде кожна отримана рослина і тим меншим буде чистий прибуток і рентабельність. Саме тому економічні показники розраховували окремо для 30-, 60- та 90-денного періоду адаптації – це дає змогу чітко простежити, як знижується або зростає ефективність технологічного прийому, залежно від приживлюваності мікроклонів.</w:t>
      </w:r>
    </w:p>
    <w:p w:rsidR="009B1361" w:rsidRPr="00CC7883" w:rsidRDefault="009B1361"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i/>
          <w:color w:val="000000" w:themeColor="text1"/>
          <w:sz w:val="28"/>
        </w:rPr>
        <w:t>Витрати на одержання адаптованих мікроклонів</w:t>
      </w:r>
      <w:r w:rsidRPr="00CC7883">
        <w:rPr>
          <w:rFonts w:ascii="Times New Roman" w:hAnsi="Times New Roman" w:cs="Times New Roman"/>
          <w:color w:val="000000" w:themeColor="text1"/>
          <w:sz w:val="28"/>
        </w:rPr>
        <w:t xml:space="preserve">. Основну частку становили витрати на приготування поживних середовищ (приблизно 20000,0–21600,0 грн), що цілком закономірно, адже саме поживне </w:t>
      </w:r>
      <w:r w:rsidRPr="00CC7883">
        <w:rPr>
          <w:rFonts w:ascii="Times New Roman" w:hAnsi="Times New Roman" w:cs="Times New Roman"/>
          <w:color w:val="000000" w:themeColor="text1"/>
          <w:sz w:val="28"/>
        </w:rPr>
        <w:lastRenderedPageBreak/>
        <w:t xml:space="preserve">середовище задає базову собівартість у культурі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rPr>
        <w:t xml:space="preserve"> і не залежить від того, наскільки успішно рослини пройдуть подальшу адаптацію. Значними були також витрати на енергоносії (11139,0 грн), пов’язані з підтриманням температурного режиму та освітлення в культуральних боксах, адаптаційних кімнатах, трудові витрати (6500,0 грн) та витрати на введення ініціальних експлантів у культуру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rPr>
        <w:t xml:space="preserve"> та їх мікророзмноження (1500,0 грн) (</w:t>
      </w:r>
      <w:r w:rsidR="00DC4415" w:rsidRPr="00CC7883">
        <w:rPr>
          <w:rFonts w:ascii="Times New Roman" w:hAnsi="Times New Roman" w:cs="Times New Roman"/>
          <w:color w:val="000000" w:themeColor="text1"/>
          <w:sz w:val="28"/>
          <w:szCs w:val="28"/>
        </w:rPr>
        <w:t xml:space="preserve">табл. </w:t>
      </w:r>
      <w:r w:rsidR="0020514E">
        <w:rPr>
          <w:rFonts w:ascii="Times New Roman" w:hAnsi="Times New Roman" w:cs="Times New Roman"/>
          <w:color w:val="000000" w:themeColor="text1"/>
          <w:sz w:val="28"/>
        </w:rPr>
        <w:t>9</w:t>
      </w:r>
      <w:r w:rsidRPr="00CC7883">
        <w:rPr>
          <w:rFonts w:ascii="Times New Roman" w:hAnsi="Times New Roman" w:cs="Times New Roman"/>
          <w:color w:val="000000" w:themeColor="text1"/>
          <w:sz w:val="28"/>
        </w:rPr>
        <w:t>.1</w:t>
      </w:r>
      <w:r w:rsidR="003E4136">
        <w:rPr>
          <w:rFonts w:ascii="Times New Roman" w:hAnsi="Times New Roman" w:cs="Times New Roman"/>
          <w:color w:val="000000" w:themeColor="text1"/>
          <w:sz w:val="28"/>
        </w:rPr>
        <w:t xml:space="preserve">, </w:t>
      </w:r>
      <w:r w:rsidR="00DC4415" w:rsidRPr="00CC7883">
        <w:rPr>
          <w:rFonts w:ascii="Times New Roman" w:hAnsi="Times New Roman" w:cs="Times New Roman"/>
          <w:color w:val="000000" w:themeColor="text1"/>
          <w:sz w:val="28"/>
        </w:rPr>
        <w:t>д</w:t>
      </w:r>
      <w:r w:rsidRPr="00CC7883">
        <w:rPr>
          <w:rFonts w:ascii="Times New Roman" w:hAnsi="Times New Roman" w:cs="Times New Roman"/>
          <w:color w:val="000000" w:themeColor="text1"/>
          <w:sz w:val="28"/>
        </w:rPr>
        <w:t xml:space="preserve">одаток </w:t>
      </w:r>
      <w:r w:rsidR="00BF1869" w:rsidRPr="00CC7883">
        <w:rPr>
          <w:rFonts w:ascii="Times New Roman" w:hAnsi="Times New Roman" w:cs="Times New Roman"/>
          <w:color w:val="000000" w:themeColor="text1"/>
          <w:sz w:val="28"/>
        </w:rPr>
        <w:t>Д</w:t>
      </w:r>
      <w:r w:rsidR="006A0234">
        <w:rPr>
          <w:rFonts w:ascii="Times New Roman" w:hAnsi="Times New Roman" w:cs="Times New Roman"/>
          <w:color w:val="000000" w:themeColor="text1"/>
          <w:sz w:val="28"/>
        </w:rPr>
        <w:t>.</w:t>
      </w:r>
      <w:r w:rsidR="003E4136">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1–Д.</w:t>
      </w:r>
      <w:r w:rsidR="003E4136">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3</w:t>
      </w:r>
      <w:r w:rsidRPr="00CC7883">
        <w:rPr>
          <w:rFonts w:ascii="Times New Roman" w:hAnsi="Times New Roman" w:cs="Times New Roman"/>
          <w:color w:val="000000" w:themeColor="text1"/>
          <w:sz w:val="28"/>
        </w:rPr>
        <w:t xml:space="preserve">). </w:t>
      </w:r>
    </w:p>
    <w:p w:rsidR="001E0F9C" w:rsidRPr="00CC7883" w:rsidRDefault="001E0F9C"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Змінними були витрати на вартість компонентів, які додавали до поживних середовищ. Так, на прикладі сорту «Добриня» показано, що у варіантах, де до поживного середовища додавали біологічно активні препарати</w:t>
      </w:r>
      <w:r w:rsidR="00654524">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загальні витрати дорівнювали 1110,0 грн та 250,3 грн (вартість препаратів Радіфарм і Clonex gel), у варіантах, де до поживного середовища додавали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004C5062" w:rsidRPr="00CC7883">
        <w:rPr>
          <w:rFonts w:ascii="Times New Roman" w:eastAsia="Times New Roman" w:hAnsi="Times New Roman" w:cs="Times New Roman"/>
          <w:color w:val="000000" w:themeColor="text1"/>
          <w:sz w:val="28"/>
          <w:szCs w:val="28"/>
          <w:lang w:eastAsia="ru-RU"/>
        </w:rPr>
        <w:t>і</w:t>
      </w:r>
      <w:r w:rsidR="004C5062"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компоненти, відповідно – 130,2 грн, 90,4 грн і 220,6</w:t>
      </w:r>
      <w:r w:rsidR="000715A3" w:rsidRPr="00CC7883">
        <w:rPr>
          <w:rFonts w:ascii="Times New Roman" w:hAnsi="Times New Roman" w:cs="Times New Roman"/>
          <w:color w:val="000000" w:themeColor="text1"/>
          <w:sz w:val="28"/>
        </w:rPr>
        <w:t> </w:t>
      </w:r>
      <w:r w:rsidRPr="00CC7883">
        <w:rPr>
          <w:rFonts w:ascii="Times New Roman" w:hAnsi="Times New Roman" w:cs="Times New Roman"/>
          <w:color w:val="000000" w:themeColor="text1"/>
          <w:sz w:val="28"/>
        </w:rPr>
        <w:t xml:space="preserve">грн (вартість мінеральних компонентів </w:t>
      </w:r>
      <w:r w:rsidR="00654524">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 xml:space="preserve">агроперліт, вермикуліт та агроперліт + вермикуліт). У підсумку сукупні витрати були у межах 39139,0–40739,0 грн для контрольних варіантів, </w:t>
      </w:r>
      <w:r w:rsidRPr="00CC7883">
        <w:rPr>
          <w:rFonts w:ascii="Times New Roman" w:hAnsi="Times New Roman" w:cs="Times New Roman"/>
          <w:bCs/>
          <w:color w:val="000000" w:themeColor="text1"/>
          <w:sz w:val="28"/>
        </w:rPr>
        <w:t>39389,3–41849,2</w:t>
      </w:r>
      <w:r w:rsidRPr="00CC7883">
        <w:rPr>
          <w:rFonts w:ascii="Times New Roman" w:hAnsi="Times New Roman" w:cs="Times New Roman"/>
          <w:color w:val="000000" w:themeColor="text1"/>
          <w:sz w:val="28"/>
        </w:rPr>
        <w:t xml:space="preserve"> грн для варіантів із БАП та </w:t>
      </w:r>
      <w:r w:rsidRPr="00CC7883">
        <w:rPr>
          <w:rFonts w:ascii="Times New Roman" w:hAnsi="Times New Roman" w:cs="Times New Roman"/>
          <w:bCs/>
          <w:color w:val="000000" w:themeColor="text1"/>
          <w:sz w:val="28"/>
        </w:rPr>
        <w:t xml:space="preserve">39229,4–40959,6 грн для варіантів із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hAnsi="Times New Roman" w:cs="Times New Roman"/>
          <w:bCs/>
          <w:color w:val="000000" w:themeColor="text1"/>
          <w:sz w:val="28"/>
        </w:rPr>
        <w:t>ими компонентами.</w:t>
      </w:r>
      <w:r w:rsidR="00F14BE2" w:rsidRPr="00CC7883">
        <w:rPr>
          <w:rFonts w:ascii="Times New Roman" w:hAnsi="Times New Roman" w:cs="Times New Roman"/>
          <w:bCs/>
          <w:color w:val="000000" w:themeColor="text1"/>
          <w:sz w:val="28"/>
        </w:rPr>
        <w:t xml:space="preserve"> </w:t>
      </w:r>
      <w:r w:rsidR="00B031E9">
        <w:rPr>
          <w:rFonts w:ascii="Times New Roman" w:hAnsi="Times New Roman" w:cs="Times New Roman"/>
          <w:color w:val="000000" w:themeColor="text1"/>
          <w:sz w:val="28"/>
          <w:lang w:val="ru-RU"/>
        </w:rPr>
        <w:t>Відносно</w:t>
      </w:r>
      <w:r w:rsidRPr="00CC7883">
        <w:rPr>
          <w:rFonts w:ascii="Times New Roman" w:hAnsi="Times New Roman" w:cs="Times New Roman"/>
          <w:color w:val="000000" w:themeColor="text1"/>
          <w:sz w:val="28"/>
        </w:rPr>
        <w:t xml:space="preserve"> </w:t>
      </w:r>
      <w:r w:rsidR="005302C4" w:rsidRPr="00CC7883">
        <w:rPr>
          <w:rFonts w:ascii="Times New Roman" w:hAnsi="Times New Roman" w:cs="Times New Roman"/>
          <w:color w:val="000000" w:themeColor="text1"/>
          <w:sz w:val="28"/>
        </w:rPr>
        <w:t>до контроля</w:t>
      </w:r>
      <w:r w:rsidRPr="00CC7883">
        <w:rPr>
          <w:rFonts w:ascii="Times New Roman" w:hAnsi="Times New Roman" w:cs="Times New Roman"/>
          <w:color w:val="000000" w:themeColor="text1"/>
          <w:sz w:val="28"/>
        </w:rPr>
        <w:t xml:space="preserve"> вони збільшувались на 0,4–1,7 %.</w:t>
      </w:r>
      <w:r w:rsidR="00F14BE2"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 xml:space="preserve">Аналогічну закономірність за цим показником було </w:t>
      </w:r>
      <w:r w:rsidR="00F14BE2" w:rsidRPr="00CC7883">
        <w:rPr>
          <w:rFonts w:ascii="Times New Roman" w:hAnsi="Times New Roman" w:cs="Times New Roman"/>
          <w:color w:val="000000" w:themeColor="text1"/>
          <w:sz w:val="28"/>
        </w:rPr>
        <w:t>отримано і для технічних сортів</w:t>
      </w:r>
      <w:r w:rsidRPr="00CC7883">
        <w:rPr>
          <w:rFonts w:ascii="Times New Roman" w:hAnsi="Times New Roman" w:cs="Times New Roman"/>
          <w:color w:val="000000" w:themeColor="text1"/>
          <w:sz w:val="28"/>
        </w:rPr>
        <w:t>.</w:t>
      </w:r>
    </w:p>
    <w:p w:rsidR="007C4F1A" w:rsidRDefault="001E0F9C"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Після використання у якості поживних середовищ мінеральних субстратів структура витрат включала (</w:t>
      </w:r>
      <w:r w:rsidRPr="00CC7883">
        <w:rPr>
          <w:rFonts w:ascii="Times New Roman" w:hAnsi="Times New Roman" w:cs="Times New Roman"/>
          <w:bCs/>
          <w:color w:val="000000" w:themeColor="text1"/>
          <w:sz w:val="28"/>
        </w:rPr>
        <w:t>дані наведені на прикладі сорту «Добриня»</w:t>
      </w:r>
      <w:r w:rsidRPr="00CC7883">
        <w:rPr>
          <w:rFonts w:ascii="Times New Roman" w:hAnsi="Times New Roman" w:cs="Times New Roman"/>
          <w:color w:val="000000" w:themeColor="text1"/>
          <w:sz w:val="28"/>
        </w:rPr>
        <w:t>) витрати на введення ініціальних експлантів та їх мікророзмноження (1500 грн), підготовку мінеральних субстратів (10000,0–11600,0 грн), вартість субстратів (агроперліт – 1800,0 грн, вермикуліт – 1440,0</w:t>
      </w:r>
      <w:r w:rsidR="000715A3" w:rsidRPr="00CC7883">
        <w:rPr>
          <w:rFonts w:ascii="Times New Roman" w:hAnsi="Times New Roman" w:cs="Times New Roman"/>
          <w:color w:val="000000" w:themeColor="text1"/>
          <w:sz w:val="28"/>
        </w:rPr>
        <w:t> </w:t>
      </w:r>
      <w:r w:rsidRPr="00CC7883">
        <w:rPr>
          <w:rFonts w:ascii="Times New Roman" w:hAnsi="Times New Roman" w:cs="Times New Roman"/>
          <w:color w:val="000000" w:themeColor="text1"/>
          <w:sz w:val="28"/>
        </w:rPr>
        <w:t>грн, агроперліт + вермикуліт – 1620 грн), енергоносії (11139,0 грн) та трудові витрати (7500,0 грн).</w:t>
      </w:r>
    </w:p>
    <w:p w:rsidR="00634F56" w:rsidRPr="00CC7883" w:rsidRDefault="00634F56"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Таким чином, сукупні витрати змінювалися у контрольних варіантах – 30139,0–31739,0 грн, після застосування мінеральних субстратів – 31759,0–33179,0 грн, що було більшим за контрольні показники на 2,7–7,2 %.</w:t>
      </w:r>
    </w:p>
    <w:p w:rsidR="003870E3" w:rsidRPr="00CC7883" w:rsidRDefault="003870E3" w:rsidP="00047411">
      <w:pPr>
        <w:widowControl w:val="0"/>
        <w:spacing w:after="0" w:line="360" w:lineRule="auto"/>
        <w:ind w:firstLine="720"/>
        <w:jc w:val="both"/>
        <w:rPr>
          <w:rFonts w:ascii="Times New Roman" w:hAnsi="Times New Roman" w:cs="Times New Roman"/>
          <w:color w:val="000000" w:themeColor="text1"/>
          <w:sz w:val="28"/>
        </w:rPr>
        <w:sectPr w:rsidR="003870E3" w:rsidRPr="00CC7883" w:rsidSect="003870E3">
          <w:pgSz w:w="11906" w:h="16838" w:code="9"/>
          <w:pgMar w:top="1134" w:right="850" w:bottom="1134" w:left="1701" w:header="708" w:footer="708" w:gutter="0"/>
          <w:cols w:space="708"/>
          <w:docGrid w:linePitch="360"/>
        </w:sectPr>
      </w:pPr>
    </w:p>
    <w:p w:rsidR="009B1361" w:rsidRPr="00CC7883" w:rsidRDefault="009B1361" w:rsidP="00061926">
      <w:pPr>
        <w:widowControl w:val="0"/>
        <w:spacing w:after="0" w:line="360" w:lineRule="auto"/>
        <w:ind w:right="-31"/>
        <w:jc w:val="right"/>
        <w:rPr>
          <w:rFonts w:ascii="Times New Roman" w:hAnsi="Times New Roman" w:cs="Times New Roman"/>
          <w:i/>
          <w:color w:val="000000" w:themeColor="text1"/>
          <w:sz w:val="28"/>
        </w:rPr>
      </w:pPr>
      <w:r w:rsidRPr="00CC7883">
        <w:rPr>
          <w:rFonts w:ascii="Times New Roman" w:hAnsi="Times New Roman" w:cs="Times New Roman"/>
          <w:i/>
          <w:color w:val="000000" w:themeColor="text1"/>
          <w:sz w:val="28"/>
        </w:rPr>
        <w:lastRenderedPageBreak/>
        <w:t xml:space="preserve">Таблиця </w:t>
      </w:r>
      <w:r w:rsidR="00D0656E">
        <w:rPr>
          <w:rFonts w:ascii="Times New Roman" w:hAnsi="Times New Roman" w:cs="Times New Roman"/>
          <w:i/>
          <w:color w:val="000000" w:themeColor="text1"/>
          <w:sz w:val="28"/>
        </w:rPr>
        <w:t>9</w:t>
      </w:r>
      <w:r w:rsidRPr="00CC7883">
        <w:rPr>
          <w:rFonts w:ascii="Times New Roman" w:hAnsi="Times New Roman" w:cs="Times New Roman"/>
          <w:i/>
          <w:color w:val="000000" w:themeColor="text1"/>
          <w:sz w:val="28"/>
        </w:rPr>
        <w:t>.1</w:t>
      </w:r>
    </w:p>
    <w:p w:rsidR="003E4136" w:rsidRDefault="009B1361" w:rsidP="00047411">
      <w:pPr>
        <w:widowControl w:val="0"/>
        <w:spacing w:after="0" w:line="360" w:lineRule="auto"/>
        <w:jc w:val="center"/>
        <w:rPr>
          <w:rFonts w:ascii="Times New Roman" w:hAnsi="Times New Roman" w:cs="Times New Roman"/>
          <w:b/>
          <w:bCs/>
          <w:color w:val="000000" w:themeColor="text1"/>
          <w:sz w:val="28"/>
          <w:szCs w:val="28"/>
          <w:lang w:eastAsia="uk-UA" w:bidi="uk-UA"/>
        </w:rPr>
      </w:pPr>
      <w:r w:rsidRPr="00CC7883">
        <w:rPr>
          <w:rFonts w:ascii="Times New Roman" w:hAnsi="Times New Roman" w:cs="Times New Roman"/>
          <w:b/>
          <w:bCs/>
          <w:color w:val="000000" w:themeColor="text1"/>
          <w:sz w:val="28"/>
          <w:szCs w:val="28"/>
          <w:lang w:eastAsia="uk-UA" w:bidi="uk-UA"/>
        </w:rPr>
        <w:t xml:space="preserve">Економічна ефективність удосконалених технологічних прийомів культивування винограду підщепного </w:t>
      </w:r>
    </w:p>
    <w:p w:rsidR="009B1361" w:rsidRPr="00CC7883" w:rsidRDefault="009B1361"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b/>
          <w:bCs/>
          <w:color w:val="000000" w:themeColor="text1"/>
          <w:sz w:val="28"/>
          <w:szCs w:val="28"/>
          <w:lang w:eastAsia="uk-UA" w:bidi="uk-UA"/>
        </w:rPr>
        <w:t xml:space="preserve">сорту «Добриня» </w:t>
      </w:r>
      <w:r w:rsidRPr="00CC7883">
        <w:rPr>
          <w:rFonts w:ascii="Times New Roman" w:hAnsi="Times New Roman" w:cs="Times New Roman"/>
          <w:b/>
          <w:bCs/>
          <w:i/>
          <w:color w:val="000000" w:themeColor="text1"/>
          <w:sz w:val="28"/>
          <w:szCs w:val="28"/>
          <w:lang w:eastAsia="uk-UA" w:bidi="uk-UA"/>
        </w:rPr>
        <w:t>in</w:t>
      </w:r>
      <w:r w:rsidR="00F5525C" w:rsidRPr="00CC7883">
        <w:rPr>
          <w:rFonts w:ascii="Times New Roman" w:hAnsi="Times New Roman" w:cs="Times New Roman"/>
          <w:b/>
          <w:bCs/>
          <w:i/>
          <w:color w:val="000000" w:themeColor="text1"/>
          <w:sz w:val="28"/>
          <w:szCs w:val="28"/>
          <w:lang w:eastAsia="uk-UA" w:bidi="uk-UA"/>
        </w:rPr>
        <w:t> </w:t>
      </w:r>
      <w:r w:rsidRPr="00CC7883">
        <w:rPr>
          <w:rFonts w:ascii="Times New Roman" w:hAnsi="Times New Roman" w:cs="Times New Roman"/>
          <w:b/>
          <w:bCs/>
          <w:i/>
          <w:color w:val="000000" w:themeColor="text1"/>
          <w:sz w:val="28"/>
          <w:szCs w:val="28"/>
          <w:lang w:eastAsia="uk-UA" w:bidi="uk-UA"/>
        </w:rPr>
        <w:t>vitro</w:t>
      </w:r>
    </w:p>
    <w:tbl>
      <w:tblPr>
        <w:tblStyle w:val="af8"/>
        <w:tblW w:w="14572" w:type="dxa"/>
        <w:tblInd w:w="137" w:type="dxa"/>
        <w:tblLayout w:type="fixed"/>
        <w:tblLook w:val="04A0"/>
      </w:tblPr>
      <w:tblGrid>
        <w:gridCol w:w="4111"/>
        <w:gridCol w:w="1134"/>
        <w:gridCol w:w="709"/>
        <w:gridCol w:w="1559"/>
        <w:gridCol w:w="1276"/>
        <w:gridCol w:w="1275"/>
        <w:gridCol w:w="1418"/>
        <w:gridCol w:w="1276"/>
        <w:gridCol w:w="1814"/>
      </w:tblGrid>
      <w:tr w:rsidR="009B1361" w:rsidRPr="00CC7883" w:rsidTr="00061926">
        <w:tc>
          <w:tcPr>
            <w:tcW w:w="4111" w:type="dxa"/>
            <w:vMerge w:val="restart"/>
            <w:vAlign w:val="center"/>
          </w:tcPr>
          <w:p w:rsidR="009B1361" w:rsidRPr="00CC7883" w:rsidRDefault="009B1361" w:rsidP="004A76B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Показники</w:t>
            </w:r>
          </w:p>
        </w:tc>
        <w:tc>
          <w:tcPr>
            <w:tcW w:w="1134" w:type="dxa"/>
            <w:vMerge w:val="restart"/>
            <w:textDirection w:val="btLr"/>
          </w:tcPr>
          <w:p w:rsidR="009B1361" w:rsidRPr="00CC7883" w:rsidRDefault="009B1361" w:rsidP="00047411">
            <w:pPr>
              <w:widowControl w:val="0"/>
              <w:ind w:left="113" w:right="113"/>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Термін культивування мікроклонів, діб</w:t>
            </w:r>
          </w:p>
        </w:tc>
        <w:tc>
          <w:tcPr>
            <w:tcW w:w="709" w:type="dxa"/>
            <w:vMerge w:val="restart"/>
            <w:textDirection w:val="btLr"/>
          </w:tcPr>
          <w:p w:rsidR="009B1361" w:rsidRPr="00CC7883" w:rsidRDefault="009B1361" w:rsidP="00047411">
            <w:pPr>
              <w:widowControl w:val="0"/>
              <w:ind w:left="113" w:right="113"/>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Одиниці вимірювання</w:t>
            </w:r>
          </w:p>
        </w:tc>
        <w:tc>
          <w:tcPr>
            <w:tcW w:w="8618" w:type="dxa"/>
            <w:gridSpan w:val="6"/>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Варіанти досліду</w:t>
            </w:r>
          </w:p>
        </w:tc>
      </w:tr>
      <w:tr w:rsidR="009B1361" w:rsidRPr="00CC7883" w:rsidTr="00061926">
        <w:trPr>
          <w:trHeight w:val="2576"/>
        </w:trPr>
        <w:tc>
          <w:tcPr>
            <w:tcW w:w="4111" w:type="dxa"/>
            <w:vMerge/>
            <w:vAlign w:val="center"/>
          </w:tcPr>
          <w:p w:rsidR="009B1361" w:rsidRPr="00CC7883" w:rsidRDefault="009B1361" w:rsidP="00047411">
            <w:pPr>
              <w:widowControl w:val="0"/>
              <w:jc w:val="both"/>
              <w:rPr>
                <w:rFonts w:ascii="Times New Roman" w:hAnsi="Times New Roman" w:cs="Times New Roman"/>
                <w:color w:val="000000" w:themeColor="text1"/>
                <w:sz w:val="28"/>
                <w:szCs w:val="28"/>
              </w:rPr>
            </w:pPr>
          </w:p>
        </w:tc>
        <w:tc>
          <w:tcPr>
            <w:tcW w:w="1134" w:type="dxa"/>
            <w:vMerge/>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709" w:type="dxa"/>
            <w:vMerge/>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w:t>
            </w:r>
          </w:p>
        </w:tc>
      </w:tr>
      <w:tr w:rsidR="009B1361" w:rsidRPr="00CC7883" w:rsidTr="00061926">
        <w:tc>
          <w:tcPr>
            <w:tcW w:w="4111"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1</w:t>
            </w:r>
          </w:p>
        </w:tc>
        <w:tc>
          <w:tcPr>
            <w:tcW w:w="1134" w:type="dxa"/>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2</w:t>
            </w:r>
          </w:p>
        </w:tc>
        <w:tc>
          <w:tcPr>
            <w:tcW w:w="709" w:type="dxa"/>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3</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4</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5</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6</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7</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8</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9</w:t>
            </w:r>
          </w:p>
        </w:tc>
      </w:tr>
      <w:tr w:rsidR="009B1361" w:rsidRPr="00CC7883" w:rsidTr="00061926">
        <w:tc>
          <w:tcPr>
            <w:tcW w:w="4111" w:type="dxa"/>
            <w:vAlign w:val="center"/>
          </w:tcPr>
          <w:p w:rsidR="009B1361" w:rsidRPr="00CC7883" w:rsidRDefault="009B1361" w:rsidP="00047411">
            <w:pPr>
              <w:widowControl w:val="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Висаджено мікроклонів на адаптацію</w:t>
            </w: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275"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418"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814"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w:t>
            </w:r>
            <w:r w:rsidR="005302C4">
              <w:rPr>
                <w:rFonts w:ascii="Times New Roman" w:hAnsi="Times New Roman" w:cs="Times New Roman"/>
                <w:color w:val="000000" w:themeColor="text1"/>
                <w:sz w:val="28"/>
                <w:szCs w:val="28"/>
              </w:rPr>
              <w:t>0</w:t>
            </w:r>
          </w:p>
        </w:tc>
      </w:tr>
      <w:tr w:rsidR="009B1361" w:rsidRPr="00CC7883" w:rsidTr="00061926">
        <w:tc>
          <w:tcPr>
            <w:tcW w:w="4111" w:type="dxa"/>
            <w:vMerge w:val="restart"/>
            <w:vAlign w:val="center"/>
          </w:tcPr>
          <w:p w:rsidR="009B1361" w:rsidRPr="00CC7883" w:rsidRDefault="009B1361"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Приживлюваність мікроклонів через: </w:t>
            </w: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465,0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375,0</w:t>
            </w:r>
          </w:p>
        </w:tc>
        <w:tc>
          <w:tcPr>
            <w:tcW w:w="1275"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600,0</w:t>
            </w:r>
          </w:p>
        </w:tc>
        <w:tc>
          <w:tcPr>
            <w:tcW w:w="1418"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545,0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620,0</w:t>
            </w:r>
          </w:p>
        </w:tc>
        <w:tc>
          <w:tcPr>
            <w:tcW w:w="1814"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560,0</w:t>
            </w:r>
          </w:p>
        </w:tc>
      </w:tr>
      <w:tr w:rsidR="009B1361" w:rsidRPr="00CC7883" w:rsidTr="00061926">
        <w:tc>
          <w:tcPr>
            <w:tcW w:w="4111" w:type="dxa"/>
            <w:vMerge/>
            <w:vAlign w:val="center"/>
          </w:tcPr>
          <w:p w:rsidR="009B1361" w:rsidRPr="00CC7883" w:rsidRDefault="009B1361" w:rsidP="00047411">
            <w:pPr>
              <w:widowControl w:val="0"/>
              <w:rPr>
                <w:rFonts w:ascii="Times New Roman" w:hAnsi="Times New Roman" w:cs="Times New Roman"/>
                <w:bCs/>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46,5</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37,5</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60,0</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54,5</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62,0</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56,0</w:t>
            </w:r>
          </w:p>
        </w:tc>
      </w:tr>
      <w:tr w:rsidR="009B1361" w:rsidRPr="00CC7883" w:rsidTr="00061926">
        <w:tc>
          <w:tcPr>
            <w:tcW w:w="4111" w:type="dxa"/>
            <w:vMerge/>
            <w:vAlign w:val="center"/>
          </w:tcPr>
          <w:p w:rsidR="009B1361" w:rsidRPr="00CC7883" w:rsidRDefault="009B1361" w:rsidP="00047411">
            <w:pPr>
              <w:widowControl w:val="0"/>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360,0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295,0</w:t>
            </w:r>
          </w:p>
        </w:tc>
        <w:tc>
          <w:tcPr>
            <w:tcW w:w="1275"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500,0</w:t>
            </w:r>
          </w:p>
        </w:tc>
        <w:tc>
          <w:tcPr>
            <w:tcW w:w="1418"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470,0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545,0</w:t>
            </w:r>
          </w:p>
        </w:tc>
        <w:tc>
          <w:tcPr>
            <w:tcW w:w="1814"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495,0</w:t>
            </w:r>
          </w:p>
        </w:tc>
      </w:tr>
      <w:tr w:rsidR="009B1361" w:rsidRPr="00CC7883" w:rsidTr="00061926">
        <w:tc>
          <w:tcPr>
            <w:tcW w:w="4111" w:type="dxa"/>
            <w:vMerge/>
            <w:vAlign w:val="center"/>
          </w:tcPr>
          <w:p w:rsidR="009B1361" w:rsidRPr="00CC7883" w:rsidRDefault="009B1361" w:rsidP="00047411">
            <w:pPr>
              <w:widowControl w:val="0"/>
              <w:rPr>
                <w:rFonts w:ascii="Times New Roman" w:hAnsi="Times New Roman" w:cs="Times New Roman"/>
                <w:bCs/>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36,0</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29,5</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50,0</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47,0</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54,5</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49,5</w:t>
            </w:r>
          </w:p>
        </w:tc>
      </w:tr>
      <w:tr w:rsidR="009B1361" w:rsidRPr="00CC7883" w:rsidTr="00061926">
        <w:tc>
          <w:tcPr>
            <w:tcW w:w="4111" w:type="dxa"/>
            <w:vMerge/>
            <w:vAlign w:val="center"/>
          </w:tcPr>
          <w:p w:rsidR="009B1361" w:rsidRPr="00CC7883" w:rsidRDefault="009B1361" w:rsidP="00047411">
            <w:pPr>
              <w:widowControl w:val="0"/>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281,0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215,0</w:t>
            </w:r>
          </w:p>
        </w:tc>
        <w:tc>
          <w:tcPr>
            <w:tcW w:w="1275"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440,0</w:t>
            </w:r>
          </w:p>
        </w:tc>
        <w:tc>
          <w:tcPr>
            <w:tcW w:w="1418"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410,0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505,0</w:t>
            </w:r>
          </w:p>
        </w:tc>
        <w:tc>
          <w:tcPr>
            <w:tcW w:w="1814"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445,0</w:t>
            </w:r>
          </w:p>
        </w:tc>
      </w:tr>
      <w:tr w:rsidR="009B1361" w:rsidRPr="00CC7883" w:rsidTr="00061926">
        <w:tc>
          <w:tcPr>
            <w:tcW w:w="4111" w:type="dxa"/>
            <w:vMerge/>
            <w:vAlign w:val="center"/>
          </w:tcPr>
          <w:p w:rsidR="009B1361" w:rsidRPr="00CC7883" w:rsidRDefault="009B1361" w:rsidP="00047411">
            <w:pPr>
              <w:widowControl w:val="0"/>
              <w:rPr>
                <w:rFonts w:ascii="Times New Roman" w:hAnsi="Times New Roman" w:cs="Times New Roman"/>
                <w:bCs/>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28,1</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21,5</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44,0</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41,0</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50,5</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44,5</w:t>
            </w:r>
          </w:p>
        </w:tc>
      </w:tr>
      <w:tr w:rsidR="009B1361" w:rsidRPr="00CC7883" w:rsidTr="00061926">
        <w:tc>
          <w:tcPr>
            <w:tcW w:w="4111" w:type="dxa"/>
            <w:vAlign w:val="center"/>
          </w:tcPr>
          <w:p w:rsidR="009B1361" w:rsidRPr="00CC7883" w:rsidRDefault="009B1361" w:rsidP="00047411">
            <w:pPr>
              <w:widowControl w:val="0"/>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 xml:space="preserve">Витрати на одержання мікроклонів, у т.ч. </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39139,0</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40739,0</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40249,2</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41849,2</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39389,3</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40989,3</w:t>
            </w:r>
          </w:p>
        </w:tc>
      </w:tr>
    </w:tbl>
    <w:p w:rsidR="005C50C4" w:rsidRPr="00CC7883" w:rsidRDefault="009B1361" w:rsidP="00047411">
      <w:pPr>
        <w:widowControl w:val="0"/>
        <w:spacing w:after="0" w:line="360" w:lineRule="auto"/>
        <w:rPr>
          <w:rFonts w:ascii="Times New Roman" w:hAnsi="Times New Roman" w:cs="Times New Roman"/>
          <w:color w:val="000000" w:themeColor="text1"/>
        </w:rPr>
        <w:sectPr w:rsidR="005C50C4" w:rsidRPr="00CC7883" w:rsidSect="000715A3">
          <w:headerReference w:type="default" r:id="rId190"/>
          <w:footerReference w:type="default" r:id="rId191"/>
          <w:pgSz w:w="16838" w:h="11906" w:orient="landscape" w:code="9"/>
          <w:pgMar w:top="1701" w:right="1134" w:bottom="850" w:left="1134" w:header="708" w:footer="708" w:gutter="0"/>
          <w:cols w:space="708"/>
          <w:docGrid w:linePitch="360"/>
        </w:sectPr>
      </w:pPr>
      <w:r w:rsidRPr="00CC7883">
        <w:rPr>
          <w:rFonts w:ascii="Times New Roman" w:hAnsi="Times New Roman" w:cs="Times New Roman"/>
          <w:color w:val="000000" w:themeColor="text1"/>
        </w:rPr>
        <w:br w:type="page"/>
      </w:r>
    </w:p>
    <w:p w:rsidR="009B1361" w:rsidRPr="00CC7883" w:rsidRDefault="00061926" w:rsidP="00061926">
      <w:pPr>
        <w:widowControl w:val="0"/>
        <w:spacing w:after="0" w:line="360" w:lineRule="auto"/>
        <w:ind w:right="-31"/>
        <w:jc w:val="right"/>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 </w:t>
      </w:r>
      <w:r w:rsidR="009B1361" w:rsidRPr="00CC7883">
        <w:rPr>
          <w:rFonts w:ascii="Times New Roman" w:hAnsi="Times New Roman" w:cs="Times New Roman"/>
          <w:color w:val="000000" w:themeColor="text1"/>
        </w:rPr>
        <w:t xml:space="preserve">Продовження табл. </w:t>
      </w:r>
      <w:r w:rsidR="00D0656E">
        <w:rPr>
          <w:rFonts w:ascii="Times New Roman" w:hAnsi="Times New Roman" w:cs="Times New Roman"/>
          <w:color w:val="000000" w:themeColor="text1"/>
        </w:rPr>
        <w:t>9</w:t>
      </w:r>
      <w:r w:rsidR="009B1361" w:rsidRPr="00CC7883">
        <w:rPr>
          <w:rFonts w:ascii="Times New Roman" w:hAnsi="Times New Roman" w:cs="Times New Roman"/>
          <w:color w:val="000000" w:themeColor="text1"/>
        </w:rPr>
        <w:t>.1</w:t>
      </w:r>
    </w:p>
    <w:tbl>
      <w:tblPr>
        <w:tblStyle w:val="af8"/>
        <w:tblW w:w="14572" w:type="dxa"/>
        <w:tblInd w:w="137" w:type="dxa"/>
        <w:tblLayout w:type="fixed"/>
        <w:tblLook w:val="04A0"/>
      </w:tblPr>
      <w:tblGrid>
        <w:gridCol w:w="4111"/>
        <w:gridCol w:w="1134"/>
        <w:gridCol w:w="709"/>
        <w:gridCol w:w="1559"/>
        <w:gridCol w:w="1276"/>
        <w:gridCol w:w="1275"/>
        <w:gridCol w:w="1418"/>
        <w:gridCol w:w="1276"/>
        <w:gridCol w:w="1814"/>
      </w:tblGrid>
      <w:tr w:rsidR="009B1361" w:rsidRPr="00CC7883" w:rsidTr="00061926">
        <w:tc>
          <w:tcPr>
            <w:tcW w:w="4111"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1</w:t>
            </w:r>
          </w:p>
        </w:tc>
        <w:tc>
          <w:tcPr>
            <w:tcW w:w="1134" w:type="dxa"/>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2</w:t>
            </w:r>
          </w:p>
        </w:tc>
        <w:tc>
          <w:tcPr>
            <w:tcW w:w="709" w:type="dxa"/>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3</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4</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5</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6</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7</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8</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9</w:t>
            </w:r>
          </w:p>
        </w:tc>
      </w:tr>
      <w:tr w:rsidR="009B1361" w:rsidRPr="00CC7883" w:rsidTr="00061926">
        <w:tc>
          <w:tcPr>
            <w:tcW w:w="4111" w:type="dxa"/>
            <w:vAlign w:val="center"/>
          </w:tcPr>
          <w:p w:rsidR="009B1361" w:rsidRPr="00CC7883" w:rsidRDefault="009B1361" w:rsidP="00047411">
            <w:pPr>
              <w:widowControl w:val="0"/>
              <w:ind w:left="737" w:hanging="426"/>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витрати на введення ініціальних експлантів та їх мікророзмноження</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275"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418"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814"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r>
      <w:tr w:rsidR="009B1361" w:rsidRPr="00CC7883" w:rsidTr="00061926">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приготування поживних середовищ</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20000,0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21600,0</w:t>
            </w:r>
          </w:p>
        </w:tc>
        <w:tc>
          <w:tcPr>
            <w:tcW w:w="1275"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20000,0</w:t>
            </w:r>
          </w:p>
        </w:tc>
        <w:tc>
          <w:tcPr>
            <w:tcW w:w="1418"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21600,0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20000,0</w:t>
            </w:r>
          </w:p>
        </w:tc>
        <w:tc>
          <w:tcPr>
            <w:tcW w:w="1814"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21600,0</w:t>
            </w:r>
          </w:p>
        </w:tc>
      </w:tr>
      <w:tr w:rsidR="009B1361" w:rsidRPr="00CC7883" w:rsidTr="00061926">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вартість препаратів</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p>
        </w:tc>
        <w:tc>
          <w:tcPr>
            <w:tcW w:w="1275"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1110,2</w:t>
            </w:r>
          </w:p>
        </w:tc>
        <w:tc>
          <w:tcPr>
            <w:tcW w:w="1418"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1110,2</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250,3</w:t>
            </w:r>
          </w:p>
        </w:tc>
        <w:tc>
          <w:tcPr>
            <w:tcW w:w="1814"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250,3</w:t>
            </w:r>
          </w:p>
        </w:tc>
      </w:tr>
      <w:tr w:rsidR="009B1361" w:rsidRPr="00CC7883" w:rsidTr="00061926">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енергоресурси</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275"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418"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814"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r>
      <w:tr w:rsidR="009B1361" w:rsidRPr="00CC7883" w:rsidTr="00061926">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трудові витрати</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c>
          <w:tcPr>
            <w:tcW w:w="1275"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c>
          <w:tcPr>
            <w:tcW w:w="1418"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c>
          <w:tcPr>
            <w:tcW w:w="1814"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r>
      <w:tr w:rsidR="009B1361" w:rsidRPr="00CC7883" w:rsidTr="00061926">
        <w:tc>
          <w:tcPr>
            <w:tcW w:w="4111" w:type="dxa"/>
            <w:vMerge w:val="restart"/>
            <w:vAlign w:val="center"/>
          </w:tcPr>
          <w:p w:rsidR="009B1361" w:rsidRPr="00CC7883" w:rsidRDefault="009B1361" w:rsidP="00047411">
            <w:pPr>
              <w:widowControl w:val="0"/>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 xml:space="preserve">Собівартість 1 тис. адаптованих мікроклонів </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84169,9</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108637,0</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67082,0</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76787,5</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63531,1</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73195,2</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108719,0</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138098,0</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80498,4</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89040,9</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72273,9</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82806,7</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139285,0</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189484,0</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91475,5</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102071,0</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77998,6</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92110,8</w:t>
            </w:r>
          </w:p>
        </w:tc>
      </w:tr>
      <w:tr w:rsidR="009B1361" w:rsidRPr="00CC7883" w:rsidTr="00061926">
        <w:tc>
          <w:tcPr>
            <w:tcW w:w="4111" w:type="dxa"/>
            <w:vAlign w:val="center"/>
          </w:tcPr>
          <w:p w:rsidR="009B1361" w:rsidRPr="00CC7883" w:rsidRDefault="009B1361"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Ціна реалізації адаптованого мікроклона, грн</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275"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418"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814"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r>
      <w:tr w:rsidR="009B1361" w:rsidRPr="00CC7883" w:rsidTr="00061926">
        <w:tc>
          <w:tcPr>
            <w:tcW w:w="4111" w:type="dxa"/>
            <w:vMerge w:val="restart"/>
            <w:vAlign w:val="center"/>
          </w:tcPr>
          <w:p w:rsidR="009B1361" w:rsidRPr="00CC7883" w:rsidRDefault="009B1361"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Прибуток (на 1000 мікроклонів) </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2711,0</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13750,8</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7200,8</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16410,7</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9410,7</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4750,8</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450,8</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9660,7</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3560,7</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6060,7</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r>
      <w:tr w:rsidR="009B1361" w:rsidRPr="00CC7883" w:rsidTr="00061926">
        <w:tc>
          <w:tcPr>
            <w:tcW w:w="4111" w:type="dxa"/>
            <w:vMerge w:val="restart"/>
            <w:vAlign w:val="center"/>
          </w:tcPr>
          <w:p w:rsidR="009B1361" w:rsidRPr="00CC7883" w:rsidRDefault="009B1361" w:rsidP="00047411">
            <w:pPr>
              <w:widowControl w:val="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Рівень рентабельності</w:t>
            </w: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p>
        </w:tc>
        <w:tc>
          <w:tcPr>
            <w:tcW w:w="1559"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6,92659</w:t>
            </w:r>
          </w:p>
        </w:tc>
        <w:tc>
          <w:tcPr>
            <w:tcW w:w="1276" w:type="dxa"/>
          </w:tcPr>
          <w:p w:rsidR="009B1361" w:rsidRPr="00CC7883" w:rsidRDefault="009B1361" w:rsidP="000A2EA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34,2</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17,2</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41,7</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22,9</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sz w:val="28"/>
                <w:szCs w:val="28"/>
              </w:rPr>
              <w:t>%</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11,8</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1,1</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24,5</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8,7</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sz w:val="28"/>
                <w:szCs w:val="28"/>
              </w:rPr>
              <w:t>%</w:t>
            </w:r>
          </w:p>
        </w:tc>
        <w:tc>
          <w:tcPr>
            <w:tcW w:w="1559"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5"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418"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6"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15,4</w:t>
            </w:r>
          </w:p>
        </w:tc>
        <w:tc>
          <w:tcPr>
            <w:tcW w:w="1814" w:type="dxa"/>
          </w:tcPr>
          <w:p w:rsidR="009B1361" w:rsidRPr="00CC7883" w:rsidRDefault="009B1361" w:rsidP="000A2EA8">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r>
    </w:tbl>
    <w:p w:rsidR="005C50C4" w:rsidRPr="00CC7883" w:rsidRDefault="009B1361" w:rsidP="00047411">
      <w:pPr>
        <w:widowControl w:val="0"/>
        <w:rPr>
          <w:rFonts w:ascii="Times New Roman" w:hAnsi="Times New Roman" w:cs="Times New Roman"/>
          <w:color w:val="000000" w:themeColor="text1"/>
        </w:rPr>
        <w:sectPr w:rsidR="005C50C4" w:rsidRPr="00CC7883" w:rsidSect="000715A3">
          <w:footerReference w:type="default" r:id="rId192"/>
          <w:pgSz w:w="16838" w:h="11906" w:orient="landscape" w:code="9"/>
          <w:pgMar w:top="1701" w:right="1134" w:bottom="850" w:left="1134" w:header="708" w:footer="708" w:gutter="0"/>
          <w:cols w:space="708"/>
          <w:docGrid w:linePitch="360"/>
        </w:sectPr>
      </w:pPr>
      <w:r w:rsidRPr="00CC7883">
        <w:rPr>
          <w:rFonts w:ascii="Times New Roman" w:hAnsi="Times New Roman" w:cs="Times New Roman"/>
          <w:color w:val="000000" w:themeColor="text1"/>
        </w:rPr>
        <w:br w:type="page"/>
      </w:r>
    </w:p>
    <w:p w:rsidR="009B1361" w:rsidRPr="00CC7883" w:rsidRDefault="00061926" w:rsidP="00061926">
      <w:pPr>
        <w:widowControl w:val="0"/>
        <w:spacing w:after="0" w:line="360" w:lineRule="auto"/>
        <w:ind w:right="-31"/>
        <w:jc w:val="right"/>
        <w:rPr>
          <w:rFonts w:ascii="Times New Roman" w:hAnsi="Times New Roman" w:cs="Times New Roman"/>
          <w:i/>
          <w:color w:val="000000" w:themeColor="text1"/>
          <w:sz w:val="28"/>
        </w:rPr>
      </w:pPr>
      <w:r>
        <w:rPr>
          <w:rFonts w:ascii="Times New Roman" w:hAnsi="Times New Roman" w:cs="Times New Roman"/>
          <w:color w:val="000000" w:themeColor="text1"/>
        </w:rPr>
        <w:lastRenderedPageBreak/>
        <w:t xml:space="preserve"> </w:t>
      </w:r>
      <w:r w:rsidR="009B1361" w:rsidRPr="00CC7883">
        <w:rPr>
          <w:rFonts w:ascii="Times New Roman" w:hAnsi="Times New Roman" w:cs="Times New Roman"/>
          <w:color w:val="000000" w:themeColor="text1"/>
        </w:rPr>
        <w:t xml:space="preserve">Продовження табл. </w:t>
      </w:r>
      <w:r w:rsidR="00D0656E">
        <w:rPr>
          <w:rFonts w:ascii="Times New Roman" w:hAnsi="Times New Roman" w:cs="Times New Roman"/>
          <w:color w:val="000000" w:themeColor="text1"/>
        </w:rPr>
        <w:t>9</w:t>
      </w:r>
      <w:r w:rsidR="009B1361" w:rsidRPr="00CC7883">
        <w:rPr>
          <w:rFonts w:ascii="Times New Roman" w:hAnsi="Times New Roman" w:cs="Times New Roman"/>
          <w:color w:val="000000" w:themeColor="text1"/>
        </w:rPr>
        <w:t>.1</w:t>
      </w:r>
    </w:p>
    <w:tbl>
      <w:tblPr>
        <w:tblStyle w:val="af8"/>
        <w:tblW w:w="14572" w:type="dxa"/>
        <w:tblInd w:w="137" w:type="dxa"/>
        <w:tblLayout w:type="fixed"/>
        <w:tblLook w:val="04A0"/>
      </w:tblPr>
      <w:tblGrid>
        <w:gridCol w:w="4111"/>
        <w:gridCol w:w="1134"/>
        <w:gridCol w:w="709"/>
        <w:gridCol w:w="1559"/>
        <w:gridCol w:w="1276"/>
        <w:gridCol w:w="1275"/>
        <w:gridCol w:w="1418"/>
        <w:gridCol w:w="1276"/>
        <w:gridCol w:w="1814"/>
      </w:tblGrid>
      <w:tr w:rsidR="009B1361" w:rsidRPr="00CC7883" w:rsidTr="00061926">
        <w:tc>
          <w:tcPr>
            <w:tcW w:w="4111" w:type="dxa"/>
            <w:vMerge w:val="restart"/>
            <w:vAlign w:val="center"/>
          </w:tcPr>
          <w:p w:rsidR="009B1361" w:rsidRPr="00CC7883" w:rsidRDefault="009B1361" w:rsidP="004A76B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Показники</w:t>
            </w:r>
          </w:p>
        </w:tc>
        <w:tc>
          <w:tcPr>
            <w:tcW w:w="1134" w:type="dxa"/>
            <w:vMerge w:val="restart"/>
            <w:textDirection w:val="btLr"/>
          </w:tcPr>
          <w:p w:rsidR="009B1361" w:rsidRPr="00CC7883" w:rsidRDefault="009B1361" w:rsidP="00047411">
            <w:pPr>
              <w:widowControl w:val="0"/>
              <w:ind w:left="113" w:right="113"/>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Термін культивування мікроклонів, діб</w:t>
            </w:r>
          </w:p>
        </w:tc>
        <w:tc>
          <w:tcPr>
            <w:tcW w:w="709" w:type="dxa"/>
            <w:vMerge w:val="restart"/>
            <w:textDirection w:val="btLr"/>
          </w:tcPr>
          <w:p w:rsidR="009B1361" w:rsidRPr="00CC7883" w:rsidRDefault="009B1361" w:rsidP="00047411">
            <w:pPr>
              <w:widowControl w:val="0"/>
              <w:ind w:left="113" w:right="113"/>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Одиниці вимірювання</w:t>
            </w:r>
          </w:p>
        </w:tc>
        <w:tc>
          <w:tcPr>
            <w:tcW w:w="8618" w:type="dxa"/>
            <w:gridSpan w:val="6"/>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Варіанти досліду</w:t>
            </w:r>
          </w:p>
        </w:tc>
      </w:tr>
      <w:tr w:rsidR="009B1361" w:rsidRPr="00CC7883" w:rsidTr="00061926">
        <w:trPr>
          <w:trHeight w:val="2576"/>
        </w:trPr>
        <w:tc>
          <w:tcPr>
            <w:tcW w:w="4111" w:type="dxa"/>
            <w:vMerge/>
            <w:vAlign w:val="center"/>
          </w:tcPr>
          <w:p w:rsidR="009B1361" w:rsidRPr="00CC7883" w:rsidRDefault="009B1361" w:rsidP="00047411">
            <w:pPr>
              <w:widowControl w:val="0"/>
              <w:jc w:val="both"/>
              <w:rPr>
                <w:rFonts w:ascii="Times New Roman" w:hAnsi="Times New Roman" w:cs="Times New Roman"/>
                <w:color w:val="000000" w:themeColor="text1"/>
                <w:sz w:val="28"/>
                <w:szCs w:val="28"/>
              </w:rPr>
            </w:pPr>
          </w:p>
        </w:tc>
        <w:tc>
          <w:tcPr>
            <w:tcW w:w="1134" w:type="dxa"/>
            <w:vMerge/>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709" w:type="dxa"/>
            <w:vMerge/>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12</w:t>
            </w:r>
          </w:p>
        </w:tc>
      </w:tr>
      <w:tr w:rsidR="009B1361" w:rsidRPr="00CC7883" w:rsidTr="00061926">
        <w:tc>
          <w:tcPr>
            <w:tcW w:w="4111"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rPr>
              <w:t>1</w:t>
            </w: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rPr>
              <w:t>2</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rPr>
              <w:t>3</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rPr>
              <w:t>4</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rPr>
              <w:t>5</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rPr>
              <w:t>6</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rPr>
              <w:t>7</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rPr>
              <w:t>8</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rPr>
              <w:t>9</w:t>
            </w:r>
          </w:p>
        </w:tc>
      </w:tr>
      <w:tr w:rsidR="009B1361" w:rsidRPr="00CC7883" w:rsidTr="00061926">
        <w:tc>
          <w:tcPr>
            <w:tcW w:w="4111" w:type="dxa"/>
            <w:vAlign w:val="center"/>
          </w:tcPr>
          <w:p w:rsidR="009B1361" w:rsidRPr="00CC7883" w:rsidRDefault="009B1361" w:rsidP="00047411">
            <w:pPr>
              <w:widowControl w:val="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Висаджено мікроклонів на адаптацію</w:t>
            </w: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276"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275"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418"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276"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814"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r>
      <w:tr w:rsidR="009B1361" w:rsidRPr="00CC7883" w:rsidTr="00061926">
        <w:tc>
          <w:tcPr>
            <w:tcW w:w="4111" w:type="dxa"/>
            <w:vMerge w:val="restart"/>
            <w:vAlign w:val="center"/>
          </w:tcPr>
          <w:p w:rsidR="009B1361" w:rsidRPr="00CC7883" w:rsidRDefault="009B1361"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Приживлюваність мікроклонів через: </w:t>
            </w: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800,0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760,0</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855,0</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770,0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900,0</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800,0</w:t>
            </w:r>
          </w:p>
        </w:tc>
      </w:tr>
      <w:tr w:rsidR="009B1361" w:rsidRPr="00CC7883" w:rsidTr="00061926">
        <w:tc>
          <w:tcPr>
            <w:tcW w:w="4111" w:type="dxa"/>
            <w:vMerge/>
            <w:vAlign w:val="center"/>
          </w:tcPr>
          <w:p w:rsidR="009B1361" w:rsidRPr="00CC7883" w:rsidRDefault="009B1361" w:rsidP="00047411">
            <w:pPr>
              <w:widowControl w:val="0"/>
              <w:rPr>
                <w:rFonts w:ascii="Times New Roman" w:hAnsi="Times New Roman" w:cs="Times New Roman"/>
                <w:bCs/>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80,0</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76,0</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85,5</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77,0</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90,0</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80,0</w:t>
            </w:r>
          </w:p>
        </w:tc>
      </w:tr>
      <w:tr w:rsidR="009B1361" w:rsidRPr="00CC7883" w:rsidTr="00061926">
        <w:tc>
          <w:tcPr>
            <w:tcW w:w="4111" w:type="dxa"/>
            <w:vMerge/>
            <w:vAlign w:val="center"/>
          </w:tcPr>
          <w:p w:rsidR="009B1361" w:rsidRPr="00CC7883" w:rsidRDefault="009B1361" w:rsidP="00047411">
            <w:pPr>
              <w:widowControl w:val="0"/>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750,0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660,0</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725,0</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680,0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845,0</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720,0</w:t>
            </w:r>
          </w:p>
        </w:tc>
      </w:tr>
      <w:tr w:rsidR="009B1361" w:rsidRPr="00CC7883" w:rsidTr="00061926">
        <w:tc>
          <w:tcPr>
            <w:tcW w:w="4111" w:type="dxa"/>
            <w:vMerge/>
            <w:vAlign w:val="center"/>
          </w:tcPr>
          <w:p w:rsidR="009B1361" w:rsidRPr="00CC7883" w:rsidRDefault="009B1361" w:rsidP="00047411">
            <w:pPr>
              <w:widowControl w:val="0"/>
              <w:rPr>
                <w:rFonts w:ascii="Times New Roman" w:hAnsi="Times New Roman" w:cs="Times New Roman"/>
                <w:bCs/>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75,0</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66,0</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72,5</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68,0</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84,5</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72,0</w:t>
            </w:r>
          </w:p>
        </w:tc>
      </w:tr>
      <w:tr w:rsidR="009B1361" w:rsidRPr="00CC7883" w:rsidTr="00061926">
        <w:tc>
          <w:tcPr>
            <w:tcW w:w="4111" w:type="dxa"/>
            <w:vMerge/>
            <w:vAlign w:val="center"/>
          </w:tcPr>
          <w:p w:rsidR="009B1361" w:rsidRPr="00CC7883" w:rsidRDefault="009B1361" w:rsidP="00047411">
            <w:pPr>
              <w:widowControl w:val="0"/>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720,0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635,0</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705,0</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640,0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810,0</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700,0</w:t>
            </w:r>
          </w:p>
        </w:tc>
      </w:tr>
      <w:tr w:rsidR="009B1361" w:rsidRPr="00CC7883" w:rsidTr="00061926">
        <w:tc>
          <w:tcPr>
            <w:tcW w:w="4111" w:type="dxa"/>
            <w:vMerge/>
            <w:vAlign w:val="center"/>
          </w:tcPr>
          <w:p w:rsidR="009B1361" w:rsidRPr="00CC7883" w:rsidRDefault="009B1361" w:rsidP="00047411">
            <w:pPr>
              <w:widowControl w:val="0"/>
              <w:rPr>
                <w:rFonts w:ascii="Times New Roman" w:hAnsi="Times New Roman" w:cs="Times New Roman"/>
                <w:bCs/>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72,0</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63,5</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70,5</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64,0</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81,0</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70,0</w:t>
            </w:r>
          </w:p>
        </w:tc>
      </w:tr>
      <w:tr w:rsidR="009B1361" w:rsidRPr="00CC7883" w:rsidTr="00061926">
        <w:tc>
          <w:tcPr>
            <w:tcW w:w="4111" w:type="dxa"/>
            <w:vAlign w:val="center"/>
          </w:tcPr>
          <w:p w:rsidR="009B1361" w:rsidRPr="00CC7883" w:rsidRDefault="009B1361" w:rsidP="00047411">
            <w:pPr>
              <w:widowControl w:val="0"/>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 xml:space="preserve">Витрати на одержання мікроклонів, у т.ч. </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987F49">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39269,2</w:t>
            </w:r>
          </w:p>
        </w:tc>
        <w:tc>
          <w:tcPr>
            <w:tcW w:w="1276" w:type="dxa"/>
          </w:tcPr>
          <w:p w:rsidR="009B1361" w:rsidRPr="00CC7883" w:rsidRDefault="009B1361" w:rsidP="00987F49">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40869,2</w:t>
            </w:r>
          </w:p>
        </w:tc>
        <w:tc>
          <w:tcPr>
            <w:tcW w:w="1275" w:type="dxa"/>
          </w:tcPr>
          <w:p w:rsidR="009B1361" w:rsidRPr="00CC7883" w:rsidRDefault="009B1361" w:rsidP="00987F49">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39229,4</w:t>
            </w:r>
          </w:p>
        </w:tc>
        <w:tc>
          <w:tcPr>
            <w:tcW w:w="1418" w:type="dxa"/>
          </w:tcPr>
          <w:p w:rsidR="009B1361" w:rsidRPr="00CC7883" w:rsidRDefault="009B1361" w:rsidP="00987F49">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40829,4</w:t>
            </w:r>
          </w:p>
        </w:tc>
        <w:tc>
          <w:tcPr>
            <w:tcW w:w="1276" w:type="dxa"/>
          </w:tcPr>
          <w:p w:rsidR="009B1361" w:rsidRPr="00CC7883" w:rsidRDefault="009B1361" w:rsidP="00987F49">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39359,6</w:t>
            </w:r>
          </w:p>
        </w:tc>
        <w:tc>
          <w:tcPr>
            <w:tcW w:w="1814" w:type="dxa"/>
          </w:tcPr>
          <w:p w:rsidR="009B1361" w:rsidRPr="00CC7883" w:rsidRDefault="009B1361" w:rsidP="00987F49">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40959,6</w:t>
            </w:r>
          </w:p>
        </w:tc>
      </w:tr>
      <w:tr w:rsidR="009B1361" w:rsidRPr="00CC7883" w:rsidTr="00061926">
        <w:tc>
          <w:tcPr>
            <w:tcW w:w="4111" w:type="dxa"/>
            <w:vAlign w:val="center"/>
          </w:tcPr>
          <w:p w:rsidR="009B1361" w:rsidRPr="00CC7883" w:rsidRDefault="009B1361" w:rsidP="00047411">
            <w:pPr>
              <w:widowControl w:val="0"/>
              <w:ind w:firstLine="599"/>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витрати на введення ініціальних експлантів та їх мікророзмноження</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276"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275"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418"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276"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814"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r>
      <w:tr w:rsidR="009B1361" w:rsidRPr="00CC7883" w:rsidTr="00061926">
        <w:tc>
          <w:tcPr>
            <w:tcW w:w="4111" w:type="dxa"/>
            <w:vAlign w:val="center"/>
          </w:tcPr>
          <w:p w:rsidR="009B1361" w:rsidRPr="00CC7883" w:rsidRDefault="009B1361" w:rsidP="00047411">
            <w:pPr>
              <w:pStyle w:val="a7"/>
              <w:widowControl w:val="0"/>
              <w:numPr>
                <w:ilvl w:val="0"/>
                <w:numId w:val="25"/>
              </w:numPr>
              <w:ind w:left="0" w:firstLine="599"/>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 приготування поживних середовищ</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20000,0</w:t>
            </w:r>
          </w:p>
        </w:tc>
        <w:tc>
          <w:tcPr>
            <w:tcW w:w="1276"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21600,0</w:t>
            </w:r>
          </w:p>
        </w:tc>
        <w:tc>
          <w:tcPr>
            <w:tcW w:w="1275"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20000,0</w:t>
            </w:r>
          </w:p>
        </w:tc>
        <w:tc>
          <w:tcPr>
            <w:tcW w:w="1418"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21600,0</w:t>
            </w:r>
          </w:p>
        </w:tc>
        <w:tc>
          <w:tcPr>
            <w:tcW w:w="1276"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20000,0</w:t>
            </w:r>
          </w:p>
        </w:tc>
        <w:tc>
          <w:tcPr>
            <w:tcW w:w="1814"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21600,0</w:t>
            </w:r>
          </w:p>
        </w:tc>
      </w:tr>
    </w:tbl>
    <w:p w:rsidR="005C50C4" w:rsidRPr="00CC7883" w:rsidRDefault="009B1361" w:rsidP="00047411">
      <w:pPr>
        <w:widowControl w:val="0"/>
        <w:spacing w:after="0" w:line="360" w:lineRule="auto"/>
        <w:rPr>
          <w:rFonts w:ascii="Times New Roman" w:hAnsi="Times New Roman" w:cs="Times New Roman"/>
          <w:color w:val="000000" w:themeColor="text1"/>
        </w:rPr>
        <w:sectPr w:rsidR="005C50C4" w:rsidRPr="00CC7883" w:rsidSect="000715A3">
          <w:footerReference w:type="default" r:id="rId193"/>
          <w:pgSz w:w="16838" w:h="11906" w:orient="landscape" w:code="9"/>
          <w:pgMar w:top="1701" w:right="1134" w:bottom="850" w:left="1134" w:header="708" w:footer="708" w:gutter="0"/>
          <w:cols w:space="708"/>
          <w:docGrid w:linePitch="360"/>
        </w:sectPr>
      </w:pPr>
      <w:r w:rsidRPr="00CC7883">
        <w:rPr>
          <w:rFonts w:ascii="Times New Roman" w:hAnsi="Times New Roman" w:cs="Times New Roman"/>
          <w:color w:val="000000" w:themeColor="text1"/>
        </w:rPr>
        <w:br w:type="page"/>
      </w:r>
    </w:p>
    <w:p w:rsidR="009B1361" w:rsidRPr="00CC7883" w:rsidRDefault="00061926" w:rsidP="00061926">
      <w:pPr>
        <w:widowControl w:val="0"/>
        <w:spacing w:after="0" w:line="360" w:lineRule="auto"/>
        <w:ind w:right="-31"/>
        <w:jc w:val="right"/>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 </w:t>
      </w:r>
      <w:r w:rsidR="009B1361" w:rsidRPr="00CC7883">
        <w:rPr>
          <w:rFonts w:ascii="Times New Roman" w:hAnsi="Times New Roman" w:cs="Times New Roman"/>
          <w:color w:val="000000" w:themeColor="text1"/>
        </w:rPr>
        <w:t xml:space="preserve">Продовження табл. </w:t>
      </w:r>
      <w:r w:rsidR="00D0656E">
        <w:rPr>
          <w:rFonts w:ascii="Times New Roman" w:hAnsi="Times New Roman" w:cs="Times New Roman"/>
          <w:color w:val="000000" w:themeColor="text1"/>
        </w:rPr>
        <w:t>9</w:t>
      </w:r>
      <w:r w:rsidR="009B1361" w:rsidRPr="00CC7883">
        <w:rPr>
          <w:rFonts w:ascii="Times New Roman" w:hAnsi="Times New Roman" w:cs="Times New Roman"/>
          <w:color w:val="000000" w:themeColor="text1"/>
        </w:rPr>
        <w:t>.1</w:t>
      </w:r>
    </w:p>
    <w:tbl>
      <w:tblPr>
        <w:tblStyle w:val="af8"/>
        <w:tblW w:w="14572" w:type="dxa"/>
        <w:tblInd w:w="137" w:type="dxa"/>
        <w:tblLayout w:type="fixed"/>
        <w:tblLook w:val="04A0"/>
      </w:tblPr>
      <w:tblGrid>
        <w:gridCol w:w="4111"/>
        <w:gridCol w:w="1134"/>
        <w:gridCol w:w="709"/>
        <w:gridCol w:w="1559"/>
        <w:gridCol w:w="1276"/>
        <w:gridCol w:w="1275"/>
        <w:gridCol w:w="1418"/>
        <w:gridCol w:w="1276"/>
        <w:gridCol w:w="1814"/>
      </w:tblGrid>
      <w:tr w:rsidR="009B1361" w:rsidRPr="00CC7883" w:rsidTr="00061926">
        <w:tc>
          <w:tcPr>
            <w:tcW w:w="4111"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rPr>
              <w:t>1</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rPr>
              <w:t>2</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rPr>
              <w:t>3</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rPr>
              <w:t>4</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rPr>
              <w:t>5</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rPr>
              <w:t>6</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rPr>
              <w:t>7</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rPr>
              <w:t>8</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rPr>
              <w:t>9</w:t>
            </w:r>
          </w:p>
        </w:tc>
      </w:tr>
      <w:tr w:rsidR="009B1361" w:rsidRPr="00CC7883" w:rsidTr="00061926">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вартість препаратів</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130,2</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130,2</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90,4</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90,4</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220,6</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220,6</w:t>
            </w:r>
          </w:p>
        </w:tc>
      </w:tr>
      <w:tr w:rsidR="009B1361" w:rsidRPr="00CC7883" w:rsidTr="00061926">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енергоресурси</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r>
      <w:tr w:rsidR="009B1361" w:rsidRPr="00CC7883" w:rsidTr="00061926">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трудові витрати</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c>
          <w:tcPr>
            <w:tcW w:w="1418"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c>
          <w:tcPr>
            <w:tcW w:w="1814"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6500,0</w:t>
            </w:r>
          </w:p>
        </w:tc>
      </w:tr>
      <w:tr w:rsidR="009B1361" w:rsidRPr="00CC7883" w:rsidTr="00061926">
        <w:tc>
          <w:tcPr>
            <w:tcW w:w="4111" w:type="dxa"/>
            <w:vMerge w:val="restart"/>
            <w:vAlign w:val="center"/>
          </w:tcPr>
          <w:p w:rsidR="009B1361" w:rsidRPr="00CC7883" w:rsidRDefault="009B1361" w:rsidP="00047411">
            <w:pPr>
              <w:widowControl w:val="0"/>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 xml:space="preserve">Собівартість 1 тис. адаптованих мікроклонів </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49086,5</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53775,3</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45882,3</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53025,2</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43732,9</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51199,5</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52358,9</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61923,0</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54109,5</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60043,2</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46579,4</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56888,3</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54540,6</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64360,9</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55644,5</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63795,9</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48592,1</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58513,7</w:t>
            </w:r>
          </w:p>
        </w:tc>
      </w:tr>
      <w:tr w:rsidR="009B1361" w:rsidRPr="00CC7883" w:rsidTr="00061926">
        <w:tc>
          <w:tcPr>
            <w:tcW w:w="4111" w:type="dxa"/>
            <w:vAlign w:val="center"/>
          </w:tcPr>
          <w:p w:rsidR="009B1361" w:rsidRPr="00CC7883" w:rsidRDefault="009B1361"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Ціна реалізації адаптованого мікроклона, грн</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276"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275"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418"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276"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814" w:type="dxa"/>
          </w:tcPr>
          <w:p w:rsidR="009B1361" w:rsidRPr="00CC7883" w:rsidRDefault="009B1361" w:rsidP="00987F49">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r>
      <w:tr w:rsidR="009B1361" w:rsidRPr="00CC7883" w:rsidTr="00061926">
        <w:tc>
          <w:tcPr>
            <w:tcW w:w="4111" w:type="dxa"/>
            <w:vMerge w:val="restart"/>
            <w:vAlign w:val="center"/>
          </w:tcPr>
          <w:p w:rsidR="009B1361" w:rsidRPr="00CC7883" w:rsidRDefault="009B1361"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Прибуток (на 1000 мікроклонів)</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32730,8</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27530,8</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37720,6</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28470,6</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41640,4</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31040,4</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28230,8</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18530,8</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26020,6</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20370,6</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36690,4</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23840,4</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25530,8</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16280,8</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24220,6</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16770,6</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33540,4</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22040,4</w:t>
            </w:r>
          </w:p>
        </w:tc>
      </w:tr>
      <w:tr w:rsidR="009B1361" w:rsidRPr="00CC7883" w:rsidTr="00061926">
        <w:tc>
          <w:tcPr>
            <w:tcW w:w="4111" w:type="dxa"/>
            <w:vMerge w:val="restart"/>
            <w:vAlign w:val="center"/>
          </w:tcPr>
          <w:p w:rsidR="009B1361" w:rsidRPr="00CC7883" w:rsidRDefault="009B1361" w:rsidP="00047411">
            <w:pPr>
              <w:widowControl w:val="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Рівень рентабельності</w:t>
            </w: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83,3</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67,4</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96,2</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69,7</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105,8</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75,8</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sz w:val="28"/>
                <w:szCs w:val="28"/>
              </w:rPr>
              <w:t>%</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71,9</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45,3</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66,3</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49,9</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93,2</w:t>
            </w:r>
          </w:p>
        </w:tc>
        <w:tc>
          <w:tcPr>
            <w:tcW w:w="1814"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58,2</w:t>
            </w:r>
          </w:p>
        </w:tc>
      </w:tr>
      <w:tr w:rsidR="009B1361" w:rsidRPr="00CC7883" w:rsidTr="00061926">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sz w:val="28"/>
                <w:szCs w:val="28"/>
              </w:rPr>
              <w:t>%</w:t>
            </w:r>
          </w:p>
        </w:tc>
        <w:tc>
          <w:tcPr>
            <w:tcW w:w="1559"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65,0</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39,8</w:t>
            </w:r>
          </w:p>
        </w:tc>
        <w:tc>
          <w:tcPr>
            <w:tcW w:w="1275"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61,7</w:t>
            </w:r>
          </w:p>
        </w:tc>
        <w:tc>
          <w:tcPr>
            <w:tcW w:w="1418"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41,1</w:t>
            </w:r>
          </w:p>
        </w:tc>
        <w:tc>
          <w:tcPr>
            <w:tcW w:w="1276" w:type="dxa"/>
            <w:vAlign w:val="center"/>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85,2</w:t>
            </w:r>
          </w:p>
        </w:tc>
        <w:tc>
          <w:tcPr>
            <w:tcW w:w="1814" w:type="dxa"/>
            <w:vAlign w:val="center"/>
          </w:tcPr>
          <w:p w:rsidR="00750C1A"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53,8</w:t>
            </w:r>
          </w:p>
        </w:tc>
      </w:tr>
    </w:tbl>
    <w:p w:rsidR="00750C1A" w:rsidRPr="00CC7883" w:rsidRDefault="00750C1A" w:rsidP="00047411">
      <w:pPr>
        <w:widowControl w:val="0"/>
        <w:rPr>
          <w:rFonts w:ascii="Times New Roman" w:hAnsi="Times New Roman" w:cs="Times New Roman"/>
          <w:color w:val="000000" w:themeColor="text1"/>
          <w:sz w:val="28"/>
        </w:rPr>
        <w:sectPr w:rsidR="00750C1A" w:rsidRPr="00CC7883" w:rsidSect="000715A3">
          <w:footerReference w:type="default" r:id="rId194"/>
          <w:pgSz w:w="16838" w:h="11906" w:orient="landscape" w:code="9"/>
          <w:pgMar w:top="1701" w:right="1134" w:bottom="850" w:left="1134" w:header="708" w:footer="708" w:gutter="0"/>
          <w:cols w:space="708"/>
          <w:docGrid w:linePitch="360"/>
        </w:sectPr>
      </w:pPr>
    </w:p>
    <w:p w:rsidR="009B1361" w:rsidRPr="00CC7883" w:rsidRDefault="009B1361" w:rsidP="00047411">
      <w:pPr>
        <w:widowControl w:val="0"/>
        <w:spacing w:after="0" w:line="360" w:lineRule="auto"/>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lastRenderedPageBreak/>
        <w:t>Додаткові витрати на мінеральний субстрат збільшували загальні витрати тільки на 1400,0–1800,0 грн порівняно з контролем, тобто вони суттєво не впливали на зниження економічного результату. Аналогічну закономірність за даним показником було отримано і для технічних сортів (</w:t>
      </w:r>
      <w:r w:rsidR="00DC4415" w:rsidRPr="00CC7883">
        <w:rPr>
          <w:rFonts w:ascii="Times New Roman" w:hAnsi="Times New Roman" w:cs="Times New Roman"/>
          <w:color w:val="000000" w:themeColor="text1"/>
          <w:sz w:val="28"/>
          <w:szCs w:val="28"/>
        </w:rPr>
        <w:t xml:space="preserve">табл. </w:t>
      </w:r>
      <w:r w:rsidR="0020514E">
        <w:rPr>
          <w:rFonts w:ascii="Times New Roman" w:hAnsi="Times New Roman" w:cs="Times New Roman"/>
          <w:color w:val="000000" w:themeColor="text1"/>
          <w:sz w:val="28"/>
        </w:rPr>
        <w:t>9</w:t>
      </w:r>
      <w:r w:rsidRPr="00CC7883">
        <w:rPr>
          <w:rFonts w:ascii="Times New Roman" w:hAnsi="Times New Roman" w:cs="Times New Roman"/>
          <w:color w:val="000000" w:themeColor="text1"/>
          <w:sz w:val="28"/>
        </w:rPr>
        <w:t xml:space="preserve">.2, </w:t>
      </w:r>
      <w:r w:rsidR="00DC4415" w:rsidRPr="00CC7883">
        <w:rPr>
          <w:rFonts w:ascii="Times New Roman" w:hAnsi="Times New Roman" w:cs="Times New Roman"/>
          <w:color w:val="000000" w:themeColor="text1"/>
          <w:sz w:val="28"/>
        </w:rPr>
        <w:t>д</w:t>
      </w:r>
      <w:r w:rsidRPr="00CC7883">
        <w:rPr>
          <w:rFonts w:ascii="Times New Roman" w:hAnsi="Times New Roman" w:cs="Times New Roman"/>
          <w:color w:val="000000" w:themeColor="text1"/>
          <w:sz w:val="28"/>
        </w:rPr>
        <w:t>одаток</w:t>
      </w:r>
      <w:r w:rsidR="002C064A">
        <w:rPr>
          <w:rFonts w:ascii="Times New Roman" w:hAnsi="Times New Roman" w:cs="Times New Roman"/>
          <w:color w:val="000000" w:themeColor="text1"/>
          <w:sz w:val="28"/>
        </w:rPr>
        <w:t> </w:t>
      </w:r>
      <w:r w:rsidR="00BF1869" w:rsidRPr="00CC7883">
        <w:rPr>
          <w:rFonts w:ascii="Times New Roman" w:hAnsi="Times New Roman" w:cs="Times New Roman"/>
          <w:color w:val="000000" w:themeColor="text1"/>
          <w:sz w:val="28"/>
        </w:rPr>
        <w:t>Д</w:t>
      </w:r>
      <w:r w:rsidR="006A0234">
        <w:rPr>
          <w:rFonts w:ascii="Times New Roman" w:hAnsi="Times New Roman" w:cs="Times New Roman"/>
          <w:color w:val="000000" w:themeColor="text1"/>
          <w:sz w:val="28"/>
        </w:rPr>
        <w:t>.</w:t>
      </w:r>
      <w:r w:rsidR="003E4136">
        <w:rPr>
          <w:rFonts w:ascii="Times New Roman" w:hAnsi="Times New Roman" w:cs="Times New Roman"/>
          <w:color w:val="000000" w:themeColor="text1"/>
          <w:sz w:val="28"/>
        </w:rPr>
        <w:t> </w:t>
      </w:r>
      <w:r w:rsidR="006A0234">
        <w:rPr>
          <w:rFonts w:ascii="Times New Roman" w:hAnsi="Times New Roman" w:cs="Times New Roman"/>
          <w:color w:val="000000" w:themeColor="text1"/>
          <w:sz w:val="28"/>
        </w:rPr>
        <w:t>4–Д.</w:t>
      </w:r>
      <w:r w:rsidR="003E4136">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6</w:t>
      </w:r>
      <w:r w:rsidRPr="00CC7883">
        <w:rPr>
          <w:rFonts w:ascii="Times New Roman" w:hAnsi="Times New Roman" w:cs="Times New Roman"/>
          <w:color w:val="000000" w:themeColor="text1"/>
          <w:sz w:val="28"/>
        </w:rPr>
        <w:t>).</w:t>
      </w:r>
    </w:p>
    <w:p w:rsidR="00634F56" w:rsidRPr="00CC7883" w:rsidRDefault="00A957D6" w:rsidP="003E4136">
      <w:pPr>
        <w:widowControl w:val="0"/>
        <w:spacing w:after="0" w:line="360" w:lineRule="auto"/>
        <w:ind w:firstLine="709"/>
        <w:jc w:val="both"/>
        <w:rPr>
          <w:rFonts w:ascii="Times New Roman" w:hAnsi="Times New Roman" w:cs="Times New Roman"/>
          <w:color w:val="000000" w:themeColor="text1"/>
          <w:sz w:val="28"/>
        </w:rPr>
      </w:pPr>
      <w:r w:rsidRPr="00CC7883">
        <w:rPr>
          <w:rFonts w:ascii="Times New Roman" w:hAnsi="Times New Roman" w:cs="Times New Roman"/>
          <w:i/>
          <w:color w:val="000000" w:themeColor="text1"/>
          <w:sz w:val="28"/>
        </w:rPr>
        <w:t>Собівартість</w:t>
      </w:r>
      <w:r w:rsidRPr="00CC7883">
        <w:rPr>
          <w:rFonts w:ascii="Times New Roman" w:hAnsi="Times New Roman" w:cs="Times New Roman"/>
          <w:color w:val="000000" w:themeColor="text1"/>
          <w:sz w:val="28"/>
        </w:rPr>
        <w:t>. Показник собівартості адаптованих мікроклонів винограду на різних поживних середовищах безпосередньо залежав від приживлюваності рослин через 30, 60 та 90 діб адаптації. За незмінних витрат збільшення кількості рослин, що приживалися</w:t>
      </w:r>
      <w:r w:rsidR="00117A55">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сприяло зменшенню витрат на 1000 шт. одержаної продукції. У контрольних варіантах (перший, другий), де мікроклони культивували на поживних середовищах без додаткових складових, приживлюваність була низькою, особливо на 60–90 добу спостережень, тому собівартість продукції різко зростала – до 138098,3 грн (60-та доба) і 189483,7</w:t>
      </w:r>
      <w:r w:rsidR="000715A3"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грн (90-та доба).</w:t>
      </w:r>
      <w:r w:rsidR="00F21D92"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 xml:space="preserve">Така собівартість фактично унеможливлює економічно виправдане промислове використання технології без її модернізації. У сьомому–дванадцятому дослідних варіантах, де до поживних середовищ MS додавали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004C5062" w:rsidRPr="00CC7883">
        <w:rPr>
          <w:rFonts w:ascii="Times New Roman" w:eastAsia="Times New Roman" w:hAnsi="Times New Roman" w:cs="Times New Roman"/>
          <w:color w:val="000000" w:themeColor="text1"/>
          <w:sz w:val="28"/>
          <w:szCs w:val="28"/>
          <w:lang w:eastAsia="ru-RU"/>
        </w:rPr>
        <w:t>і</w:t>
      </w:r>
      <w:r w:rsidR="004C5062"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 xml:space="preserve">компоненти, приживлюваність мікроклонів в умовах </w:t>
      </w:r>
      <w:r w:rsidR="00681BB9"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s="Times New Roman"/>
          <w:color w:val="000000" w:themeColor="text1"/>
          <w:sz w:val="28"/>
        </w:rPr>
        <w:t xml:space="preserve"> була більшою і це сприяло зниженню собівартості продукції в середньому на 36,6–52,9 % (через 30 діб), 45,7–58,8 % (через 60 діб), 51,3–69,1</w:t>
      </w:r>
      <w:r w:rsidR="000715A3"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 (через 90 діб) для підщепних і на 23,7–40,3 %, 35,8–57,6 %, 40,3–59,8 % для технічних сортів відносно контролю та відповідно на 35,5–41,9 %, 24,2–46,7</w:t>
      </w:r>
      <w:r w:rsidR="009A27A1">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 30,2–57,9 % і на 22,3–27,2 %, 14,7–26,1 %, 14,2–25,0 % відносно варіантів із БАП.</w:t>
      </w:r>
      <w:r w:rsidR="009D31D1">
        <w:rPr>
          <w:rFonts w:ascii="Times New Roman" w:hAnsi="Times New Roman" w:cs="Times New Roman"/>
          <w:color w:val="000000" w:themeColor="text1"/>
          <w:sz w:val="28"/>
        </w:rPr>
        <w:t xml:space="preserve"> </w:t>
      </w:r>
      <w:r w:rsidR="00DC6CC8" w:rsidRPr="00CC7883">
        <w:rPr>
          <w:rFonts w:ascii="Times New Roman" w:hAnsi="Times New Roman" w:cs="Times New Roman"/>
          <w:color w:val="000000" w:themeColor="text1"/>
          <w:sz w:val="28"/>
        </w:rPr>
        <w:t>Натомість, показники собівартості для варіантів, де застосували Радіфарм і Clonex gel у поживних середовищах, збільшувались відносно контролю на 8,5–32,6 % (через 30 діб), 26,0–45,1 % (через 60 діб), 34,3–54,4 % (через 90 діб) для</w:t>
      </w:r>
      <w:r w:rsidR="00F21D92" w:rsidRPr="00CC7883">
        <w:rPr>
          <w:rFonts w:ascii="Times New Roman" w:hAnsi="Times New Roman" w:cs="Times New Roman"/>
          <w:color w:val="000000" w:themeColor="text1"/>
          <w:sz w:val="28"/>
        </w:rPr>
        <w:t xml:space="preserve"> </w:t>
      </w:r>
      <w:r w:rsidR="000715A3" w:rsidRPr="00CC7883">
        <w:rPr>
          <w:rFonts w:ascii="Times New Roman" w:hAnsi="Times New Roman" w:cs="Times New Roman"/>
          <w:color w:val="000000" w:themeColor="text1"/>
          <w:sz w:val="28"/>
        </w:rPr>
        <w:t>підщепних</w:t>
      </w:r>
      <w:r w:rsidR="00634F56">
        <w:rPr>
          <w:rFonts w:ascii="Times New Roman" w:hAnsi="Times New Roman" w:cs="Times New Roman"/>
          <w:color w:val="000000" w:themeColor="text1"/>
          <w:sz w:val="28"/>
        </w:rPr>
        <w:t xml:space="preserve"> </w:t>
      </w:r>
      <w:r w:rsidR="00634F56" w:rsidRPr="00CC7883">
        <w:rPr>
          <w:rFonts w:ascii="Times New Roman" w:hAnsi="Times New Roman" w:cs="Times New Roman"/>
          <w:color w:val="000000" w:themeColor="text1"/>
          <w:sz w:val="28"/>
        </w:rPr>
        <w:t>сортів, відповідно на 5,1–20,3 %, 28,2–45,1 %, 31,1–48,3</w:t>
      </w:r>
      <w:r w:rsidR="00634F56" w:rsidRPr="00CA6605">
        <w:rPr>
          <w:rFonts w:ascii="Times New Roman" w:hAnsi="Times New Roman" w:cs="Times New Roman"/>
          <w:bCs/>
          <w:color w:val="000000" w:themeColor="text1"/>
          <w:sz w:val="28"/>
        </w:rPr>
        <w:t xml:space="preserve"> %</w:t>
      </w:r>
      <w:r w:rsidR="00634F56" w:rsidRPr="00CC7883">
        <w:rPr>
          <w:rFonts w:ascii="Times New Roman" w:hAnsi="Times New Roman" w:cs="Times New Roman"/>
          <w:color w:val="000000" w:themeColor="text1"/>
          <w:sz w:val="28"/>
        </w:rPr>
        <w:t xml:space="preserve"> для технічних сортів (</w:t>
      </w:r>
      <w:r w:rsidR="00634F56" w:rsidRPr="00CC7883">
        <w:rPr>
          <w:rFonts w:ascii="Times New Roman" w:hAnsi="Times New Roman" w:cs="Times New Roman"/>
          <w:color w:val="000000" w:themeColor="text1"/>
          <w:sz w:val="28"/>
          <w:szCs w:val="28"/>
        </w:rPr>
        <w:t xml:space="preserve">табл. </w:t>
      </w:r>
      <w:r w:rsidR="00634F56">
        <w:rPr>
          <w:rFonts w:ascii="Times New Roman" w:hAnsi="Times New Roman" w:cs="Times New Roman"/>
          <w:color w:val="000000" w:themeColor="text1"/>
          <w:sz w:val="28"/>
        </w:rPr>
        <w:t>9</w:t>
      </w:r>
      <w:r w:rsidR="00634F56" w:rsidRPr="00CC7883">
        <w:rPr>
          <w:rFonts w:ascii="Times New Roman" w:hAnsi="Times New Roman" w:cs="Times New Roman"/>
          <w:color w:val="000000" w:themeColor="text1"/>
          <w:sz w:val="28"/>
        </w:rPr>
        <w:t>.1, додаток Д</w:t>
      </w:r>
      <w:r w:rsidR="006A0234">
        <w:rPr>
          <w:rFonts w:ascii="Times New Roman" w:hAnsi="Times New Roman" w:cs="Times New Roman"/>
          <w:color w:val="000000" w:themeColor="text1"/>
          <w:sz w:val="28"/>
        </w:rPr>
        <w:t>.</w:t>
      </w:r>
      <w:r w:rsidR="003E4136">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1–Д.</w:t>
      </w:r>
      <w:r w:rsidR="003E4136">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3</w:t>
      </w:r>
      <w:r w:rsidR="00634F56" w:rsidRPr="00CC7883">
        <w:rPr>
          <w:rFonts w:ascii="Times New Roman" w:hAnsi="Times New Roman" w:cs="Times New Roman"/>
          <w:color w:val="000000" w:themeColor="text1"/>
          <w:sz w:val="28"/>
        </w:rPr>
        <w:t>).</w:t>
      </w:r>
    </w:p>
    <w:p w:rsidR="00750C1A" w:rsidRPr="00CC7883" w:rsidRDefault="00750C1A" w:rsidP="00047411">
      <w:pPr>
        <w:widowControl w:val="0"/>
        <w:spacing w:after="0" w:line="360" w:lineRule="auto"/>
        <w:ind w:firstLine="709"/>
        <w:jc w:val="both"/>
        <w:rPr>
          <w:rFonts w:ascii="Times New Roman" w:hAnsi="Times New Roman" w:cs="Times New Roman"/>
          <w:color w:val="000000" w:themeColor="text1"/>
          <w:sz w:val="28"/>
        </w:rPr>
        <w:sectPr w:rsidR="00750C1A" w:rsidRPr="00CC7883" w:rsidSect="000715A3">
          <w:headerReference w:type="default" r:id="rId195"/>
          <w:pgSz w:w="11906" w:h="16838" w:code="9"/>
          <w:pgMar w:top="1134" w:right="851" w:bottom="1134" w:left="1701" w:header="709" w:footer="709" w:gutter="0"/>
          <w:cols w:space="708"/>
          <w:docGrid w:linePitch="360"/>
        </w:sectPr>
      </w:pPr>
    </w:p>
    <w:p w:rsidR="009B1361" w:rsidRPr="00CC7883" w:rsidRDefault="009B1361" w:rsidP="00047411">
      <w:pPr>
        <w:widowControl w:val="0"/>
        <w:spacing w:after="0" w:line="360" w:lineRule="auto"/>
        <w:jc w:val="right"/>
        <w:rPr>
          <w:rFonts w:ascii="Times New Roman" w:hAnsi="Times New Roman" w:cs="Times New Roman"/>
          <w:i/>
          <w:color w:val="000000" w:themeColor="text1"/>
          <w:sz w:val="28"/>
        </w:rPr>
      </w:pPr>
      <w:r w:rsidRPr="00CC7883">
        <w:rPr>
          <w:rFonts w:ascii="Times New Roman" w:hAnsi="Times New Roman" w:cs="Times New Roman"/>
          <w:i/>
          <w:color w:val="000000" w:themeColor="text1"/>
          <w:sz w:val="28"/>
        </w:rPr>
        <w:lastRenderedPageBreak/>
        <w:t xml:space="preserve">Таблиця </w:t>
      </w:r>
      <w:r w:rsidR="0020514E">
        <w:rPr>
          <w:rFonts w:ascii="Times New Roman" w:hAnsi="Times New Roman" w:cs="Times New Roman"/>
          <w:i/>
          <w:color w:val="000000" w:themeColor="text1"/>
          <w:sz w:val="28"/>
        </w:rPr>
        <w:t>9</w:t>
      </w:r>
      <w:r w:rsidRPr="00CC7883">
        <w:rPr>
          <w:rFonts w:ascii="Times New Roman" w:hAnsi="Times New Roman" w:cs="Times New Roman"/>
          <w:i/>
          <w:color w:val="000000" w:themeColor="text1"/>
          <w:sz w:val="28"/>
        </w:rPr>
        <w:t>.2</w:t>
      </w:r>
    </w:p>
    <w:p w:rsidR="003E4136" w:rsidRDefault="009B1361" w:rsidP="00047411">
      <w:pPr>
        <w:widowControl w:val="0"/>
        <w:spacing w:after="0" w:line="360" w:lineRule="auto"/>
        <w:jc w:val="center"/>
        <w:rPr>
          <w:rFonts w:ascii="Times New Roman" w:hAnsi="Times New Roman" w:cs="Times New Roman"/>
          <w:b/>
          <w:bCs/>
          <w:color w:val="000000" w:themeColor="text1"/>
          <w:sz w:val="28"/>
          <w:szCs w:val="28"/>
          <w:lang w:eastAsia="uk-UA" w:bidi="uk-UA"/>
        </w:rPr>
      </w:pPr>
      <w:r w:rsidRPr="00CC7883">
        <w:rPr>
          <w:rFonts w:ascii="Times New Roman" w:hAnsi="Times New Roman" w:cs="Times New Roman"/>
          <w:b/>
          <w:bCs/>
          <w:color w:val="000000" w:themeColor="text1"/>
          <w:sz w:val="28"/>
          <w:szCs w:val="28"/>
          <w:lang w:eastAsia="uk-UA" w:bidi="uk-UA"/>
        </w:rPr>
        <w:t xml:space="preserve">Економічна ефективність удосконалених технологічних прийомів культивування винограду підщепного </w:t>
      </w:r>
    </w:p>
    <w:p w:rsidR="009B1361" w:rsidRPr="00CC7883" w:rsidRDefault="009B1361" w:rsidP="00047411">
      <w:pPr>
        <w:widowControl w:val="0"/>
        <w:spacing w:after="0" w:line="360" w:lineRule="auto"/>
        <w:jc w:val="center"/>
        <w:rPr>
          <w:rFonts w:ascii="Times New Roman" w:hAnsi="Times New Roman" w:cs="Times New Roman"/>
          <w:color w:val="000000" w:themeColor="text1"/>
          <w:sz w:val="28"/>
        </w:rPr>
      </w:pPr>
      <w:r w:rsidRPr="00CC7883">
        <w:rPr>
          <w:rFonts w:ascii="Times New Roman" w:hAnsi="Times New Roman" w:cs="Times New Roman"/>
          <w:b/>
          <w:bCs/>
          <w:color w:val="000000" w:themeColor="text1"/>
          <w:sz w:val="28"/>
          <w:szCs w:val="28"/>
          <w:lang w:eastAsia="uk-UA" w:bidi="uk-UA"/>
        </w:rPr>
        <w:t xml:space="preserve">сорту «Добриня» </w:t>
      </w:r>
      <w:r w:rsidRPr="00CC7883">
        <w:rPr>
          <w:rFonts w:ascii="Times New Roman" w:hAnsi="Times New Roman" w:cs="Times New Roman"/>
          <w:b/>
          <w:bCs/>
          <w:i/>
          <w:color w:val="000000" w:themeColor="text1"/>
          <w:sz w:val="28"/>
          <w:szCs w:val="28"/>
          <w:lang w:eastAsia="uk-UA" w:bidi="uk-UA"/>
        </w:rPr>
        <w:t>in</w:t>
      </w:r>
      <w:r w:rsidR="00F5525C" w:rsidRPr="00CC7883">
        <w:rPr>
          <w:rFonts w:ascii="Times New Roman" w:hAnsi="Times New Roman" w:cs="Times New Roman"/>
          <w:b/>
          <w:bCs/>
          <w:i/>
          <w:color w:val="000000" w:themeColor="text1"/>
          <w:sz w:val="28"/>
          <w:szCs w:val="28"/>
          <w:lang w:eastAsia="uk-UA" w:bidi="uk-UA"/>
        </w:rPr>
        <w:t> </w:t>
      </w:r>
      <w:r w:rsidRPr="00CC7883">
        <w:rPr>
          <w:rFonts w:ascii="Times New Roman" w:hAnsi="Times New Roman" w:cs="Times New Roman"/>
          <w:b/>
          <w:bCs/>
          <w:i/>
          <w:color w:val="000000" w:themeColor="text1"/>
          <w:sz w:val="28"/>
          <w:szCs w:val="28"/>
          <w:lang w:eastAsia="uk-UA" w:bidi="uk-UA"/>
        </w:rPr>
        <w:t>vitro</w:t>
      </w:r>
    </w:p>
    <w:tbl>
      <w:tblPr>
        <w:tblStyle w:val="af8"/>
        <w:tblW w:w="14555" w:type="dxa"/>
        <w:jc w:val="center"/>
        <w:tblLayout w:type="fixed"/>
        <w:tblLook w:val="04A0"/>
      </w:tblPr>
      <w:tblGrid>
        <w:gridCol w:w="4369"/>
        <w:gridCol w:w="1134"/>
        <w:gridCol w:w="709"/>
        <w:gridCol w:w="1559"/>
        <w:gridCol w:w="1276"/>
        <w:gridCol w:w="1276"/>
        <w:gridCol w:w="1861"/>
        <w:gridCol w:w="2371"/>
      </w:tblGrid>
      <w:tr w:rsidR="009B1361" w:rsidRPr="00CC7883" w:rsidTr="007D1617">
        <w:trPr>
          <w:trHeight w:val="322"/>
          <w:jc w:val="center"/>
        </w:trPr>
        <w:tc>
          <w:tcPr>
            <w:tcW w:w="4369" w:type="dxa"/>
            <w:vMerge w:val="restart"/>
            <w:vAlign w:val="center"/>
          </w:tcPr>
          <w:p w:rsidR="009B1361" w:rsidRPr="00CC7883" w:rsidRDefault="009B1361" w:rsidP="004A76B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Показники</w:t>
            </w:r>
          </w:p>
        </w:tc>
        <w:tc>
          <w:tcPr>
            <w:tcW w:w="1134" w:type="dxa"/>
            <w:vMerge w:val="restart"/>
            <w:textDirection w:val="btLr"/>
          </w:tcPr>
          <w:p w:rsidR="009B1361" w:rsidRPr="00CC7883" w:rsidRDefault="009B1361" w:rsidP="00047411">
            <w:pPr>
              <w:widowControl w:val="0"/>
              <w:ind w:left="113" w:right="113"/>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Термін культивування мікроклонів, діб</w:t>
            </w:r>
          </w:p>
        </w:tc>
        <w:tc>
          <w:tcPr>
            <w:tcW w:w="709" w:type="dxa"/>
            <w:vMerge w:val="restart"/>
            <w:textDirection w:val="btLr"/>
          </w:tcPr>
          <w:p w:rsidR="009B1361" w:rsidRPr="00CC7883" w:rsidRDefault="009B1361" w:rsidP="00047411">
            <w:pPr>
              <w:widowControl w:val="0"/>
              <w:ind w:left="113" w:right="113"/>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Одиниці вимірювання</w:t>
            </w:r>
          </w:p>
        </w:tc>
        <w:tc>
          <w:tcPr>
            <w:tcW w:w="8343" w:type="dxa"/>
            <w:gridSpan w:val="5"/>
          </w:tcPr>
          <w:p w:rsidR="009B1361" w:rsidRPr="00CC7883" w:rsidRDefault="009B1361" w:rsidP="00047411">
            <w:pPr>
              <w:widowControl w:val="0"/>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Варіанти досліду</w:t>
            </w:r>
          </w:p>
        </w:tc>
      </w:tr>
      <w:tr w:rsidR="009B1361" w:rsidRPr="00CC7883" w:rsidTr="007D1617">
        <w:trPr>
          <w:trHeight w:val="2576"/>
          <w:jc w:val="center"/>
        </w:trPr>
        <w:tc>
          <w:tcPr>
            <w:tcW w:w="4369" w:type="dxa"/>
            <w:vMerge/>
            <w:vAlign w:val="center"/>
          </w:tcPr>
          <w:p w:rsidR="009B1361" w:rsidRPr="00CC7883" w:rsidRDefault="009B1361" w:rsidP="00047411">
            <w:pPr>
              <w:widowControl w:val="0"/>
              <w:jc w:val="both"/>
              <w:rPr>
                <w:rFonts w:ascii="Times New Roman" w:hAnsi="Times New Roman" w:cs="Times New Roman"/>
                <w:color w:val="000000" w:themeColor="text1"/>
                <w:sz w:val="28"/>
                <w:szCs w:val="28"/>
              </w:rPr>
            </w:pPr>
          </w:p>
        </w:tc>
        <w:tc>
          <w:tcPr>
            <w:tcW w:w="1134" w:type="dxa"/>
            <w:vMerge/>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709" w:type="dxa"/>
            <w:vMerge/>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861"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w:t>
            </w:r>
          </w:p>
        </w:tc>
        <w:tc>
          <w:tcPr>
            <w:tcW w:w="2371" w:type="dxa"/>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r>
      <w:tr w:rsidR="009B1361" w:rsidRPr="00CC7883" w:rsidTr="007D1617">
        <w:trPr>
          <w:jc w:val="center"/>
        </w:trPr>
        <w:tc>
          <w:tcPr>
            <w:tcW w:w="4369"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1</w:t>
            </w:r>
          </w:p>
        </w:tc>
        <w:tc>
          <w:tcPr>
            <w:tcW w:w="1134" w:type="dxa"/>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2</w:t>
            </w:r>
          </w:p>
        </w:tc>
        <w:tc>
          <w:tcPr>
            <w:tcW w:w="709" w:type="dxa"/>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3</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4</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5</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6</w:t>
            </w:r>
          </w:p>
        </w:tc>
        <w:tc>
          <w:tcPr>
            <w:tcW w:w="1861"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7</w:t>
            </w:r>
          </w:p>
        </w:tc>
        <w:tc>
          <w:tcPr>
            <w:tcW w:w="2371"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8</w:t>
            </w:r>
          </w:p>
        </w:tc>
      </w:tr>
      <w:tr w:rsidR="009B1361" w:rsidRPr="00CC7883" w:rsidTr="007D1617">
        <w:trPr>
          <w:jc w:val="center"/>
        </w:trPr>
        <w:tc>
          <w:tcPr>
            <w:tcW w:w="4369" w:type="dxa"/>
            <w:vAlign w:val="center"/>
          </w:tcPr>
          <w:p w:rsidR="009B1361" w:rsidRPr="00CC7883" w:rsidRDefault="009B1361" w:rsidP="00047411">
            <w:pPr>
              <w:widowControl w:val="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Висаджено мікроклонів на адаптацію</w:t>
            </w: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tcPr>
          <w:p w:rsidR="009B1361" w:rsidRPr="00CC7883" w:rsidRDefault="009B1361" w:rsidP="00076FD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276" w:type="dxa"/>
          </w:tcPr>
          <w:p w:rsidR="009B1361" w:rsidRPr="00CC7883" w:rsidRDefault="009B1361" w:rsidP="00076FD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276" w:type="dxa"/>
          </w:tcPr>
          <w:p w:rsidR="009B1361" w:rsidRPr="00CC7883" w:rsidRDefault="009B1361" w:rsidP="00076FD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1861" w:type="dxa"/>
          </w:tcPr>
          <w:p w:rsidR="009B1361" w:rsidRPr="00CC7883" w:rsidRDefault="009B1361" w:rsidP="00076FD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c>
          <w:tcPr>
            <w:tcW w:w="2371" w:type="dxa"/>
          </w:tcPr>
          <w:p w:rsidR="009B1361" w:rsidRPr="00CC7883" w:rsidRDefault="009B1361" w:rsidP="00076FD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w:t>
            </w:r>
          </w:p>
        </w:tc>
      </w:tr>
      <w:tr w:rsidR="009B1361" w:rsidRPr="00CC7883" w:rsidTr="007D1617">
        <w:trPr>
          <w:jc w:val="center"/>
        </w:trPr>
        <w:tc>
          <w:tcPr>
            <w:tcW w:w="4369" w:type="dxa"/>
            <w:vMerge w:val="restart"/>
            <w:vAlign w:val="center"/>
          </w:tcPr>
          <w:p w:rsidR="009B1361" w:rsidRPr="00CC7883" w:rsidRDefault="009B1361"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Приживлюваність мікроклонів через: </w:t>
            </w: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465,0</w:t>
            </w:r>
          </w:p>
        </w:tc>
        <w:tc>
          <w:tcPr>
            <w:tcW w:w="1276"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375,0</w:t>
            </w:r>
          </w:p>
        </w:tc>
        <w:tc>
          <w:tcPr>
            <w:tcW w:w="1276"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825,0</w:t>
            </w:r>
          </w:p>
        </w:tc>
        <w:tc>
          <w:tcPr>
            <w:tcW w:w="1861"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783,0</w:t>
            </w:r>
          </w:p>
        </w:tc>
        <w:tc>
          <w:tcPr>
            <w:tcW w:w="2371"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867,0</w:t>
            </w:r>
          </w:p>
        </w:tc>
      </w:tr>
      <w:tr w:rsidR="009B1361" w:rsidRPr="00CC7883" w:rsidTr="007D1617">
        <w:trPr>
          <w:jc w:val="center"/>
        </w:trPr>
        <w:tc>
          <w:tcPr>
            <w:tcW w:w="4369" w:type="dxa"/>
            <w:vMerge/>
            <w:vAlign w:val="center"/>
          </w:tcPr>
          <w:p w:rsidR="009B1361" w:rsidRPr="00CC7883" w:rsidRDefault="009B1361" w:rsidP="00047411">
            <w:pPr>
              <w:widowControl w:val="0"/>
              <w:rPr>
                <w:rFonts w:ascii="Times New Roman" w:hAnsi="Times New Roman" w:cs="Times New Roman"/>
                <w:bCs/>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46,5</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37,5</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82,5</w:t>
            </w:r>
          </w:p>
        </w:tc>
        <w:tc>
          <w:tcPr>
            <w:tcW w:w="1861"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78,3</w:t>
            </w:r>
          </w:p>
        </w:tc>
        <w:tc>
          <w:tcPr>
            <w:tcW w:w="2371"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86,7</w:t>
            </w:r>
          </w:p>
        </w:tc>
      </w:tr>
      <w:tr w:rsidR="009B1361" w:rsidRPr="00CC7883" w:rsidTr="007D1617">
        <w:trPr>
          <w:jc w:val="center"/>
        </w:trPr>
        <w:tc>
          <w:tcPr>
            <w:tcW w:w="4369" w:type="dxa"/>
            <w:vMerge/>
            <w:vAlign w:val="center"/>
          </w:tcPr>
          <w:p w:rsidR="009B1361" w:rsidRPr="00CC7883" w:rsidRDefault="009B1361" w:rsidP="00047411">
            <w:pPr>
              <w:widowControl w:val="0"/>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360,0</w:t>
            </w:r>
          </w:p>
        </w:tc>
        <w:tc>
          <w:tcPr>
            <w:tcW w:w="1276"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295,0</w:t>
            </w:r>
          </w:p>
        </w:tc>
        <w:tc>
          <w:tcPr>
            <w:tcW w:w="1276"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730,0</w:t>
            </w:r>
          </w:p>
        </w:tc>
        <w:tc>
          <w:tcPr>
            <w:tcW w:w="1861"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685,0</w:t>
            </w:r>
          </w:p>
        </w:tc>
        <w:tc>
          <w:tcPr>
            <w:tcW w:w="2371"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780,0</w:t>
            </w:r>
          </w:p>
        </w:tc>
      </w:tr>
      <w:tr w:rsidR="009B1361" w:rsidRPr="00CC7883" w:rsidTr="007D1617">
        <w:trPr>
          <w:jc w:val="center"/>
        </w:trPr>
        <w:tc>
          <w:tcPr>
            <w:tcW w:w="4369" w:type="dxa"/>
            <w:vMerge/>
            <w:vAlign w:val="center"/>
          </w:tcPr>
          <w:p w:rsidR="009B1361" w:rsidRPr="00CC7883" w:rsidRDefault="009B1361" w:rsidP="00047411">
            <w:pPr>
              <w:widowControl w:val="0"/>
              <w:rPr>
                <w:rFonts w:ascii="Times New Roman" w:hAnsi="Times New Roman" w:cs="Times New Roman"/>
                <w:bCs/>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36,0</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29,5</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73,0</w:t>
            </w:r>
          </w:p>
        </w:tc>
        <w:tc>
          <w:tcPr>
            <w:tcW w:w="1861"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68,5</w:t>
            </w:r>
          </w:p>
        </w:tc>
        <w:tc>
          <w:tcPr>
            <w:tcW w:w="2371"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78,0</w:t>
            </w:r>
          </w:p>
        </w:tc>
      </w:tr>
      <w:tr w:rsidR="009B1361" w:rsidRPr="00CC7883" w:rsidTr="007D1617">
        <w:trPr>
          <w:jc w:val="center"/>
        </w:trPr>
        <w:tc>
          <w:tcPr>
            <w:tcW w:w="4369" w:type="dxa"/>
            <w:vMerge/>
            <w:vAlign w:val="center"/>
          </w:tcPr>
          <w:p w:rsidR="009B1361" w:rsidRPr="00CC7883" w:rsidRDefault="009B1361" w:rsidP="00047411">
            <w:pPr>
              <w:widowControl w:val="0"/>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шт.</w:t>
            </w:r>
          </w:p>
        </w:tc>
        <w:tc>
          <w:tcPr>
            <w:tcW w:w="1559"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281,0</w:t>
            </w:r>
          </w:p>
        </w:tc>
        <w:tc>
          <w:tcPr>
            <w:tcW w:w="1276"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215,0</w:t>
            </w:r>
          </w:p>
        </w:tc>
        <w:tc>
          <w:tcPr>
            <w:tcW w:w="1276"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670,0</w:t>
            </w:r>
          </w:p>
        </w:tc>
        <w:tc>
          <w:tcPr>
            <w:tcW w:w="1861"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655,0</w:t>
            </w:r>
          </w:p>
        </w:tc>
        <w:tc>
          <w:tcPr>
            <w:tcW w:w="2371"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750,0</w:t>
            </w:r>
          </w:p>
        </w:tc>
      </w:tr>
      <w:tr w:rsidR="009B1361" w:rsidRPr="00CC7883" w:rsidTr="007D1617">
        <w:trPr>
          <w:jc w:val="center"/>
        </w:trPr>
        <w:tc>
          <w:tcPr>
            <w:tcW w:w="4369" w:type="dxa"/>
            <w:vMerge/>
            <w:vAlign w:val="center"/>
          </w:tcPr>
          <w:p w:rsidR="009B1361" w:rsidRPr="00CC7883" w:rsidRDefault="009B1361" w:rsidP="00047411">
            <w:pPr>
              <w:widowControl w:val="0"/>
              <w:rPr>
                <w:rFonts w:ascii="Times New Roman" w:hAnsi="Times New Roman" w:cs="Times New Roman"/>
                <w:bCs/>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28,1</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21,5</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67,0</w:t>
            </w:r>
          </w:p>
        </w:tc>
        <w:tc>
          <w:tcPr>
            <w:tcW w:w="1861"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65,5</w:t>
            </w:r>
          </w:p>
        </w:tc>
        <w:tc>
          <w:tcPr>
            <w:tcW w:w="2371"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75,0</w:t>
            </w:r>
          </w:p>
        </w:tc>
      </w:tr>
      <w:tr w:rsidR="009B1361" w:rsidRPr="00CC7883" w:rsidTr="007D1617">
        <w:trPr>
          <w:jc w:val="center"/>
        </w:trPr>
        <w:tc>
          <w:tcPr>
            <w:tcW w:w="4369" w:type="dxa"/>
            <w:vAlign w:val="center"/>
          </w:tcPr>
          <w:p w:rsidR="009B1361" w:rsidRPr="00CC7883" w:rsidRDefault="009B1361" w:rsidP="00047411">
            <w:pPr>
              <w:widowControl w:val="0"/>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 xml:space="preserve">Витрати на одержання мікроклонів, у т.ч. </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11122D">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30139,0</w:t>
            </w:r>
          </w:p>
        </w:tc>
        <w:tc>
          <w:tcPr>
            <w:tcW w:w="1276" w:type="dxa"/>
          </w:tcPr>
          <w:p w:rsidR="009B1361" w:rsidRPr="00CC7883" w:rsidRDefault="009B1361" w:rsidP="0011122D">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31739,0</w:t>
            </w:r>
          </w:p>
        </w:tc>
        <w:tc>
          <w:tcPr>
            <w:tcW w:w="1276" w:type="dxa"/>
          </w:tcPr>
          <w:p w:rsidR="009B1361" w:rsidRPr="00CC7883" w:rsidRDefault="009B1361" w:rsidP="0011122D">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31939,0</w:t>
            </w:r>
          </w:p>
        </w:tc>
        <w:tc>
          <w:tcPr>
            <w:tcW w:w="1861" w:type="dxa"/>
          </w:tcPr>
          <w:p w:rsidR="009B1361" w:rsidRPr="00CC7883" w:rsidRDefault="009B1361" w:rsidP="0011122D">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33179,0</w:t>
            </w:r>
          </w:p>
        </w:tc>
        <w:tc>
          <w:tcPr>
            <w:tcW w:w="2371" w:type="dxa"/>
          </w:tcPr>
          <w:p w:rsidR="009B1361" w:rsidRPr="00CC7883" w:rsidRDefault="009B1361" w:rsidP="0011122D">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31759,0</w:t>
            </w:r>
          </w:p>
        </w:tc>
      </w:tr>
    </w:tbl>
    <w:p w:rsidR="008D4B61" w:rsidRPr="00CC7883" w:rsidRDefault="009B1361" w:rsidP="00047411">
      <w:pPr>
        <w:widowControl w:val="0"/>
        <w:spacing w:after="0" w:line="360" w:lineRule="auto"/>
        <w:rPr>
          <w:rFonts w:ascii="Times New Roman" w:hAnsi="Times New Roman" w:cs="Times New Roman"/>
          <w:color w:val="000000" w:themeColor="text1"/>
        </w:rPr>
        <w:sectPr w:rsidR="008D4B61" w:rsidRPr="00CC7883" w:rsidSect="00B610AB">
          <w:headerReference w:type="default" r:id="rId196"/>
          <w:footerReference w:type="default" r:id="rId197"/>
          <w:pgSz w:w="16838" w:h="11906" w:orient="landscape" w:code="9"/>
          <w:pgMar w:top="1701" w:right="1134" w:bottom="851" w:left="1134" w:header="709" w:footer="709" w:gutter="0"/>
          <w:cols w:space="708"/>
          <w:docGrid w:linePitch="360"/>
        </w:sectPr>
      </w:pPr>
      <w:r w:rsidRPr="00CC7883">
        <w:rPr>
          <w:rFonts w:ascii="Times New Roman" w:hAnsi="Times New Roman" w:cs="Times New Roman"/>
          <w:color w:val="000000" w:themeColor="text1"/>
        </w:rPr>
        <w:br w:type="page"/>
      </w:r>
    </w:p>
    <w:p w:rsidR="009B1361" w:rsidRPr="00CC7883" w:rsidRDefault="009B1361" w:rsidP="00047411">
      <w:pPr>
        <w:widowControl w:val="0"/>
        <w:spacing w:after="0" w:line="360" w:lineRule="auto"/>
        <w:ind w:right="-36"/>
        <w:jc w:val="right"/>
        <w:rPr>
          <w:rFonts w:ascii="Times New Roman" w:hAnsi="Times New Roman" w:cs="Times New Roman"/>
          <w:color w:val="000000" w:themeColor="text1"/>
        </w:rPr>
      </w:pPr>
      <w:r w:rsidRPr="00CC7883">
        <w:rPr>
          <w:rFonts w:ascii="Times New Roman" w:hAnsi="Times New Roman" w:cs="Times New Roman"/>
          <w:color w:val="000000" w:themeColor="text1"/>
        </w:rPr>
        <w:lastRenderedPageBreak/>
        <w:t xml:space="preserve">Продовження табл. </w:t>
      </w:r>
      <w:r w:rsidR="0020514E">
        <w:rPr>
          <w:rFonts w:ascii="Times New Roman" w:hAnsi="Times New Roman" w:cs="Times New Roman"/>
          <w:color w:val="000000" w:themeColor="text1"/>
        </w:rPr>
        <w:t>9</w:t>
      </w:r>
      <w:r w:rsidRPr="00CC7883">
        <w:rPr>
          <w:rFonts w:ascii="Times New Roman" w:hAnsi="Times New Roman" w:cs="Times New Roman"/>
          <w:color w:val="000000" w:themeColor="text1"/>
        </w:rPr>
        <w:t>.2</w:t>
      </w:r>
    </w:p>
    <w:tbl>
      <w:tblPr>
        <w:tblStyle w:val="af8"/>
        <w:tblW w:w="14520" w:type="dxa"/>
        <w:jc w:val="center"/>
        <w:tblLayout w:type="fixed"/>
        <w:tblLook w:val="04A0"/>
      </w:tblPr>
      <w:tblGrid>
        <w:gridCol w:w="4111"/>
        <w:gridCol w:w="1134"/>
        <w:gridCol w:w="709"/>
        <w:gridCol w:w="1559"/>
        <w:gridCol w:w="1276"/>
        <w:gridCol w:w="1275"/>
        <w:gridCol w:w="2102"/>
        <w:gridCol w:w="2354"/>
      </w:tblGrid>
      <w:tr w:rsidR="009B1361" w:rsidRPr="00CC7883" w:rsidTr="007D1617">
        <w:trPr>
          <w:jc w:val="center"/>
        </w:trPr>
        <w:tc>
          <w:tcPr>
            <w:tcW w:w="4111"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1</w:t>
            </w:r>
          </w:p>
        </w:tc>
        <w:tc>
          <w:tcPr>
            <w:tcW w:w="1134" w:type="dxa"/>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2</w:t>
            </w:r>
          </w:p>
        </w:tc>
        <w:tc>
          <w:tcPr>
            <w:tcW w:w="709" w:type="dxa"/>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3</w:t>
            </w:r>
          </w:p>
        </w:tc>
        <w:tc>
          <w:tcPr>
            <w:tcW w:w="1559"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4</w:t>
            </w:r>
          </w:p>
        </w:tc>
        <w:tc>
          <w:tcPr>
            <w:tcW w:w="1276"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5</w:t>
            </w:r>
          </w:p>
        </w:tc>
        <w:tc>
          <w:tcPr>
            <w:tcW w:w="1275"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6</w:t>
            </w:r>
          </w:p>
        </w:tc>
        <w:tc>
          <w:tcPr>
            <w:tcW w:w="2102"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7</w:t>
            </w:r>
          </w:p>
        </w:tc>
        <w:tc>
          <w:tcPr>
            <w:tcW w:w="2354" w:type="dxa"/>
            <w:vAlign w:val="center"/>
          </w:tcPr>
          <w:p w:rsidR="009B1361" w:rsidRPr="00CC7883" w:rsidRDefault="009B1361" w:rsidP="00047411">
            <w:pPr>
              <w:widowControl w:val="0"/>
              <w:jc w:val="center"/>
              <w:rPr>
                <w:rFonts w:ascii="Times New Roman" w:hAnsi="Times New Roman" w:cs="Times New Roman"/>
                <w:color w:val="000000" w:themeColor="text1"/>
              </w:rPr>
            </w:pPr>
            <w:r w:rsidRPr="00CC7883">
              <w:rPr>
                <w:rFonts w:ascii="Times New Roman" w:hAnsi="Times New Roman" w:cs="Times New Roman"/>
                <w:color w:val="000000" w:themeColor="text1"/>
              </w:rPr>
              <w:t>8</w:t>
            </w:r>
          </w:p>
        </w:tc>
      </w:tr>
      <w:tr w:rsidR="009B1361" w:rsidRPr="00CC7883" w:rsidTr="007D1617">
        <w:trPr>
          <w:jc w:val="center"/>
        </w:trPr>
        <w:tc>
          <w:tcPr>
            <w:tcW w:w="4111" w:type="dxa"/>
            <w:vAlign w:val="center"/>
          </w:tcPr>
          <w:p w:rsidR="009B1361" w:rsidRPr="00CC7883" w:rsidRDefault="009B1361"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     -    витрати на введення ініціальних експлантів та їх мікророзмноження</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276"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1275"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2102"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c>
          <w:tcPr>
            <w:tcW w:w="2354"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1500,0</w:t>
            </w:r>
          </w:p>
        </w:tc>
      </w:tr>
      <w:tr w:rsidR="009B1361" w:rsidRPr="00CC7883" w:rsidTr="007D1617">
        <w:trPr>
          <w:jc w:val="center"/>
        </w:trPr>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приготування поживних субстратів</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10000,0</w:t>
            </w:r>
          </w:p>
        </w:tc>
        <w:tc>
          <w:tcPr>
            <w:tcW w:w="1276"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11600,0</w:t>
            </w:r>
          </w:p>
        </w:tc>
        <w:tc>
          <w:tcPr>
            <w:tcW w:w="1275"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10000,0</w:t>
            </w:r>
          </w:p>
        </w:tc>
        <w:tc>
          <w:tcPr>
            <w:tcW w:w="2102"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11600,0</w:t>
            </w:r>
          </w:p>
        </w:tc>
        <w:tc>
          <w:tcPr>
            <w:tcW w:w="2354"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10000,0</w:t>
            </w:r>
          </w:p>
        </w:tc>
      </w:tr>
      <w:tr w:rsidR="009B1361" w:rsidRPr="00CC7883" w:rsidTr="007D1617">
        <w:trPr>
          <w:jc w:val="center"/>
        </w:trPr>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вартість мінеральних субстратів</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p>
        </w:tc>
        <w:tc>
          <w:tcPr>
            <w:tcW w:w="1276"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p>
        </w:tc>
        <w:tc>
          <w:tcPr>
            <w:tcW w:w="1275"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1800,0</w:t>
            </w:r>
          </w:p>
        </w:tc>
        <w:tc>
          <w:tcPr>
            <w:tcW w:w="2102"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1440,0</w:t>
            </w:r>
          </w:p>
        </w:tc>
        <w:tc>
          <w:tcPr>
            <w:tcW w:w="2354" w:type="dxa"/>
          </w:tcPr>
          <w:p w:rsidR="009B1361" w:rsidRPr="00CC7883" w:rsidRDefault="009B1361" w:rsidP="0011122D">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1620,0</w:t>
            </w:r>
          </w:p>
        </w:tc>
      </w:tr>
      <w:tr w:rsidR="009B1361" w:rsidRPr="00CC7883" w:rsidTr="007D1617">
        <w:trPr>
          <w:jc w:val="center"/>
        </w:trPr>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енергоресурси</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276"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1275"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2102"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c>
          <w:tcPr>
            <w:tcW w:w="2354"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11139,0</w:t>
            </w:r>
          </w:p>
        </w:tc>
      </w:tr>
      <w:tr w:rsidR="009B1361" w:rsidRPr="00CC7883" w:rsidTr="007D1617">
        <w:trPr>
          <w:jc w:val="center"/>
        </w:trPr>
        <w:tc>
          <w:tcPr>
            <w:tcW w:w="4111" w:type="dxa"/>
            <w:vAlign w:val="center"/>
          </w:tcPr>
          <w:p w:rsidR="009B1361" w:rsidRPr="00CC7883" w:rsidRDefault="009B1361" w:rsidP="00047411">
            <w:pPr>
              <w:pStyle w:val="a7"/>
              <w:widowControl w:val="0"/>
              <w:numPr>
                <w:ilvl w:val="0"/>
                <w:numId w:val="25"/>
              </w:numP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трудові витрати</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7500,0</w:t>
            </w:r>
          </w:p>
        </w:tc>
        <w:tc>
          <w:tcPr>
            <w:tcW w:w="1276"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7500,0</w:t>
            </w:r>
          </w:p>
        </w:tc>
        <w:tc>
          <w:tcPr>
            <w:tcW w:w="1275"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7500,0</w:t>
            </w:r>
          </w:p>
        </w:tc>
        <w:tc>
          <w:tcPr>
            <w:tcW w:w="2102"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7500,0</w:t>
            </w:r>
          </w:p>
        </w:tc>
        <w:tc>
          <w:tcPr>
            <w:tcW w:w="2354"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7500,0</w:t>
            </w:r>
          </w:p>
        </w:tc>
      </w:tr>
      <w:tr w:rsidR="009B1361" w:rsidRPr="00CC7883" w:rsidTr="007D1617">
        <w:trPr>
          <w:jc w:val="center"/>
        </w:trPr>
        <w:tc>
          <w:tcPr>
            <w:tcW w:w="4111" w:type="dxa"/>
            <w:vMerge w:val="restart"/>
            <w:vAlign w:val="center"/>
          </w:tcPr>
          <w:p w:rsidR="009B1361" w:rsidRPr="00CC7883" w:rsidRDefault="009B1361" w:rsidP="00047411">
            <w:pPr>
              <w:widowControl w:val="0"/>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 xml:space="preserve">Собівартість 1 тис. адаптованих мікроклонів </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64815,1</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84637,3</w:t>
            </w:r>
          </w:p>
        </w:tc>
        <w:tc>
          <w:tcPr>
            <w:tcW w:w="1275"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38713,9</w:t>
            </w:r>
          </w:p>
        </w:tc>
        <w:tc>
          <w:tcPr>
            <w:tcW w:w="2102"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42374,2</w:t>
            </w:r>
          </w:p>
        </w:tc>
        <w:tc>
          <w:tcPr>
            <w:tcW w:w="2354"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36630,9</w:t>
            </w:r>
          </w:p>
        </w:tc>
      </w:tr>
      <w:tr w:rsidR="009B1361" w:rsidRPr="00CC7883" w:rsidTr="007D1617">
        <w:trPr>
          <w:jc w:val="center"/>
        </w:trPr>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83719,4</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107589,8</w:t>
            </w:r>
          </w:p>
        </w:tc>
        <w:tc>
          <w:tcPr>
            <w:tcW w:w="1275"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43752,1</w:t>
            </w:r>
          </w:p>
        </w:tc>
        <w:tc>
          <w:tcPr>
            <w:tcW w:w="2102"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48436,5</w:t>
            </w:r>
          </w:p>
        </w:tc>
        <w:tc>
          <w:tcPr>
            <w:tcW w:w="2354"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40716,7</w:t>
            </w:r>
          </w:p>
        </w:tc>
      </w:tr>
      <w:tr w:rsidR="009B1361" w:rsidRPr="00CC7883" w:rsidTr="007D1617">
        <w:trPr>
          <w:jc w:val="center"/>
        </w:trPr>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107256,2</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147623,3</w:t>
            </w:r>
          </w:p>
        </w:tc>
        <w:tc>
          <w:tcPr>
            <w:tcW w:w="1275"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47670,1</w:t>
            </w:r>
          </w:p>
        </w:tc>
        <w:tc>
          <w:tcPr>
            <w:tcW w:w="2102"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50655,0</w:t>
            </w:r>
          </w:p>
        </w:tc>
        <w:tc>
          <w:tcPr>
            <w:tcW w:w="2354"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42345,3</w:t>
            </w:r>
          </w:p>
        </w:tc>
      </w:tr>
      <w:tr w:rsidR="009B1361" w:rsidRPr="00CC7883" w:rsidTr="007D1617">
        <w:trPr>
          <w:jc w:val="center"/>
        </w:trPr>
        <w:tc>
          <w:tcPr>
            <w:tcW w:w="4111" w:type="dxa"/>
            <w:vAlign w:val="center"/>
          </w:tcPr>
          <w:p w:rsidR="009B1361" w:rsidRPr="00CC7883" w:rsidRDefault="009B1361"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Ціна реалізації адаптованого мікроклона, грн</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tcPr>
          <w:p w:rsidR="009B1361" w:rsidRPr="00CC7883" w:rsidRDefault="009B1361" w:rsidP="00076FD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276" w:type="dxa"/>
          </w:tcPr>
          <w:p w:rsidR="009B1361" w:rsidRPr="00CC7883" w:rsidRDefault="009B1361" w:rsidP="00076FD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1275" w:type="dxa"/>
          </w:tcPr>
          <w:p w:rsidR="009B1361" w:rsidRPr="00CC7883" w:rsidRDefault="009B1361" w:rsidP="00076FD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2102" w:type="dxa"/>
          </w:tcPr>
          <w:p w:rsidR="009B1361" w:rsidRPr="00CC7883" w:rsidRDefault="009B1361" w:rsidP="00076FD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c>
          <w:tcPr>
            <w:tcW w:w="2354" w:type="dxa"/>
          </w:tcPr>
          <w:p w:rsidR="009B1361" w:rsidRPr="00CC7883" w:rsidRDefault="009B1361" w:rsidP="00076FD8">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90,0</w:t>
            </w:r>
          </w:p>
        </w:tc>
      </w:tr>
      <w:tr w:rsidR="009B1361" w:rsidRPr="00CC7883" w:rsidTr="007D1617">
        <w:trPr>
          <w:jc w:val="center"/>
        </w:trPr>
        <w:tc>
          <w:tcPr>
            <w:tcW w:w="4111" w:type="dxa"/>
            <w:vMerge w:val="restart"/>
            <w:vAlign w:val="center"/>
          </w:tcPr>
          <w:p w:rsidR="009B1361" w:rsidRPr="00CC7883" w:rsidRDefault="009B1361" w:rsidP="00047411">
            <w:pPr>
              <w:widowControl w:val="0"/>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Прибуток (на 1000 мікроклонів) </w:t>
            </w: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11711,0</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2011,0</w:t>
            </w:r>
          </w:p>
        </w:tc>
        <w:tc>
          <w:tcPr>
            <w:tcW w:w="1275"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42311,0</w:t>
            </w:r>
          </w:p>
        </w:tc>
        <w:tc>
          <w:tcPr>
            <w:tcW w:w="2102"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37291,0</w:t>
            </w:r>
          </w:p>
        </w:tc>
        <w:tc>
          <w:tcPr>
            <w:tcW w:w="2354"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46271,0</w:t>
            </w:r>
          </w:p>
        </w:tc>
      </w:tr>
      <w:tr w:rsidR="009B1361" w:rsidRPr="00CC7883" w:rsidTr="007D1617">
        <w:trPr>
          <w:jc w:val="center"/>
        </w:trPr>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2261,0</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5"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33761,0</w:t>
            </w:r>
          </w:p>
        </w:tc>
        <w:tc>
          <w:tcPr>
            <w:tcW w:w="2102"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28471,0</w:t>
            </w:r>
          </w:p>
        </w:tc>
        <w:tc>
          <w:tcPr>
            <w:tcW w:w="2354"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38441,0</w:t>
            </w:r>
          </w:p>
        </w:tc>
      </w:tr>
      <w:tr w:rsidR="009B1361" w:rsidRPr="00CC7883" w:rsidTr="007D1617">
        <w:trPr>
          <w:jc w:val="center"/>
        </w:trPr>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грн</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5"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28361,0</w:t>
            </w:r>
          </w:p>
        </w:tc>
        <w:tc>
          <w:tcPr>
            <w:tcW w:w="2102"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25771,0</w:t>
            </w:r>
          </w:p>
        </w:tc>
        <w:tc>
          <w:tcPr>
            <w:tcW w:w="2354"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35741,0</w:t>
            </w:r>
          </w:p>
        </w:tc>
      </w:tr>
      <w:tr w:rsidR="009B1361" w:rsidRPr="00CC7883" w:rsidTr="007D1617">
        <w:trPr>
          <w:jc w:val="center"/>
        </w:trPr>
        <w:tc>
          <w:tcPr>
            <w:tcW w:w="4111" w:type="dxa"/>
            <w:vMerge w:val="restart"/>
            <w:vAlign w:val="center"/>
          </w:tcPr>
          <w:p w:rsidR="009B1361" w:rsidRPr="00CC7883" w:rsidRDefault="009B1361" w:rsidP="00047411">
            <w:pPr>
              <w:widowControl w:val="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Рівень рентабельності</w:t>
            </w:r>
          </w:p>
        </w:tc>
        <w:tc>
          <w:tcPr>
            <w:tcW w:w="1134"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30</w:t>
            </w:r>
          </w:p>
        </w:tc>
        <w:tc>
          <w:tcPr>
            <w:tcW w:w="709" w:type="dxa"/>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p>
        </w:tc>
        <w:tc>
          <w:tcPr>
            <w:tcW w:w="1559"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38,9</w:t>
            </w:r>
          </w:p>
        </w:tc>
        <w:tc>
          <w:tcPr>
            <w:tcW w:w="1276" w:type="dxa"/>
            <w:vAlign w:val="bottom"/>
          </w:tcPr>
          <w:p w:rsidR="009B1361" w:rsidRPr="00CC7883" w:rsidRDefault="009B1361" w:rsidP="00047411">
            <w:pPr>
              <w:widowControl w:val="0"/>
              <w:jc w:val="center"/>
              <w:rPr>
                <w:rFonts w:ascii="Times New Roman" w:hAnsi="Times New Roman" w:cs="Times New Roman"/>
                <w:color w:val="000000" w:themeColor="text1"/>
                <w:sz w:val="28"/>
                <w:szCs w:val="28"/>
              </w:rPr>
            </w:pPr>
            <w:r w:rsidRPr="00CC7883">
              <w:rPr>
                <w:rFonts w:ascii="Times New Roman" w:hAnsi="Times New Roman" w:cs="Times New Roman"/>
                <w:bCs/>
                <w:color w:val="000000" w:themeColor="text1"/>
                <w:sz w:val="28"/>
                <w:szCs w:val="28"/>
              </w:rPr>
              <w:t>6,3</w:t>
            </w:r>
          </w:p>
        </w:tc>
        <w:tc>
          <w:tcPr>
            <w:tcW w:w="1275"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132,5</w:t>
            </w:r>
          </w:p>
        </w:tc>
        <w:tc>
          <w:tcPr>
            <w:tcW w:w="2102"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112,4</w:t>
            </w:r>
          </w:p>
        </w:tc>
        <w:tc>
          <w:tcPr>
            <w:tcW w:w="2354"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145,7</w:t>
            </w:r>
          </w:p>
        </w:tc>
      </w:tr>
      <w:tr w:rsidR="009B1361" w:rsidRPr="00CC7883" w:rsidTr="007D1617">
        <w:trPr>
          <w:jc w:val="center"/>
        </w:trPr>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60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sz w:val="28"/>
                <w:szCs w:val="28"/>
              </w:rPr>
              <w:t>%</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7,5</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5"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105,7</w:t>
            </w:r>
          </w:p>
        </w:tc>
        <w:tc>
          <w:tcPr>
            <w:tcW w:w="2102"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85,8</w:t>
            </w:r>
          </w:p>
        </w:tc>
        <w:tc>
          <w:tcPr>
            <w:tcW w:w="2354"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121,0</w:t>
            </w:r>
          </w:p>
        </w:tc>
      </w:tr>
      <w:tr w:rsidR="009B1361" w:rsidRPr="00CC7883" w:rsidTr="007D1617">
        <w:trPr>
          <w:jc w:val="center"/>
        </w:trPr>
        <w:tc>
          <w:tcPr>
            <w:tcW w:w="4111" w:type="dxa"/>
            <w:vMerge/>
            <w:vAlign w:val="center"/>
          </w:tcPr>
          <w:p w:rsidR="009B1361" w:rsidRPr="00CC7883" w:rsidRDefault="009B1361" w:rsidP="00047411">
            <w:pPr>
              <w:widowControl w:val="0"/>
              <w:jc w:val="center"/>
              <w:rPr>
                <w:rFonts w:ascii="Times New Roman" w:hAnsi="Times New Roman" w:cs="Times New Roman"/>
                <w:color w:val="000000" w:themeColor="text1"/>
                <w:sz w:val="28"/>
                <w:szCs w:val="28"/>
              </w:rPr>
            </w:pPr>
          </w:p>
        </w:tc>
        <w:tc>
          <w:tcPr>
            <w:tcW w:w="1134"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90</w:t>
            </w:r>
          </w:p>
        </w:tc>
        <w:tc>
          <w:tcPr>
            <w:tcW w:w="709" w:type="dxa"/>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sz w:val="28"/>
                <w:szCs w:val="28"/>
              </w:rPr>
              <w:t>%</w:t>
            </w:r>
          </w:p>
        </w:tc>
        <w:tc>
          <w:tcPr>
            <w:tcW w:w="1559"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6"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w:t>
            </w:r>
          </w:p>
        </w:tc>
        <w:tc>
          <w:tcPr>
            <w:tcW w:w="1275"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88,8</w:t>
            </w:r>
          </w:p>
        </w:tc>
        <w:tc>
          <w:tcPr>
            <w:tcW w:w="2102"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77,7</w:t>
            </w:r>
          </w:p>
        </w:tc>
        <w:tc>
          <w:tcPr>
            <w:tcW w:w="2354" w:type="dxa"/>
            <w:vAlign w:val="bottom"/>
          </w:tcPr>
          <w:p w:rsidR="009B1361" w:rsidRPr="00CC7883" w:rsidRDefault="009B1361" w:rsidP="00047411">
            <w:pPr>
              <w:widowControl w:val="0"/>
              <w:jc w:val="center"/>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112,5</w:t>
            </w:r>
          </w:p>
        </w:tc>
      </w:tr>
    </w:tbl>
    <w:p w:rsidR="008D4B61" w:rsidRPr="00CC7883" w:rsidRDefault="008D4B61" w:rsidP="00047411">
      <w:pPr>
        <w:widowControl w:val="0"/>
        <w:rPr>
          <w:rFonts w:ascii="Times New Roman" w:hAnsi="Times New Roman" w:cs="Times New Roman"/>
          <w:color w:val="000000" w:themeColor="text1"/>
          <w:sz w:val="28"/>
        </w:rPr>
      </w:pPr>
    </w:p>
    <w:p w:rsidR="00750C1A" w:rsidRPr="00CC7883" w:rsidRDefault="00750C1A" w:rsidP="00047411">
      <w:pPr>
        <w:widowControl w:val="0"/>
        <w:rPr>
          <w:rFonts w:ascii="Times New Roman" w:hAnsi="Times New Roman" w:cs="Times New Roman"/>
          <w:color w:val="000000" w:themeColor="text1"/>
          <w:sz w:val="28"/>
        </w:rPr>
        <w:sectPr w:rsidR="00750C1A" w:rsidRPr="00CC7883" w:rsidSect="00B610AB">
          <w:footerReference w:type="default" r:id="rId198"/>
          <w:pgSz w:w="16838" w:h="11906" w:orient="landscape" w:code="9"/>
          <w:pgMar w:top="1701" w:right="1134" w:bottom="851" w:left="1134" w:header="709" w:footer="709" w:gutter="0"/>
          <w:cols w:space="708"/>
          <w:docGrid w:linePitch="360"/>
        </w:sectPr>
      </w:pPr>
    </w:p>
    <w:p w:rsidR="009B1361" w:rsidRPr="00CC7883" w:rsidRDefault="009B1361"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lastRenderedPageBreak/>
        <w:t xml:space="preserve">Після використання мінеральних субстратів як поживного середовища для культивування мікроклонів винограду, собівартість адаптованих мікроклонів, порівняно з контролями, суттєво зменшувалась. Так, у контрольних варіантах (перший, другий), де було стандартне поживне середовище MS, </w:t>
      </w:r>
      <w:r w:rsidRPr="00CC7883">
        <w:rPr>
          <w:rFonts w:ascii="Times New Roman" w:hAnsi="Times New Roman" w:cs="Times New Roman"/>
          <w:bCs/>
          <w:color w:val="000000" w:themeColor="text1"/>
          <w:sz w:val="28"/>
        </w:rPr>
        <w:t xml:space="preserve">собівартість 1000 адаптованих мікроклонів на 30 добу була відносно високою – 50231,7–84637,9 </w:t>
      </w:r>
      <w:r w:rsidRPr="00CC7883">
        <w:rPr>
          <w:rFonts w:ascii="Times New Roman" w:hAnsi="Times New Roman" w:cs="Times New Roman"/>
          <w:color w:val="000000" w:themeColor="text1"/>
          <w:sz w:val="28"/>
        </w:rPr>
        <w:t xml:space="preserve">грн (за сортами), при збільшенні терміну адаптації до 90 діб, вона зростала до </w:t>
      </w:r>
      <w:r w:rsidRPr="00CC7883">
        <w:rPr>
          <w:rFonts w:ascii="Times New Roman" w:hAnsi="Times New Roman" w:cs="Times New Roman"/>
          <w:bCs/>
          <w:color w:val="000000" w:themeColor="text1"/>
          <w:sz w:val="28"/>
        </w:rPr>
        <w:t>84898,6–147623,3 грн.</w:t>
      </w:r>
      <w:r w:rsidRPr="00CC7883">
        <w:rPr>
          <w:rFonts w:ascii="Times New Roman" w:hAnsi="Times New Roman" w:cs="Times New Roman"/>
          <w:color w:val="000000" w:themeColor="text1"/>
          <w:sz w:val="28"/>
        </w:rPr>
        <w:t xml:space="preserve"> У третьому–п’ятому варіантах собівартість продукції на 30 добу суттєво знижувалася: для сорту «Добриня» – до 36630,9–42374,2 грн, для сорту «Гарант» </w:t>
      </w:r>
      <w:r w:rsidR="00654524">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 xml:space="preserve">до 39112,1–44416,3 грн, для сорту «Ярило» – до 39698,8–49520,9 грн, для сорту «Загрей» – до 42232,7–51440,3 грн. На 90 добу в цих варіантах вона зменшувалась і знаходилась у межах 42345,3–60878,9 грн. </w:t>
      </w:r>
      <w:r w:rsidR="00B67937">
        <w:rPr>
          <w:rFonts w:ascii="Times New Roman" w:eastAsia="NSimSun" w:hAnsi="Times New Roman" w:cs="Times New Roman"/>
          <w:color w:val="000000" w:themeColor="text1"/>
          <w:kern w:val="3"/>
          <w:sz w:val="28"/>
          <w:szCs w:val="28"/>
        </w:rPr>
        <w:t>Порівняно</w:t>
      </w:r>
      <w:r w:rsidRPr="00CC7883">
        <w:rPr>
          <w:rFonts w:ascii="Times New Roman" w:hAnsi="Times New Roman" w:cs="Times New Roman"/>
          <w:color w:val="000000" w:themeColor="text1"/>
          <w:sz w:val="28"/>
        </w:rPr>
        <w:t xml:space="preserve"> з контролем показник собівартості зменшувався на 26,7–51,0 % (через 30 діб), 45,9–57,4 % (через 60 діб), 52,7–66,8 % (через 90 діб) для підщепних і відповідно на 11,0–29,4 %, 35,0–52,5 %, 38,6–59,7 % для технічних сортів (</w:t>
      </w:r>
      <w:r w:rsidR="007D726B" w:rsidRPr="00CC7883">
        <w:rPr>
          <w:rFonts w:ascii="Times New Roman" w:hAnsi="Times New Roman" w:cs="Times New Roman"/>
          <w:color w:val="000000" w:themeColor="text1"/>
          <w:sz w:val="28"/>
          <w:szCs w:val="28"/>
        </w:rPr>
        <w:t xml:space="preserve">табл. </w:t>
      </w:r>
      <w:r w:rsidR="0020514E">
        <w:rPr>
          <w:rFonts w:ascii="Times New Roman" w:hAnsi="Times New Roman" w:cs="Times New Roman"/>
          <w:color w:val="000000" w:themeColor="text1"/>
          <w:sz w:val="28"/>
        </w:rPr>
        <w:t>9</w:t>
      </w:r>
      <w:r w:rsidRPr="00CC7883">
        <w:rPr>
          <w:rFonts w:ascii="Times New Roman" w:hAnsi="Times New Roman" w:cs="Times New Roman"/>
          <w:color w:val="000000" w:themeColor="text1"/>
          <w:sz w:val="28"/>
        </w:rPr>
        <w:t xml:space="preserve">.2, </w:t>
      </w:r>
      <w:r w:rsidR="007D726B" w:rsidRPr="00CC7883">
        <w:rPr>
          <w:rFonts w:ascii="Times New Roman" w:hAnsi="Times New Roman" w:cs="Times New Roman"/>
          <w:color w:val="000000" w:themeColor="text1"/>
          <w:sz w:val="28"/>
        </w:rPr>
        <w:t>д</w:t>
      </w:r>
      <w:r w:rsidRPr="00CC7883">
        <w:rPr>
          <w:rFonts w:ascii="Times New Roman" w:hAnsi="Times New Roman" w:cs="Times New Roman"/>
          <w:color w:val="000000" w:themeColor="text1"/>
          <w:sz w:val="28"/>
        </w:rPr>
        <w:t xml:space="preserve">одаток </w:t>
      </w:r>
      <w:r w:rsidR="00BF1869" w:rsidRPr="00CC7883">
        <w:rPr>
          <w:rFonts w:ascii="Times New Roman" w:hAnsi="Times New Roman" w:cs="Times New Roman"/>
          <w:color w:val="000000" w:themeColor="text1"/>
          <w:sz w:val="28"/>
        </w:rPr>
        <w:t>Д</w:t>
      </w:r>
      <w:r w:rsidR="006A0234">
        <w:rPr>
          <w:rFonts w:ascii="Times New Roman" w:hAnsi="Times New Roman" w:cs="Times New Roman"/>
          <w:color w:val="000000" w:themeColor="text1"/>
          <w:sz w:val="28"/>
        </w:rPr>
        <w:t>.</w:t>
      </w:r>
      <w:r w:rsidR="00387205">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4–Д.</w:t>
      </w:r>
      <w:r w:rsidR="00387205">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6</w:t>
      </w:r>
      <w:r w:rsidRPr="00CC7883">
        <w:rPr>
          <w:rFonts w:ascii="Times New Roman" w:hAnsi="Times New Roman" w:cs="Times New Roman"/>
          <w:color w:val="000000" w:themeColor="text1"/>
          <w:sz w:val="28"/>
        </w:rPr>
        <w:t>).</w:t>
      </w:r>
    </w:p>
    <w:p w:rsidR="009B1361" w:rsidRPr="00CC7883" w:rsidRDefault="009B1361"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i/>
          <w:color w:val="000000" w:themeColor="text1"/>
          <w:sz w:val="28"/>
        </w:rPr>
        <w:t>Прибуток</w:t>
      </w:r>
      <w:r w:rsidRPr="00CC7883">
        <w:rPr>
          <w:rFonts w:ascii="Times New Roman" w:hAnsi="Times New Roman" w:cs="Times New Roman"/>
          <w:color w:val="000000" w:themeColor="text1"/>
          <w:sz w:val="28"/>
        </w:rPr>
        <w:t>. Економічний результат оцінюється і величиною прибутку. У варіантах досліду (контрольні та з БАП), де приживлюваність була низькою</w:t>
      </w:r>
      <w:r w:rsidR="00654524">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прибутку від реалізації продукції не було, збитки дорівнювали у середньому 9541,5–15121,5 грн (на 60–90 добу адаптації). Це означає, що традиційна технологія не забезпечує окупності понесених витрат. У варіантах із структурованими поживними середовищами (сьомий, дев’ятий, одинадцятий) прибуток був найбільшим. На 30 добу адаптації він становив 28230,8–48840,4 грн, залежно від сорту. Найбільші значення цього показника були характерні для сорту «Ярило» (до 48840,4 грн), де поєднувалися високий вихід рослин і менша собівартість. Сорти «Добриня», «Гарант» і «Загрей» також показали позитивний результат – 28230,8–47130,8 грн для варіантів із структурованими поживними середовищами (</w:t>
      </w:r>
      <w:r w:rsidR="007D726B" w:rsidRPr="00CC7883">
        <w:rPr>
          <w:rFonts w:ascii="Times New Roman" w:hAnsi="Times New Roman" w:cs="Times New Roman"/>
          <w:color w:val="000000" w:themeColor="text1"/>
          <w:sz w:val="28"/>
          <w:szCs w:val="28"/>
        </w:rPr>
        <w:t xml:space="preserve">табл. </w:t>
      </w:r>
      <w:r w:rsidR="0020514E">
        <w:rPr>
          <w:rFonts w:ascii="Times New Roman" w:hAnsi="Times New Roman" w:cs="Times New Roman"/>
          <w:color w:val="000000" w:themeColor="text1"/>
          <w:sz w:val="28"/>
        </w:rPr>
        <w:t>9</w:t>
      </w:r>
      <w:r w:rsidRPr="00CC7883">
        <w:rPr>
          <w:rFonts w:ascii="Times New Roman" w:hAnsi="Times New Roman" w:cs="Times New Roman"/>
          <w:color w:val="000000" w:themeColor="text1"/>
          <w:sz w:val="28"/>
        </w:rPr>
        <w:t xml:space="preserve">.1, </w:t>
      </w:r>
      <w:r w:rsidR="007D726B" w:rsidRPr="00CC7883">
        <w:rPr>
          <w:rFonts w:ascii="Times New Roman" w:hAnsi="Times New Roman" w:cs="Times New Roman"/>
          <w:color w:val="000000" w:themeColor="text1"/>
          <w:sz w:val="28"/>
        </w:rPr>
        <w:t>д</w:t>
      </w:r>
      <w:r w:rsidRPr="00CC7883">
        <w:rPr>
          <w:rFonts w:ascii="Times New Roman" w:hAnsi="Times New Roman" w:cs="Times New Roman"/>
          <w:color w:val="000000" w:themeColor="text1"/>
          <w:sz w:val="28"/>
        </w:rPr>
        <w:t xml:space="preserve">одаток </w:t>
      </w:r>
      <w:r w:rsidR="00BF1869" w:rsidRPr="00CC7883">
        <w:rPr>
          <w:rFonts w:ascii="Times New Roman" w:hAnsi="Times New Roman" w:cs="Times New Roman"/>
          <w:color w:val="000000" w:themeColor="text1"/>
          <w:sz w:val="28"/>
        </w:rPr>
        <w:t>Д</w:t>
      </w:r>
      <w:r w:rsidR="006A0234">
        <w:rPr>
          <w:rFonts w:ascii="Times New Roman" w:hAnsi="Times New Roman" w:cs="Times New Roman"/>
          <w:color w:val="000000" w:themeColor="text1"/>
          <w:sz w:val="28"/>
        </w:rPr>
        <w:t>.</w:t>
      </w:r>
      <w:r w:rsidR="00387205">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1–Д.</w:t>
      </w:r>
      <w:r w:rsidR="00387205">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3</w:t>
      </w:r>
      <w:r w:rsidRPr="00CC7883">
        <w:rPr>
          <w:rFonts w:ascii="Times New Roman" w:hAnsi="Times New Roman" w:cs="Times New Roman"/>
          <w:color w:val="000000" w:themeColor="text1"/>
          <w:sz w:val="28"/>
        </w:rPr>
        <w:t>).</w:t>
      </w:r>
    </w:p>
    <w:p w:rsidR="009B1361" w:rsidRPr="00CC7883" w:rsidRDefault="009B1361"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Подібні результати встановлено й у варіантах із мінеральними субстратами. У дослідних варіантах (третій–п’ятий) прибуток через 30 діб </w:t>
      </w:r>
      <w:r w:rsidRPr="00CC7883">
        <w:rPr>
          <w:rFonts w:ascii="Times New Roman" w:hAnsi="Times New Roman" w:cs="Times New Roman"/>
          <w:color w:val="000000" w:themeColor="text1"/>
          <w:sz w:val="28"/>
        </w:rPr>
        <w:lastRenderedPageBreak/>
        <w:t xml:space="preserve">культивування дорівнював для сорту «Добриня» 37291,0–46271,0 грн, для сорту «Гарант» – 34051,0–41321,0 грн, для сорту «Ярило» – 27121,0–40241,0 грн, для сорту «Загрей» – 24871,0–35921,0 грн. Через 60 та 90 діб прибуток дещо зменшувався, але залишався достатнім для забезпечення окупності </w:t>
      </w:r>
      <w:r w:rsidRPr="00CC7883">
        <w:rPr>
          <w:rFonts w:ascii="Times New Roman" w:hAnsi="Times New Roman" w:cs="Times New Roman"/>
          <w:bCs/>
          <w:color w:val="000000" w:themeColor="text1"/>
          <w:sz w:val="28"/>
        </w:rPr>
        <w:t>витрат.</w:t>
      </w:r>
      <w:r w:rsidR="00F14BE2" w:rsidRPr="00CC7883">
        <w:rPr>
          <w:rFonts w:ascii="Times New Roman" w:hAnsi="Times New Roman" w:cs="Times New Roman"/>
          <w:bCs/>
          <w:color w:val="000000" w:themeColor="text1"/>
          <w:sz w:val="28"/>
        </w:rPr>
        <w:t xml:space="preserve"> </w:t>
      </w:r>
      <w:r w:rsidRPr="00CC7883">
        <w:rPr>
          <w:rFonts w:ascii="Times New Roman" w:hAnsi="Times New Roman" w:cs="Times New Roman"/>
          <w:color w:val="000000" w:themeColor="text1"/>
          <w:sz w:val="28"/>
        </w:rPr>
        <w:t>Контрольні варіанти були збитковими. Різниця прибутку між дослідними варіантами і контролем становила в середньому через 90 діб – 26380,0–37340,0 грн (</w:t>
      </w:r>
      <w:r w:rsidR="007D726B" w:rsidRPr="00CC7883">
        <w:rPr>
          <w:rFonts w:ascii="Times New Roman" w:hAnsi="Times New Roman" w:cs="Times New Roman"/>
          <w:color w:val="000000" w:themeColor="text1"/>
          <w:sz w:val="28"/>
          <w:szCs w:val="28"/>
        </w:rPr>
        <w:t xml:space="preserve">табл. </w:t>
      </w:r>
      <w:r w:rsidR="0020514E">
        <w:rPr>
          <w:rFonts w:ascii="Times New Roman" w:hAnsi="Times New Roman" w:cs="Times New Roman"/>
          <w:color w:val="000000" w:themeColor="text1"/>
          <w:sz w:val="28"/>
        </w:rPr>
        <w:t>9</w:t>
      </w:r>
      <w:r w:rsidRPr="00CC7883">
        <w:rPr>
          <w:rFonts w:ascii="Times New Roman" w:hAnsi="Times New Roman" w:cs="Times New Roman"/>
          <w:color w:val="000000" w:themeColor="text1"/>
          <w:sz w:val="28"/>
        </w:rPr>
        <w:t xml:space="preserve">.2, </w:t>
      </w:r>
      <w:r w:rsidR="007D726B" w:rsidRPr="00CC7883">
        <w:rPr>
          <w:rFonts w:ascii="Times New Roman" w:hAnsi="Times New Roman" w:cs="Times New Roman"/>
          <w:color w:val="000000" w:themeColor="text1"/>
          <w:sz w:val="28"/>
        </w:rPr>
        <w:t>д</w:t>
      </w:r>
      <w:r w:rsidRPr="00CC7883">
        <w:rPr>
          <w:rFonts w:ascii="Times New Roman" w:hAnsi="Times New Roman" w:cs="Times New Roman"/>
          <w:color w:val="000000" w:themeColor="text1"/>
          <w:sz w:val="28"/>
        </w:rPr>
        <w:t xml:space="preserve">одаток </w:t>
      </w:r>
      <w:r w:rsidR="006A0234" w:rsidRPr="00CC7883">
        <w:rPr>
          <w:rFonts w:ascii="Times New Roman" w:hAnsi="Times New Roman" w:cs="Times New Roman"/>
          <w:color w:val="000000" w:themeColor="text1"/>
          <w:sz w:val="28"/>
        </w:rPr>
        <w:t>Д</w:t>
      </w:r>
      <w:r w:rsidR="006A0234">
        <w:rPr>
          <w:rFonts w:ascii="Times New Roman" w:hAnsi="Times New Roman" w:cs="Times New Roman"/>
          <w:color w:val="000000" w:themeColor="text1"/>
          <w:sz w:val="28"/>
        </w:rPr>
        <w:t>.</w:t>
      </w:r>
      <w:r w:rsidR="00387205">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4–Д.</w:t>
      </w:r>
      <w:r w:rsidR="00387205">
        <w:rPr>
          <w:rFonts w:ascii="Times New Roman" w:hAnsi="Times New Roman" w:cs="Times New Roman"/>
          <w:color w:val="000000" w:themeColor="text1"/>
          <w:sz w:val="28"/>
        </w:rPr>
        <w:t xml:space="preserve"> </w:t>
      </w:r>
      <w:r w:rsidR="006A0234">
        <w:rPr>
          <w:rFonts w:ascii="Times New Roman" w:hAnsi="Times New Roman" w:cs="Times New Roman"/>
          <w:color w:val="000000" w:themeColor="text1"/>
          <w:sz w:val="28"/>
        </w:rPr>
        <w:t>6</w:t>
      </w:r>
      <w:r w:rsidRPr="00CC7883">
        <w:rPr>
          <w:rFonts w:ascii="Times New Roman" w:hAnsi="Times New Roman" w:cs="Times New Roman"/>
          <w:color w:val="000000" w:themeColor="text1"/>
          <w:sz w:val="28"/>
        </w:rPr>
        <w:t>)</w:t>
      </w:r>
      <w:r w:rsidR="00A83BA8">
        <w:rPr>
          <w:rFonts w:ascii="Times New Roman" w:hAnsi="Times New Roman" w:cs="Times New Roman"/>
          <w:color w:val="000000" w:themeColor="text1"/>
          <w:sz w:val="28"/>
        </w:rPr>
        <w:t>.</w:t>
      </w:r>
    </w:p>
    <w:p w:rsidR="009B1361" w:rsidRPr="00CC7883" w:rsidRDefault="009B1361"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i/>
          <w:color w:val="000000" w:themeColor="text1"/>
          <w:sz w:val="28"/>
        </w:rPr>
        <w:t>Рівень рентабельності</w:t>
      </w:r>
      <w:r w:rsidRPr="00CC7883">
        <w:rPr>
          <w:rFonts w:ascii="Times New Roman" w:hAnsi="Times New Roman" w:cs="Times New Roman"/>
          <w:color w:val="000000" w:themeColor="text1"/>
          <w:sz w:val="28"/>
        </w:rPr>
        <w:t>. Рентабельність виробництва підсумовує вплив усіх названих чинників. Рівень рентабельності контрольних варіантів (стандартне поживне середовище MS) був дуже низьким і навіть від’ємним, що свідчить про відсутність окупності. У дослідних варіантах, де рослини культивували на структурованих поживних середовищах</w:t>
      </w:r>
      <w:r w:rsidR="00D5677C">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рентабельність у середньому дорівнювала 80,7–92,0 % на 30 добу. Через 60–90 діб адаптації цей показник був у межах 53,1–92,0 %, тобто технологія залишалася економічно стійкою (для сортів «Добриня», «Гарант», «Ярило»). Для сорту «Загрей» цей показник був нижчим і не перевищував 50,0 % (через 60 діб у середньому за варіантами рентабельність дорівнювала 30,2 %, через 90 діб </w:t>
      </w:r>
      <w:r w:rsidR="00654524">
        <w:rPr>
          <w:rFonts w:ascii="Times New Roman" w:hAnsi="Times New Roman" w:cs="Times New Roman"/>
          <w:color w:val="000000" w:themeColor="text1"/>
          <w:sz w:val="28"/>
        </w:rPr>
        <w:t>–</w:t>
      </w:r>
      <w:r w:rsidRPr="00CC7883">
        <w:rPr>
          <w:rFonts w:ascii="Times New Roman" w:hAnsi="Times New Roman" w:cs="Times New Roman"/>
          <w:color w:val="000000" w:themeColor="text1"/>
          <w:sz w:val="28"/>
        </w:rPr>
        <w:t xml:space="preserve"> 13,8 %), що свідчить про недостатню ефективність порівняно з іншими сортами. Відносно контролю</w:t>
      </w:r>
      <w:r w:rsidR="00B700C7" w:rsidRPr="00CC7883">
        <w:rPr>
          <w:rFonts w:ascii="Times New Roman" w:hAnsi="Times New Roman" w:cs="Times New Roman"/>
          <w:color w:val="000000" w:themeColor="text1"/>
          <w:sz w:val="28"/>
        </w:rPr>
        <w:t xml:space="preserve"> </w:t>
      </w:r>
      <w:r w:rsidRPr="00CC7883">
        <w:rPr>
          <w:rFonts w:ascii="Times New Roman" w:hAnsi="Times New Roman" w:cs="Times New Roman"/>
          <w:color w:val="000000" w:themeColor="text1"/>
          <w:sz w:val="28"/>
        </w:rPr>
        <w:t>рівень рентабельності збільшувався на 83,5–120,6 % – для сорту «Добриня», 70,2–104,1 % – для сорту «Гарант», 68,5–107,0 % – для сорту «Ярило», 49,</w:t>
      </w:r>
      <w:r w:rsidR="00C63780" w:rsidRPr="00CC7883">
        <w:rPr>
          <w:rFonts w:ascii="Times New Roman" w:hAnsi="Times New Roman" w:cs="Times New Roman"/>
          <w:color w:val="000000" w:themeColor="text1"/>
          <w:sz w:val="28"/>
        </w:rPr>
        <w:t>9–91,7 % – для сорту «Загрей» (</w:t>
      </w:r>
      <w:r w:rsidR="007D726B" w:rsidRPr="00CC7883">
        <w:rPr>
          <w:rFonts w:ascii="Times New Roman" w:hAnsi="Times New Roman" w:cs="Times New Roman"/>
          <w:color w:val="000000" w:themeColor="text1"/>
          <w:sz w:val="28"/>
          <w:szCs w:val="28"/>
        </w:rPr>
        <w:t xml:space="preserve">табл. </w:t>
      </w:r>
      <w:r w:rsidR="0020514E">
        <w:rPr>
          <w:rFonts w:ascii="Times New Roman" w:hAnsi="Times New Roman" w:cs="Times New Roman"/>
          <w:color w:val="000000" w:themeColor="text1"/>
          <w:sz w:val="28"/>
        </w:rPr>
        <w:t>9</w:t>
      </w:r>
      <w:r w:rsidRPr="00CC7883">
        <w:rPr>
          <w:rFonts w:ascii="Times New Roman" w:hAnsi="Times New Roman" w:cs="Times New Roman"/>
          <w:color w:val="000000" w:themeColor="text1"/>
          <w:sz w:val="28"/>
        </w:rPr>
        <w:t xml:space="preserve">.1, </w:t>
      </w:r>
      <w:r w:rsidR="007D726B" w:rsidRPr="00CC7883">
        <w:rPr>
          <w:rFonts w:ascii="Times New Roman" w:hAnsi="Times New Roman" w:cs="Times New Roman"/>
          <w:color w:val="000000" w:themeColor="text1"/>
          <w:sz w:val="28"/>
        </w:rPr>
        <w:t>д</w:t>
      </w:r>
      <w:r w:rsidRPr="00CC7883">
        <w:rPr>
          <w:rFonts w:ascii="Times New Roman" w:hAnsi="Times New Roman" w:cs="Times New Roman"/>
          <w:color w:val="000000" w:themeColor="text1"/>
          <w:sz w:val="28"/>
        </w:rPr>
        <w:t xml:space="preserve">одаток </w:t>
      </w:r>
      <w:r w:rsidR="00BF1869" w:rsidRPr="00CC7883">
        <w:rPr>
          <w:rFonts w:ascii="Times New Roman" w:hAnsi="Times New Roman" w:cs="Times New Roman"/>
          <w:color w:val="000000" w:themeColor="text1"/>
          <w:sz w:val="28"/>
        </w:rPr>
        <w:t>Д</w:t>
      </w:r>
      <w:r w:rsidR="00D47D9B">
        <w:rPr>
          <w:rFonts w:ascii="Times New Roman" w:hAnsi="Times New Roman" w:cs="Times New Roman"/>
          <w:color w:val="000000" w:themeColor="text1"/>
          <w:sz w:val="28"/>
        </w:rPr>
        <w:t>.</w:t>
      </w:r>
      <w:r w:rsidR="00387205">
        <w:rPr>
          <w:rFonts w:ascii="Times New Roman" w:hAnsi="Times New Roman" w:cs="Times New Roman"/>
          <w:color w:val="000000" w:themeColor="text1"/>
          <w:sz w:val="28"/>
        </w:rPr>
        <w:t xml:space="preserve"> </w:t>
      </w:r>
      <w:r w:rsidR="00D47D9B">
        <w:rPr>
          <w:rFonts w:ascii="Times New Roman" w:hAnsi="Times New Roman" w:cs="Times New Roman"/>
          <w:color w:val="000000" w:themeColor="text1"/>
          <w:sz w:val="28"/>
        </w:rPr>
        <w:t>1–Д.</w:t>
      </w:r>
      <w:r w:rsidR="00387205">
        <w:rPr>
          <w:rFonts w:ascii="Times New Roman" w:hAnsi="Times New Roman" w:cs="Times New Roman"/>
          <w:color w:val="000000" w:themeColor="text1"/>
          <w:sz w:val="28"/>
        </w:rPr>
        <w:t xml:space="preserve"> </w:t>
      </w:r>
      <w:r w:rsidR="00D47D9B">
        <w:rPr>
          <w:rFonts w:ascii="Times New Roman" w:hAnsi="Times New Roman" w:cs="Times New Roman"/>
          <w:color w:val="000000" w:themeColor="text1"/>
          <w:sz w:val="28"/>
        </w:rPr>
        <w:t>3</w:t>
      </w:r>
      <w:r w:rsidRPr="00CC7883">
        <w:rPr>
          <w:rFonts w:ascii="Times New Roman" w:hAnsi="Times New Roman" w:cs="Times New Roman"/>
          <w:color w:val="000000" w:themeColor="text1"/>
          <w:sz w:val="28"/>
        </w:rPr>
        <w:t>).</w:t>
      </w:r>
    </w:p>
    <w:p w:rsidR="009B1361" w:rsidRPr="00CC7883" w:rsidRDefault="009B1361" w:rsidP="00047411">
      <w:pPr>
        <w:widowControl w:val="0"/>
        <w:spacing w:after="0" w:line="360" w:lineRule="auto"/>
        <w:ind w:firstLine="720"/>
        <w:jc w:val="both"/>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 xml:space="preserve">У дослідженні із застосуванням мінеральних субстратів рентабельність також була різною у дослідних та контрольних варіантах. На 30 добу адаптації у контролях цей показник дорівнював 22,5–63,3 %, а через 60–90 діб адаптації знижувався до нульових значень. У варіантах, після застосування агроперліту, вермикуліту, суміші агроперліт + вермикуліт, рентабельність на 30 добу дорівнювала 112,4–145,7 % для сорту «Добриня», 102,6–130,1 % для сорту «Гарант», 81,7–126,7 % для сорту «Ярило» та 75,0–113,1 % для сорту «Загрей». Навіть при збільшенні тривалості адаптації до 60 </w:t>
      </w:r>
      <w:r w:rsidRPr="00CC7883">
        <w:rPr>
          <w:rFonts w:ascii="Times New Roman" w:hAnsi="Times New Roman" w:cs="Times New Roman"/>
          <w:color w:val="000000" w:themeColor="text1"/>
          <w:sz w:val="28"/>
        </w:rPr>
        <w:lastRenderedPageBreak/>
        <w:t>діб рівень рентабельн</w:t>
      </w:r>
      <w:r w:rsidR="00A64A43">
        <w:rPr>
          <w:rFonts w:ascii="Times New Roman" w:hAnsi="Times New Roman" w:cs="Times New Roman"/>
          <w:color w:val="000000" w:themeColor="text1"/>
          <w:sz w:val="28"/>
        </w:rPr>
        <w:t>о</w:t>
      </w:r>
      <w:r w:rsidRPr="00CC7883">
        <w:rPr>
          <w:rFonts w:ascii="Times New Roman" w:hAnsi="Times New Roman" w:cs="Times New Roman"/>
          <w:color w:val="000000" w:themeColor="text1"/>
          <w:sz w:val="28"/>
        </w:rPr>
        <w:t>ст</w:t>
      </w:r>
      <w:r w:rsidR="00A64A43">
        <w:rPr>
          <w:rFonts w:ascii="Times New Roman" w:hAnsi="Times New Roman" w:cs="Times New Roman"/>
          <w:color w:val="000000" w:themeColor="text1"/>
          <w:sz w:val="28"/>
        </w:rPr>
        <w:t>і</w:t>
      </w:r>
      <w:r w:rsidRPr="00CC7883">
        <w:rPr>
          <w:rFonts w:ascii="Times New Roman" w:hAnsi="Times New Roman" w:cs="Times New Roman"/>
          <w:color w:val="000000" w:themeColor="text1"/>
          <w:sz w:val="28"/>
        </w:rPr>
        <w:t xml:space="preserve"> дорівнював 58,7–121,0 %, при збільшенні тривалості адаптації до 90 діб – дорівнював 47,8–112,5 %. Порівняно із контролем цей показник був більшим на 90,2–125,5 % (через 60 діб), 105,2–140,1 % (через 90 діб) для сорту «Добриня», відповідно на 79,6–111,0 %, 86,8–115,4 % для сорту «Гарант», на 53,6–100,9 %, 55,1–102,0 % для сорту «Ярило» та на 61,8–103,4 %, 75,3–113,9 % для сорту «Загрей» (</w:t>
      </w:r>
      <w:r w:rsidR="007D726B" w:rsidRPr="00CC7883">
        <w:rPr>
          <w:rFonts w:ascii="Times New Roman" w:hAnsi="Times New Roman" w:cs="Times New Roman"/>
          <w:color w:val="000000" w:themeColor="text1"/>
          <w:sz w:val="28"/>
          <w:szCs w:val="28"/>
        </w:rPr>
        <w:t xml:space="preserve">табл. </w:t>
      </w:r>
      <w:r w:rsidR="0020514E">
        <w:rPr>
          <w:rFonts w:ascii="Times New Roman" w:hAnsi="Times New Roman" w:cs="Times New Roman"/>
          <w:color w:val="000000" w:themeColor="text1"/>
          <w:sz w:val="28"/>
        </w:rPr>
        <w:t>9</w:t>
      </w:r>
      <w:r w:rsidRPr="00CC7883">
        <w:rPr>
          <w:rFonts w:ascii="Times New Roman" w:hAnsi="Times New Roman" w:cs="Times New Roman"/>
          <w:color w:val="000000" w:themeColor="text1"/>
          <w:sz w:val="28"/>
        </w:rPr>
        <w:t xml:space="preserve">.2, </w:t>
      </w:r>
      <w:r w:rsidR="007D726B" w:rsidRPr="00CC7883">
        <w:rPr>
          <w:rFonts w:ascii="Times New Roman" w:hAnsi="Times New Roman" w:cs="Times New Roman"/>
          <w:color w:val="000000" w:themeColor="text1"/>
          <w:sz w:val="28"/>
        </w:rPr>
        <w:t>д</w:t>
      </w:r>
      <w:r w:rsidRPr="00CC7883">
        <w:rPr>
          <w:rFonts w:ascii="Times New Roman" w:hAnsi="Times New Roman" w:cs="Times New Roman"/>
          <w:color w:val="000000" w:themeColor="text1"/>
          <w:sz w:val="28"/>
        </w:rPr>
        <w:t xml:space="preserve">одаток </w:t>
      </w:r>
      <w:r w:rsidR="00D47D9B" w:rsidRPr="00CC7883">
        <w:rPr>
          <w:rFonts w:ascii="Times New Roman" w:hAnsi="Times New Roman" w:cs="Times New Roman"/>
          <w:color w:val="000000" w:themeColor="text1"/>
          <w:sz w:val="28"/>
        </w:rPr>
        <w:t>Д</w:t>
      </w:r>
      <w:r w:rsidR="00D47D9B">
        <w:rPr>
          <w:rFonts w:ascii="Times New Roman" w:hAnsi="Times New Roman" w:cs="Times New Roman"/>
          <w:color w:val="000000" w:themeColor="text1"/>
          <w:sz w:val="28"/>
        </w:rPr>
        <w:t>.</w:t>
      </w:r>
      <w:r w:rsidR="00387205">
        <w:rPr>
          <w:rFonts w:ascii="Times New Roman" w:hAnsi="Times New Roman" w:cs="Times New Roman"/>
          <w:color w:val="000000" w:themeColor="text1"/>
          <w:sz w:val="28"/>
        </w:rPr>
        <w:t xml:space="preserve"> </w:t>
      </w:r>
      <w:r w:rsidR="00D47D9B">
        <w:rPr>
          <w:rFonts w:ascii="Times New Roman" w:hAnsi="Times New Roman" w:cs="Times New Roman"/>
          <w:color w:val="000000" w:themeColor="text1"/>
          <w:sz w:val="28"/>
        </w:rPr>
        <w:t>4–Д.</w:t>
      </w:r>
      <w:r w:rsidR="00387205">
        <w:rPr>
          <w:rFonts w:ascii="Times New Roman" w:hAnsi="Times New Roman" w:cs="Times New Roman"/>
          <w:color w:val="000000" w:themeColor="text1"/>
          <w:sz w:val="28"/>
        </w:rPr>
        <w:t xml:space="preserve"> </w:t>
      </w:r>
      <w:r w:rsidR="00D47D9B">
        <w:rPr>
          <w:rFonts w:ascii="Times New Roman" w:hAnsi="Times New Roman" w:cs="Times New Roman"/>
          <w:color w:val="000000" w:themeColor="text1"/>
          <w:sz w:val="28"/>
        </w:rPr>
        <w:t>6</w:t>
      </w:r>
      <w:r w:rsidRPr="00CC7883">
        <w:rPr>
          <w:rFonts w:ascii="Times New Roman" w:hAnsi="Times New Roman" w:cs="Times New Roman"/>
          <w:color w:val="000000" w:themeColor="text1"/>
          <w:sz w:val="28"/>
        </w:rPr>
        <w:t>).</w:t>
      </w:r>
    </w:p>
    <w:p w:rsidR="009B1361" w:rsidRPr="00CC7883" w:rsidRDefault="009B1361" w:rsidP="00047411">
      <w:pPr>
        <w:widowControl w:val="0"/>
        <w:rPr>
          <w:rFonts w:ascii="Times New Roman" w:eastAsia="Times New Roman" w:hAnsi="Times New Roman" w:cs="Times New Roman"/>
          <w:b/>
          <w:bCs/>
          <w:color w:val="000000" w:themeColor="text1"/>
          <w:kern w:val="36"/>
          <w:sz w:val="28"/>
          <w:szCs w:val="28"/>
          <w:lang w:eastAsia="ru-RU"/>
        </w:rPr>
      </w:pPr>
    </w:p>
    <w:p w:rsidR="009B1361" w:rsidRPr="00CC7883" w:rsidRDefault="009B1361" w:rsidP="00047411">
      <w:pPr>
        <w:widowControl w:val="0"/>
        <w:spacing w:after="0" w:line="360" w:lineRule="auto"/>
        <w:ind w:firstLine="720"/>
        <w:jc w:val="both"/>
        <w:outlineLvl w:val="1"/>
        <w:rPr>
          <w:rFonts w:ascii="Times New Roman" w:eastAsia="Times New Roman" w:hAnsi="Times New Roman" w:cs="Times New Roman"/>
          <w:b/>
          <w:bCs/>
          <w:color w:val="000000" w:themeColor="text1"/>
          <w:kern w:val="36"/>
          <w:sz w:val="28"/>
          <w:szCs w:val="28"/>
          <w:lang w:eastAsia="ru-RU"/>
        </w:rPr>
      </w:pPr>
      <w:bookmarkStart w:id="122" w:name="_Toc220058969"/>
      <w:r w:rsidRPr="00CC7883">
        <w:rPr>
          <w:rFonts w:ascii="Times New Roman" w:eastAsia="Times New Roman" w:hAnsi="Times New Roman" w:cs="Times New Roman"/>
          <w:b/>
          <w:bCs/>
          <w:color w:val="000000" w:themeColor="text1"/>
          <w:kern w:val="36"/>
          <w:sz w:val="28"/>
          <w:szCs w:val="28"/>
          <w:lang w:eastAsia="ru-RU"/>
        </w:rPr>
        <w:t>Висновки до розділу 9</w:t>
      </w:r>
      <w:bookmarkEnd w:id="122"/>
    </w:p>
    <w:p w:rsidR="009B1361" w:rsidRPr="00CC7883" w:rsidRDefault="009B1361" w:rsidP="00047411">
      <w:pPr>
        <w:widowControl w:val="0"/>
        <w:spacing w:after="0" w:line="360" w:lineRule="auto"/>
        <w:ind w:firstLine="720"/>
        <w:jc w:val="both"/>
        <w:rPr>
          <w:rFonts w:ascii="Times New Roman" w:eastAsia="Times New Roman" w:hAnsi="Times New Roman" w:cs="Times New Roman"/>
          <w:b/>
          <w:bCs/>
          <w:color w:val="000000" w:themeColor="text1"/>
          <w:kern w:val="36"/>
          <w:sz w:val="28"/>
          <w:szCs w:val="28"/>
          <w:lang w:eastAsia="ru-RU"/>
        </w:rPr>
      </w:pPr>
    </w:p>
    <w:p w:rsidR="009B1361" w:rsidRPr="00CC7883" w:rsidRDefault="009B1361" w:rsidP="00047411">
      <w:pPr>
        <w:pStyle w:val="a7"/>
        <w:widowControl w:val="0"/>
        <w:numPr>
          <w:ilvl w:val="1"/>
          <w:numId w:val="26"/>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Приживлюваність мікроклонів винограду залежала від складу поживного середовища та типу мінерального субстрату, які використовували під час культивування рослин в умовах </w:t>
      </w:r>
      <w:r w:rsidR="001221F9"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xml:space="preserve">. </w:t>
      </w:r>
    </w:p>
    <w:p w:rsidR="009B1361" w:rsidRPr="00CC7883" w:rsidRDefault="009B1361"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У досліді з модифікованими поживними середовищами найбільші значення цього показника (до 98,0 % через 30 діб та до 82,5 % через 90 діб) були у варіантах: </w:t>
      </w:r>
      <w:r w:rsidRPr="00CC7883">
        <w:rPr>
          <w:rFonts w:ascii="Times New Roman" w:hAnsi="Times New Roman" w:cs="Times New Roman"/>
          <w:color w:val="000000" w:themeColor="text1"/>
          <w:sz w:val="28"/>
          <w:szCs w:val="28"/>
        </w:rPr>
        <w:t xml:space="preserve">MS + 0,3 мг/л ІОК, 0,2 мг/л </w:t>
      </w:r>
      <w:r w:rsidR="008B0BC2"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агроперліт,</w:t>
      </w:r>
      <w:r w:rsidR="00C63780"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 xml:space="preserve">MS + 0,3 мг/л ІОК, 0,2 мг/л </w:t>
      </w:r>
      <w:r w:rsidR="008B0BC2"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вермикуліт</w:t>
      </w:r>
      <w:r w:rsidR="00C63780" w:rsidRPr="00CC7883">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hAnsi="Times New Roman" w:cs="Times New Roman"/>
          <w:color w:val="000000" w:themeColor="text1"/>
          <w:sz w:val="28"/>
          <w:szCs w:val="28"/>
        </w:rPr>
        <w:t xml:space="preserve">MS + 0,3 мг/л ІОК, 0,2 мг/л </w:t>
      </w:r>
      <w:r w:rsidR="008B0BC2" w:rsidRPr="00CC7883">
        <w:rPr>
          <w:rFonts w:ascii="Times New Roman" w:hAnsi="Times New Roman" w:cs="Times New Roman"/>
          <w:color w:val="000000" w:themeColor="text1"/>
          <w:sz w:val="28"/>
          <w:szCs w:val="28"/>
        </w:rPr>
        <w:t>6-БАП</w:t>
      </w:r>
      <w:r w:rsidRPr="00CC7883">
        <w:rPr>
          <w:rFonts w:ascii="Times New Roman" w:hAnsi="Times New Roman" w:cs="Times New Roman"/>
          <w:color w:val="000000" w:themeColor="text1"/>
          <w:sz w:val="28"/>
          <w:szCs w:val="28"/>
        </w:rPr>
        <w:t xml:space="preserve"> + (агроперліт + вермикуліт)</w:t>
      </w:r>
      <w:r w:rsidRPr="00CC7883">
        <w:rPr>
          <w:rFonts w:ascii="Times New Roman" w:eastAsia="Times New Roman" w:hAnsi="Times New Roman" w:cs="Times New Roman"/>
          <w:color w:val="000000" w:themeColor="text1"/>
          <w:sz w:val="28"/>
          <w:szCs w:val="28"/>
          <w:lang w:eastAsia="ru-RU"/>
        </w:rPr>
        <w:t xml:space="preserve">, що підтверджує ефективність удосконалених технологічних прийомів. У першому, другому (контроль 1 та контроль 2) та третьому–шостому (MS + Радіфарм та MS +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Times New Roman" w:hAnsi="Times New Roman" w:cs="Times New Roman"/>
          <w:color w:val="000000" w:themeColor="text1"/>
          <w:sz w:val="28"/>
          <w:szCs w:val="28"/>
          <w:lang w:eastAsia="ru-RU"/>
        </w:rPr>
        <w:t>)</w:t>
      </w:r>
      <w:r w:rsidR="00C6378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варіантах показник приживлюваності характеризувався найменшими значеннями і знаходився на рівні 21,5–28,1 %</w:t>
      </w:r>
      <w:r w:rsidR="00F14BE2"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(контроль 1, контроль 2) та 40,0–50,0 % (MS + Радіфарм та MS + </w:t>
      </w:r>
      <w:r w:rsidR="00115B07" w:rsidRPr="00CC7883">
        <w:rPr>
          <w:rFonts w:ascii="Times New Roman" w:eastAsia="NSimSun" w:hAnsi="Times New Roman" w:cs="Times New Roman"/>
          <w:color w:val="000000" w:themeColor="text1"/>
          <w:kern w:val="3"/>
          <w:sz w:val="28"/>
          <w:szCs w:val="28"/>
        </w:rPr>
        <w:t>Clonex gel</w:t>
      </w:r>
      <w:r w:rsidRPr="00CC7883">
        <w:rPr>
          <w:rFonts w:ascii="Times New Roman" w:eastAsia="Times New Roman" w:hAnsi="Times New Roman" w:cs="Times New Roman"/>
          <w:color w:val="000000" w:themeColor="text1"/>
          <w:sz w:val="28"/>
          <w:szCs w:val="28"/>
          <w:lang w:eastAsia="ru-RU"/>
        </w:rPr>
        <w:t xml:space="preserve">). Це свідчить про те, що технологія культивування винограду </w:t>
      </w:r>
      <w:r w:rsidR="00D010AF">
        <w:rPr>
          <w:rFonts w:ascii="Times New Roman" w:eastAsia="Times New Roman" w:hAnsi="Times New Roman" w:cs="Times New Roman"/>
          <w:color w:val="000000" w:themeColor="text1"/>
          <w:sz w:val="28"/>
          <w:szCs w:val="28"/>
          <w:lang w:eastAsia="ru-RU"/>
        </w:rPr>
        <w:t xml:space="preserve">у </w:t>
      </w:r>
      <w:r w:rsidRPr="00CC7883">
        <w:rPr>
          <w:rFonts w:ascii="Times New Roman" w:eastAsia="Times New Roman" w:hAnsi="Times New Roman" w:cs="Times New Roman"/>
          <w:color w:val="000000" w:themeColor="text1"/>
          <w:sz w:val="28"/>
          <w:szCs w:val="28"/>
          <w:lang w:eastAsia="ru-RU"/>
        </w:rPr>
        <w:t>контрольних варіант</w:t>
      </w:r>
      <w:r w:rsidR="00D010AF">
        <w:rPr>
          <w:rFonts w:ascii="Times New Roman" w:eastAsia="Times New Roman" w:hAnsi="Times New Roman" w:cs="Times New Roman"/>
          <w:color w:val="000000" w:themeColor="text1"/>
          <w:sz w:val="28"/>
          <w:szCs w:val="28"/>
          <w:lang w:eastAsia="ru-RU"/>
        </w:rPr>
        <w:t>ах</w:t>
      </w:r>
      <w:r w:rsidRPr="00CC7883">
        <w:rPr>
          <w:rFonts w:ascii="Times New Roman" w:eastAsia="Times New Roman" w:hAnsi="Times New Roman" w:cs="Times New Roman"/>
          <w:color w:val="000000" w:themeColor="text1"/>
          <w:sz w:val="28"/>
          <w:szCs w:val="28"/>
          <w:lang w:eastAsia="ru-RU"/>
        </w:rPr>
        <w:t xml:space="preserve"> є недоцільною, </w:t>
      </w:r>
      <w:r w:rsidR="00D010AF">
        <w:rPr>
          <w:rFonts w:ascii="Times New Roman" w:eastAsia="Times New Roman" w:hAnsi="Times New Roman" w:cs="Times New Roman"/>
          <w:color w:val="000000" w:themeColor="text1"/>
          <w:sz w:val="28"/>
          <w:szCs w:val="28"/>
          <w:lang w:eastAsia="ru-RU"/>
        </w:rPr>
        <w:t>а використання</w:t>
      </w:r>
      <w:r w:rsidRPr="00CC7883">
        <w:rPr>
          <w:rFonts w:ascii="Times New Roman" w:eastAsia="Times New Roman" w:hAnsi="Times New Roman" w:cs="Times New Roman"/>
          <w:color w:val="000000" w:themeColor="text1"/>
          <w:sz w:val="28"/>
          <w:szCs w:val="28"/>
          <w:lang w:eastAsia="ru-RU"/>
        </w:rPr>
        <w:t xml:space="preserve"> варіантів із БАП</w:t>
      </w:r>
      <w:r w:rsidR="00C6378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обмежує практичну доцільність</w:t>
      </w:r>
      <w:r w:rsidR="00D010AF">
        <w:rPr>
          <w:rFonts w:ascii="Times New Roman" w:eastAsia="Times New Roman" w:hAnsi="Times New Roman" w:cs="Times New Roman"/>
          <w:color w:val="000000" w:themeColor="text1"/>
          <w:sz w:val="28"/>
          <w:szCs w:val="28"/>
          <w:lang w:eastAsia="ru-RU"/>
        </w:rPr>
        <w:t xml:space="preserve"> її впровадження</w:t>
      </w:r>
      <w:r w:rsidRPr="00CC7883">
        <w:rPr>
          <w:rFonts w:ascii="Times New Roman" w:eastAsia="Times New Roman" w:hAnsi="Times New Roman" w:cs="Times New Roman"/>
          <w:color w:val="000000" w:themeColor="text1"/>
          <w:sz w:val="28"/>
          <w:szCs w:val="28"/>
          <w:lang w:eastAsia="ru-RU"/>
        </w:rPr>
        <w:t>.</w:t>
      </w:r>
    </w:p>
    <w:p w:rsidR="009B1361" w:rsidRPr="00CC7883" w:rsidRDefault="009B1361"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У досліді з мінеральними поживними субстратами (агроперліт, вермикуліт та їх суміш)</w:t>
      </w:r>
      <w:r w:rsidR="00F14BE2"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приживлюваність мікроклонів також була на високому рівні і перевищувала контрольні показники у 1,2–3,0 раз</w:t>
      </w:r>
      <w:r w:rsidR="000F7714">
        <w:rPr>
          <w:rFonts w:ascii="Times New Roman" w:eastAsia="Times New Roman" w:hAnsi="Times New Roman" w:cs="Times New Roman"/>
          <w:color w:val="000000" w:themeColor="text1"/>
          <w:sz w:val="28"/>
          <w:szCs w:val="28"/>
          <w:lang w:eastAsia="ru-RU"/>
        </w:rPr>
        <w:t>а</w:t>
      </w:r>
      <w:r w:rsidR="009D31D1">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після всіх строків адаптації рослин. У контрольних варіантах цей показник, навпаки</w:t>
      </w:r>
      <w:r w:rsidR="007D67CA">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поступово знижувався. Після 30 діб адаптації він дорівнював 37,5–60,0 %, </w:t>
      </w:r>
      <w:r w:rsidRPr="00CC7883">
        <w:rPr>
          <w:rFonts w:ascii="Times New Roman" w:eastAsia="Times New Roman" w:hAnsi="Times New Roman" w:cs="Times New Roman"/>
          <w:color w:val="000000" w:themeColor="text1"/>
          <w:sz w:val="28"/>
          <w:szCs w:val="28"/>
          <w:lang w:eastAsia="ru-RU"/>
        </w:rPr>
        <w:lastRenderedPageBreak/>
        <w:t xml:space="preserve">після 60 діб </w:t>
      </w:r>
      <w:r w:rsidR="00654524">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29,5–40,0 %, після 90 діб </w:t>
      </w:r>
      <w:r w:rsidR="00654524">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21,5–35,5 %. </w:t>
      </w:r>
    </w:p>
    <w:p w:rsidR="009B1361" w:rsidRPr="00CC7883" w:rsidRDefault="009B1361"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Проте слід зазначити, що порівняння показника приживлюваності мікроклонів винограду у найкращих варіантах модифікованих поживних середовищ (із додаванням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eastAsia="Times New Roman" w:hAnsi="Times New Roman" w:cs="Times New Roman"/>
          <w:color w:val="000000" w:themeColor="text1"/>
          <w:sz w:val="28"/>
          <w:szCs w:val="28"/>
          <w:lang w:eastAsia="ru-RU"/>
        </w:rPr>
        <w:t>их компонентів) та у найкращих варіантах із мінеральними поживними субстратами (агроперліт + вермикуліт) показало перевагу на користь модифікованих поживних середовищ.</w:t>
      </w:r>
    </w:p>
    <w:p w:rsidR="009B1361" w:rsidRPr="00CC7883" w:rsidRDefault="009B1361" w:rsidP="00047411">
      <w:pPr>
        <w:pStyle w:val="a7"/>
        <w:widowControl w:val="0"/>
        <w:numPr>
          <w:ilvl w:val="1"/>
          <w:numId w:val="26"/>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bCs/>
          <w:color w:val="000000" w:themeColor="text1"/>
          <w:sz w:val="28"/>
          <w:szCs w:val="28"/>
          <w:lang w:eastAsia="ru-RU"/>
        </w:rPr>
        <w:t>Загальні витрати на одержання мікроклонів винограду у першому досліді</w:t>
      </w:r>
      <w:r w:rsidRPr="00CC7883">
        <w:rPr>
          <w:rFonts w:ascii="Times New Roman" w:eastAsia="Times New Roman" w:hAnsi="Times New Roman" w:cs="Times New Roman"/>
          <w:color w:val="000000" w:themeColor="text1"/>
          <w:sz w:val="28"/>
          <w:szCs w:val="28"/>
          <w:lang w:eastAsia="ru-RU"/>
        </w:rPr>
        <w:t xml:space="preserve"> (культивування рослин на стандартних і модифікованих поживних середовищах) становили 39139,0–41849,2 грн, у другому досліді (культивування рослин на мінеральних субстратах) – </w:t>
      </w:r>
      <w:r w:rsidRPr="00CC7883">
        <w:rPr>
          <w:rFonts w:ascii="Times New Roman" w:hAnsi="Times New Roman" w:cs="Times New Roman"/>
          <w:color w:val="000000" w:themeColor="text1"/>
          <w:sz w:val="28"/>
        </w:rPr>
        <w:t>30139,0–33179,0</w:t>
      </w:r>
      <w:r w:rsidRPr="00CC7883">
        <w:rPr>
          <w:rFonts w:ascii="Times New Roman" w:eastAsia="Times New Roman" w:hAnsi="Times New Roman" w:cs="Times New Roman"/>
          <w:color w:val="000000" w:themeColor="text1"/>
          <w:sz w:val="28"/>
          <w:szCs w:val="28"/>
          <w:lang w:eastAsia="ru-RU"/>
        </w:rPr>
        <w:t xml:space="preserve"> грн.</w:t>
      </w:r>
    </w:p>
    <w:p w:rsidR="009B1361" w:rsidRPr="00CC7883" w:rsidRDefault="009B1361"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До статей витрат, що змінювалися, слід віднести: </w:t>
      </w:r>
      <w:r w:rsidRPr="00CC7883">
        <w:rPr>
          <w:rFonts w:ascii="Times New Roman" w:eastAsia="Times New Roman" w:hAnsi="Times New Roman" w:cs="Times New Roman"/>
          <w:bCs/>
          <w:color w:val="000000" w:themeColor="text1"/>
          <w:sz w:val="28"/>
          <w:szCs w:val="28"/>
          <w:lang w:eastAsia="ru-RU"/>
        </w:rPr>
        <w:t>витрати на приготування поживних середовищ</w:t>
      </w:r>
      <w:r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bCs/>
          <w:color w:val="000000" w:themeColor="text1"/>
          <w:sz w:val="28"/>
          <w:szCs w:val="28"/>
          <w:lang w:eastAsia="ru-RU"/>
        </w:rPr>
        <w:t>вартість біологічно активних препаратів</w:t>
      </w:r>
      <w:r w:rsidRPr="00CC7883">
        <w:rPr>
          <w:rFonts w:ascii="Times New Roman" w:eastAsia="Times New Roman" w:hAnsi="Times New Roman" w:cs="Times New Roman"/>
          <w:color w:val="000000" w:themeColor="text1"/>
          <w:sz w:val="28"/>
          <w:szCs w:val="28"/>
          <w:lang w:eastAsia="ru-RU"/>
        </w:rPr>
        <w:t xml:space="preserve"> та </w:t>
      </w:r>
      <w:r w:rsidRPr="00CC7883">
        <w:rPr>
          <w:rFonts w:ascii="Times New Roman" w:eastAsia="Times New Roman" w:hAnsi="Times New Roman" w:cs="Times New Roman"/>
          <w:bCs/>
          <w:color w:val="000000" w:themeColor="text1"/>
          <w:sz w:val="28"/>
          <w:szCs w:val="28"/>
          <w:lang w:eastAsia="ru-RU"/>
        </w:rPr>
        <w:t>вартість мінеральних субстратів</w:t>
      </w:r>
      <w:r w:rsidRPr="00CC7883">
        <w:rPr>
          <w:rFonts w:ascii="Times New Roman" w:eastAsia="Times New Roman" w:hAnsi="Times New Roman" w:cs="Times New Roman"/>
          <w:color w:val="000000" w:themeColor="text1"/>
          <w:sz w:val="28"/>
          <w:szCs w:val="28"/>
          <w:lang w:eastAsia="ru-RU"/>
        </w:rPr>
        <w:t xml:space="preserve"> (агроперліт, вермикуліт або їх суміші), які використовували як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004C5062" w:rsidRPr="00CC7883">
        <w:rPr>
          <w:rFonts w:ascii="Times New Roman" w:eastAsia="Times New Roman" w:hAnsi="Times New Roman" w:cs="Times New Roman"/>
          <w:color w:val="000000" w:themeColor="text1"/>
          <w:sz w:val="28"/>
          <w:szCs w:val="28"/>
          <w:lang w:eastAsia="ru-RU"/>
        </w:rPr>
        <w:t xml:space="preserve">і </w:t>
      </w:r>
      <w:r w:rsidRPr="00CC7883">
        <w:rPr>
          <w:rFonts w:ascii="Times New Roman" w:eastAsia="Times New Roman" w:hAnsi="Times New Roman" w:cs="Times New Roman"/>
          <w:color w:val="000000" w:themeColor="text1"/>
          <w:sz w:val="28"/>
          <w:szCs w:val="28"/>
          <w:lang w:eastAsia="ru-RU"/>
        </w:rPr>
        <w:t>компоненти у складі модифікованих середовищ або як чисті субстрати для культивування рослин. Ці витрати коливалися у межах</w:t>
      </w:r>
      <w:r w:rsidR="00C6378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bCs/>
          <w:color w:val="000000" w:themeColor="text1"/>
          <w:sz w:val="28"/>
          <w:szCs w:val="28"/>
          <w:lang w:eastAsia="ru-RU"/>
        </w:rPr>
        <w:t>250,3–1110,0 грн</w:t>
      </w:r>
      <w:r w:rsidR="00C63780" w:rsidRPr="00CC7883">
        <w:rPr>
          <w:rFonts w:ascii="Times New Roman" w:eastAsia="Times New Roman" w:hAnsi="Times New Roman" w:cs="Times New Roman"/>
          <w:bCs/>
          <w:color w:val="000000" w:themeColor="text1"/>
          <w:sz w:val="28"/>
          <w:szCs w:val="28"/>
          <w:lang w:eastAsia="ru-RU"/>
        </w:rPr>
        <w:t xml:space="preserve"> </w:t>
      </w:r>
      <w:r w:rsidRPr="00CC7883">
        <w:rPr>
          <w:rFonts w:ascii="Times New Roman" w:eastAsia="Times New Roman" w:hAnsi="Times New Roman" w:cs="Times New Roman"/>
          <w:bCs/>
          <w:color w:val="000000" w:themeColor="text1"/>
          <w:sz w:val="28"/>
          <w:szCs w:val="28"/>
          <w:lang w:eastAsia="ru-RU"/>
        </w:rPr>
        <w:t>(третій–шостий варіанти першого досліду), у межах 90,4–220,6 грн</w:t>
      </w:r>
      <w:r w:rsidR="00C63780" w:rsidRPr="00CC7883">
        <w:rPr>
          <w:rFonts w:ascii="Times New Roman" w:eastAsia="Times New Roman" w:hAnsi="Times New Roman" w:cs="Times New Roman"/>
          <w:bCs/>
          <w:color w:val="000000" w:themeColor="text1"/>
          <w:sz w:val="28"/>
          <w:szCs w:val="28"/>
          <w:lang w:eastAsia="ru-RU"/>
        </w:rPr>
        <w:t xml:space="preserve"> </w:t>
      </w:r>
      <w:r w:rsidRPr="00CC7883">
        <w:rPr>
          <w:rFonts w:ascii="Times New Roman" w:eastAsia="Times New Roman" w:hAnsi="Times New Roman" w:cs="Times New Roman"/>
          <w:bCs/>
          <w:color w:val="000000" w:themeColor="text1"/>
          <w:sz w:val="28"/>
          <w:szCs w:val="28"/>
          <w:lang w:eastAsia="ru-RU"/>
        </w:rPr>
        <w:t>(сьомий–дванадцятий варіанти першого досліду) та 1440,0–1800,0 грн (третій–п’ятий варіанти другого досліду)</w:t>
      </w:r>
      <w:r w:rsidRPr="00CC7883">
        <w:rPr>
          <w:rFonts w:ascii="Times New Roman" w:eastAsia="Times New Roman" w:hAnsi="Times New Roman" w:cs="Times New Roman"/>
          <w:color w:val="000000" w:themeColor="text1"/>
          <w:sz w:val="28"/>
          <w:szCs w:val="28"/>
          <w:lang w:eastAsia="ru-RU"/>
        </w:rPr>
        <w:t xml:space="preserve">. </w:t>
      </w:r>
    </w:p>
    <w:p w:rsidR="009B1361" w:rsidRPr="00CC7883" w:rsidRDefault="009B1361"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Незмінними (відповідно до схеми досліджен</w:t>
      </w:r>
      <w:r w:rsidR="00881C38">
        <w:rPr>
          <w:rFonts w:ascii="Times New Roman" w:eastAsia="Times New Roman" w:hAnsi="Times New Roman" w:cs="Times New Roman"/>
          <w:color w:val="000000" w:themeColor="text1"/>
          <w:sz w:val="28"/>
          <w:szCs w:val="28"/>
          <w:lang w:eastAsia="ru-RU"/>
        </w:rPr>
        <w:t>ня</w:t>
      </w:r>
      <w:r w:rsidRPr="00CC7883">
        <w:rPr>
          <w:rFonts w:ascii="Times New Roman" w:eastAsia="Times New Roman" w:hAnsi="Times New Roman" w:cs="Times New Roman"/>
          <w:color w:val="000000" w:themeColor="text1"/>
          <w:sz w:val="28"/>
          <w:szCs w:val="28"/>
          <w:lang w:eastAsia="ru-RU"/>
        </w:rPr>
        <w:t xml:space="preserve">) залишалися: </w:t>
      </w:r>
      <w:r w:rsidRPr="00CC7883">
        <w:rPr>
          <w:rFonts w:ascii="Times New Roman" w:eastAsia="Times New Roman" w:hAnsi="Times New Roman" w:cs="Times New Roman"/>
          <w:bCs/>
          <w:color w:val="000000" w:themeColor="text1"/>
          <w:sz w:val="28"/>
          <w:szCs w:val="28"/>
          <w:lang w:eastAsia="ru-RU"/>
        </w:rPr>
        <w:t>витрати на енергоресурси</w:t>
      </w:r>
      <w:r w:rsidRPr="00CC7883">
        <w:rPr>
          <w:rFonts w:ascii="Times New Roman" w:eastAsia="Times New Roman" w:hAnsi="Times New Roman" w:cs="Times New Roman"/>
          <w:color w:val="000000" w:themeColor="text1"/>
          <w:sz w:val="28"/>
          <w:szCs w:val="28"/>
          <w:lang w:eastAsia="ru-RU"/>
        </w:rPr>
        <w:t xml:space="preserve"> (11139,0 грн), </w:t>
      </w:r>
      <w:r w:rsidRPr="00CC7883">
        <w:rPr>
          <w:rFonts w:ascii="Times New Roman" w:eastAsia="Times New Roman" w:hAnsi="Times New Roman" w:cs="Times New Roman"/>
          <w:bCs/>
          <w:color w:val="000000" w:themeColor="text1"/>
          <w:sz w:val="28"/>
          <w:szCs w:val="28"/>
          <w:lang w:eastAsia="ru-RU"/>
        </w:rPr>
        <w:t>трудові витрати</w:t>
      </w:r>
      <w:r w:rsidRPr="00CC7883">
        <w:rPr>
          <w:rFonts w:ascii="Times New Roman" w:eastAsia="Times New Roman" w:hAnsi="Times New Roman" w:cs="Times New Roman"/>
          <w:color w:val="000000" w:themeColor="text1"/>
          <w:sz w:val="28"/>
          <w:szCs w:val="28"/>
          <w:lang w:eastAsia="ru-RU"/>
        </w:rPr>
        <w:t xml:space="preserve"> (6500–7500 грн) та </w:t>
      </w:r>
      <w:r w:rsidRPr="00CC7883">
        <w:rPr>
          <w:rFonts w:ascii="Times New Roman" w:eastAsia="Times New Roman" w:hAnsi="Times New Roman" w:cs="Times New Roman"/>
          <w:bCs/>
          <w:color w:val="000000" w:themeColor="text1"/>
          <w:sz w:val="28"/>
          <w:szCs w:val="28"/>
          <w:lang w:eastAsia="ru-RU"/>
        </w:rPr>
        <w:t xml:space="preserve">витрати на введення ініціальних експлантів у культуру </w:t>
      </w:r>
      <w:r w:rsidR="00F5525C"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xml:space="preserve"> (1500 грн).</w:t>
      </w:r>
    </w:p>
    <w:p w:rsidR="009B1361" w:rsidRPr="00CC7883" w:rsidRDefault="009B1361" w:rsidP="00047411">
      <w:pPr>
        <w:pStyle w:val="ae"/>
        <w:widowControl w:val="0"/>
        <w:numPr>
          <w:ilvl w:val="1"/>
          <w:numId w:val="26"/>
        </w:numPr>
        <w:spacing w:before="0" w:beforeAutospacing="0" w:after="0" w:afterAutospacing="0" w:line="360" w:lineRule="auto"/>
        <w:ind w:left="-142" w:firstLine="0"/>
        <w:jc w:val="both"/>
        <w:rPr>
          <w:color w:val="000000" w:themeColor="text1"/>
          <w:sz w:val="28"/>
          <w:szCs w:val="28"/>
        </w:rPr>
      </w:pPr>
      <w:r w:rsidRPr="00CC7883">
        <w:rPr>
          <w:bCs/>
          <w:color w:val="000000" w:themeColor="text1"/>
          <w:sz w:val="28"/>
          <w:szCs w:val="28"/>
        </w:rPr>
        <w:t>Собівартість 1000 адаптованих мікроклонів</w:t>
      </w:r>
      <w:r w:rsidRPr="00CC7883">
        <w:rPr>
          <w:color w:val="000000" w:themeColor="text1"/>
          <w:sz w:val="28"/>
          <w:szCs w:val="28"/>
        </w:rPr>
        <w:t xml:space="preserve"> винограду суттєво залежала від рівня приживлюваності мікроклонів та удосконалених технологічних прийомів. </w:t>
      </w:r>
    </w:p>
    <w:p w:rsidR="009B1361" w:rsidRPr="00CC7883" w:rsidRDefault="009B1361" w:rsidP="00047411">
      <w:pPr>
        <w:pStyle w:val="ae"/>
        <w:widowControl w:val="0"/>
        <w:spacing w:before="0" w:beforeAutospacing="0" w:after="0" w:afterAutospacing="0" w:line="360" w:lineRule="auto"/>
        <w:ind w:left="-142" w:firstLine="708"/>
        <w:jc w:val="both"/>
        <w:rPr>
          <w:color w:val="000000" w:themeColor="text1"/>
          <w:sz w:val="28"/>
          <w:szCs w:val="28"/>
        </w:rPr>
      </w:pPr>
      <w:r w:rsidRPr="00CC7883">
        <w:rPr>
          <w:color w:val="000000" w:themeColor="text1"/>
          <w:sz w:val="28"/>
          <w:szCs w:val="28"/>
        </w:rPr>
        <w:t xml:space="preserve">У варіантах з модифікованими поживними середовищами низька приживлюваність рослин у контрольних варіантах та у варіантах, де до поживного середовища додавали БАП (перший–шостий варіанти), призводила до формування високої собівартості продукції. Вона збільшувалась до </w:t>
      </w:r>
      <w:r w:rsidRPr="00CC7883">
        <w:rPr>
          <w:color w:val="000000" w:themeColor="text1"/>
          <w:sz w:val="28"/>
          <w:szCs w:val="28"/>
        </w:rPr>
        <w:lastRenderedPageBreak/>
        <w:t>189483,7 грн – термін адаптації 90 діб. У сьомому–дванадцятому варіантах (культивування рослин на структурованих поживних середовищах) за рахунок високої приживлюваності мікроклонів винограду їх собівартість знижувалася до 40163,0–97308,0 грн (за аналогічного терміну адаптації). Необхідно вказати, що</w:t>
      </w:r>
      <w:r w:rsidR="007D67CA">
        <w:rPr>
          <w:color w:val="000000" w:themeColor="text1"/>
          <w:sz w:val="28"/>
          <w:szCs w:val="28"/>
        </w:rPr>
        <w:t xml:space="preserve"> </w:t>
      </w:r>
      <w:r w:rsidRPr="00CC7883">
        <w:rPr>
          <w:color w:val="000000" w:themeColor="text1"/>
          <w:sz w:val="28"/>
          <w:szCs w:val="28"/>
        </w:rPr>
        <w:t xml:space="preserve">найменшим був цей показник в одинадцятому варіанті (MS + 0,3 мг/л ІОК, 0,2 мг/л </w:t>
      </w:r>
      <w:r w:rsidR="00CF29A8" w:rsidRPr="00CC7883">
        <w:rPr>
          <w:color w:val="000000" w:themeColor="text1"/>
          <w:sz w:val="28"/>
          <w:szCs w:val="28"/>
        </w:rPr>
        <w:t>6-</w:t>
      </w:r>
      <w:r w:rsidRPr="00CC7883">
        <w:rPr>
          <w:color w:val="000000" w:themeColor="text1"/>
          <w:sz w:val="28"/>
          <w:szCs w:val="28"/>
        </w:rPr>
        <w:t>БАП + агроперліт + вермикуліт</w:t>
      </w:r>
      <w:r w:rsidR="00654524">
        <w:rPr>
          <w:color w:val="000000" w:themeColor="text1"/>
          <w:sz w:val="28"/>
          <w:szCs w:val="28"/>
        </w:rPr>
        <w:t>)</w:t>
      </w:r>
      <w:r w:rsidRPr="00CC7883">
        <w:rPr>
          <w:color w:val="000000" w:themeColor="text1"/>
          <w:sz w:val="28"/>
          <w:szCs w:val="28"/>
        </w:rPr>
        <w:t xml:space="preserve"> і дорівнював 40163,0 грн.</w:t>
      </w:r>
    </w:p>
    <w:p w:rsidR="009B1361" w:rsidRPr="00CC7883" w:rsidRDefault="009B1361" w:rsidP="00047411">
      <w:pPr>
        <w:pStyle w:val="ae"/>
        <w:widowControl w:val="0"/>
        <w:spacing w:before="0" w:beforeAutospacing="0" w:after="0" w:afterAutospacing="0" w:line="360" w:lineRule="auto"/>
        <w:ind w:left="-142" w:firstLine="708"/>
        <w:jc w:val="both"/>
        <w:rPr>
          <w:color w:val="000000" w:themeColor="text1"/>
          <w:sz w:val="28"/>
          <w:szCs w:val="28"/>
        </w:rPr>
      </w:pPr>
      <w:r w:rsidRPr="00CC7883">
        <w:rPr>
          <w:color w:val="000000" w:themeColor="text1"/>
          <w:sz w:val="28"/>
          <w:szCs w:val="28"/>
        </w:rPr>
        <w:t xml:space="preserve">У варіантах із мінеральними субстратами собівартість </w:t>
      </w:r>
      <w:r w:rsidRPr="00CC7883">
        <w:rPr>
          <w:bCs/>
          <w:color w:val="000000" w:themeColor="text1"/>
          <w:sz w:val="28"/>
          <w:szCs w:val="28"/>
        </w:rPr>
        <w:t>1000 а</w:t>
      </w:r>
      <w:r w:rsidRPr="00CC7883">
        <w:rPr>
          <w:color w:val="000000" w:themeColor="text1"/>
          <w:sz w:val="28"/>
          <w:szCs w:val="28"/>
        </w:rPr>
        <w:t xml:space="preserve">даптованих мікроклонів винограду знижувалася до 36630,9–60878,9 грн, при 50231,7–147623,3 грн у контролі, що у черговий раз підтверджує переваги застосування удосконалених технологічних прийомів. </w:t>
      </w:r>
    </w:p>
    <w:p w:rsidR="009B1361" w:rsidRPr="00CC7883" w:rsidRDefault="009B1361" w:rsidP="00047411">
      <w:pPr>
        <w:pStyle w:val="ae"/>
        <w:widowControl w:val="0"/>
        <w:numPr>
          <w:ilvl w:val="1"/>
          <w:numId w:val="26"/>
        </w:numPr>
        <w:spacing w:before="0" w:beforeAutospacing="0" w:after="0" w:afterAutospacing="0" w:line="360" w:lineRule="auto"/>
        <w:ind w:left="0" w:firstLine="0"/>
        <w:jc w:val="both"/>
        <w:rPr>
          <w:color w:val="000000" w:themeColor="text1"/>
          <w:sz w:val="28"/>
          <w:szCs w:val="28"/>
        </w:rPr>
      </w:pPr>
      <w:r w:rsidRPr="00CC7883">
        <w:rPr>
          <w:bCs/>
          <w:color w:val="000000" w:themeColor="text1"/>
          <w:sz w:val="28"/>
          <w:szCs w:val="28"/>
        </w:rPr>
        <w:t>Прибуток на 1000 адаптованих мікроклонів винограду</w:t>
      </w:r>
      <w:r w:rsidRPr="00CC7883">
        <w:rPr>
          <w:color w:val="000000" w:themeColor="text1"/>
          <w:sz w:val="28"/>
          <w:szCs w:val="28"/>
        </w:rPr>
        <w:t xml:space="preserve"> залежав від рівня приживлюваності мікроклонів і собівартості продукції, що так само визначає економічну ефективність впровадження удосконалених технологічних прийомів.</w:t>
      </w:r>
    </w:p>
    <w:p w:rsidR="009B1361" w:rsidRPr="00CC7883" w:rsidRDefault="009B1361" w:rsidP="00047411">
      <w:pPr>
        <w:pStyle w:val="ae"/>
        <w:widowControl w:val="0"/>
        <w:spacing w:before="0" w:beforeAutospacing="0" w:after="0" w:afterAutospacing="0" w:line="360" w:lineRule="auto"/>
        <w:ind w:firstLine="708"/>
        <w:jc w:val="both"/>
        <w:rPr>
          <w:color w:val="000000" w:themeColor="text1"/>
          <w:sz w:val="28"/>
          <w:szCs w:val="28"/>
        </w:rPr>
      </w:pPr>
      <w:r w:rsidRPr="00CC7883">
        <w:rPr>
          <w:color w:val="000000" w:themeColor="text1"/>
          <w:sz w:val="28"/>
          <w:szCs w:val="28"/>
        </w:rPr>
        <w:t>У контрольних варіантах та варіантах із модифікованими БАП поживними середовищами (перший, другий та третій–шостий) низька приживлюваність мікроклонів</w:t>
      </w:r>
      <w:r w:rsidR="00DE350F" w:rsidRPr="00CC7883">
        <w:rPr>
          <w:color w:val="000000" w:themeColor="text1"/>
          <w:sz w:val="28"/>
          <w:szCs w:val="28"/>
        </w:rPr>
        <w:t xml:space="preserve"> </w:t>
      </w:r>
      <w:r w:rsidRPr="00CC7883">
        <w:rPr>
          <w:color w:val="000000" w:themeColor="text1"/>
          <w:sz w:val="28"/>
          <w:szCs w:val="28"/>
        </w:rPr>
        <w:t>призводила до відсутності прибутку (контрольні варіанти) або до невеликих його значень – 2011,0–25860,7 грн</w:t>
      </w:r>
      <w:r w:rsidR="00C63780" w:rsidRPr="00CC7883">
        <w:rPr>
          <w:color w:val="000000" w:themeColor="text1"/>
          <w:sz w:val="28"/>
          <w:szCs w:val="28"/>
        </w:rPr>
        <w:t xml:space="preserve"> </w:t>
      </w:r>
      <w:r w:rsidRPr="00CC7883">
        <w:rPr>
          <w:color w:val="000000" w:themeColor="text1"/>
          <w:sz w:val="28"/>
          <w:szCs w:val="28"/>
        </w:rPr>
        <w:t>(30 діб), 360,8–19560,7 грн</w:t>
      </w:r>
      <w:r w:rsidR="00C63780" w:rsidRPr="00CC7883">
        <w:rPr>
          <w:color w:val="000000" w:themeColor="text1"/>
          <w:sz w:val="28"/>
          <w:szCs w:val="28"/>
        </w:rPr>
        <w:t xml:space="preserve"> </w:t>
      </w:r>
      <w:r w:rsidRPr="00CC7883">
        <w:rPr>
          <w:color w:val="000000" w:themeColor="text1"/>
          <w:sz w:val="28"/>
          <w:szCs w:val="28"/>
        </w:rPr>
        <w:t>(60 діб) та 450,8–13260,7 грн (90 діб). Це свідчить про недоцільність культивування мікроклонів за таких технологічних протоколів. Максимальний прибуток був в одинадцятому варіанті і дорівн</w:t>
      </w:r>
      <w:r w:rsidR="00C63780" w:rsidRPr="00CC7883">
        <w:rPr>
          <w:color w:val="000000" w:themeColor="text1"/>
          <w:sz w:val="28"/>
          <w:szCs w:val="28"/>
        </w:rPr>
        <w:t>ював 39390,4–48840,4 грн на 30-ту</w:t>
      </w:r>
      <w:r w:rsidRPr="00CC7883">
        <w:rPr>
          <w:color w:val="000000" w:themeColor="text1"/>
          <w:sz w:val="28"/>
          <w:szCs w:val="28"/>
        </w:rPr>
        <w:t xml:space="preserve"> добу, 24540,4–37590,4 грн</w:t>
      </w:r>
      <w:r w:rsidR="00C63780" w:rsidRPr="00CC7883">
        <w:rPr>
          <w:color w:val="000000" w:themeColor="text1"/>
          <w:sz w:val="28"/>
          <w:szCs w:val="28"/>
        </w:rPr>
        <w:t xml:space="preserve"> </w:t>
      </w:r>
      <w:r w:rsidRPr="00CC7883">
        <w:rPr>
          <w:color w:val="000000" w:themeColor="text1"/>
          <w:sz w:val="28"/>
          <w:szCs w:val="28"/>
        </w:rPr>
        <w:t>на 60</w:t>
      </w:r>
      <w:r w:rsidR="00C63780" w:rsidRPr="00CC7883">
        <w:rPr>
          <w:color w:val="000000" w:themeColor="text1"/>
          <w:sz w:val="28"/>
          <w:szCs w:val="28"/>
        </w:rPr>
        <w:t xml:space="preserve"> </w:t>
      </w:r>
      <w:r w:rsidRPr="00CC7883">
        <w:rPr>
          <w:color w:val="000000" w:themeColor="text1"/>
          <w:sz w:val="28"/>
          <w:szCs w:val="28"/>
        </w:rPr>
        <w:t xml:space="preserve">добу, 19320,4–34890,4 грн на 90 добу, що вказує на економічну доцільність щодо його практичного впровадження. </w:t>
      </w:r>
    </w:p>
    <w:p w:rsidR="009B1361" w:rsidRPr="00CC7883" w:rsidRDefault="009B1361" w:rsidP="00047411">
      <w:pPr>
        <w:pStyle w:val="ae"/>
        <w:widowControl w:val="0"/>
        <w:spacing w:before="0" w:beforeAutospacing="0" w:after="0" w:afterAutospacing="0" w:line="360" w:lineRule="auto"/>
        <w:ind w:firstLine="708"/>
        <w:jc w:val="both"/>
        <w:rPr>
          <w:color w:val="000000" w:themeColor="text1"/>
          <w:sz w:val="28"/>
          <w:szCs w:val="28"/>
        </w:rPr>
      </w:pPr>
      <w:r w:rsidRPr="00CC7883">
        <w:rPr>
          <w:color w:val="000000" w:themeColor="text1"/>
          <w:sz w:val="28"/>
          <w:szCs w:val="28"/>
        </w:rPr>
        <w:t>Для варіантів із мінеральними субстратами прибуток був у межах 22511,0–42311,0 грн (агроперліт), 15871,0–37291,0 грн (вермикуліт) та 29171,0–46271,0 грн (агроперліт + вермикуліт). Прибутку від реалізації одержаної продукції у контрольних варіантах не від</w:t>
      </w:r>
      <w:r w:rsidR="004D6732">
        <w:rPr>
          <w:color w:val="000000" w:themeColor="text1"/>
          <w:sz w:val="28"/>
          <w:szCs w:val="28"/>
        </w:rPr>
        <w:t>значали</w:t>
      </w:r>
      <w:r w:rsidRPr="00CC7883">
        <w:rPr>
          <w:color w:val="000000" w:themeColor="text1"/>
          <w:sz w:val="28"/>
          <w:szCs w:val="28"/>
        </w:rPr>
        <w:t xml:space="preserve">. </w:t>
      </w:r>
    </w:p>
    <w:p w:rsidR="009B1361" w:rsidRPr="00CC7883" w:rsidRDefault="009B1361" w:rsidP="00047411">
      <w:pPr>
        <w:pStyle w:val="ae"/>
        <w:widowControl w:val="0"/>
        <w:spacing w:before="0" w:beforeAutospacing="0" w:after="0" w:afterAutospacing="0" w:line="360" w:lineRule="auto"/>
        <w:ind w:firstLine="708"/>
        <w:jc w:val="both"/>
        <w:rPr>
          <w:color w:val="000000" w:themeColor="text1"/>
          <w:sz w:val="28"/>
          <w:szCs w:val="28"/>
        </w:rPr>
      </w:pPr>
      <w:r w:rsidRPr="00CC7883">
        <w:rPr>
          <w:color w:val="000000" w:themeColor="text1"/>
          <w:sz w:val="28"/>
          <w:szCs w:val="28"/>
        </w:rPr>
        <w:t xml:space="preserve">Проте </w:t>
      </w:r>
      <w:r w:rsidR="00C13DDD">
        <w:rPr>
          <w:color w:val="000000" w:themeColor="text1"/>
          <w:sz w:val="28"/>
          <w:szCs w:val="28"/>
        </w:rPr>
        <w:t>порівн</w:t>
      </w:r>
      <w:r w:rsidR="0059468C">
        <w:rPr>
          <w:color w:val="000000" w:themeColor="text1"/>
          <w:sz w:val="28"/>
          <w:szCs w:val="28"/>
        </w:rPr>
        <w:t>яння</w:t>
      </w:r>
      <w:r w:rsidRPr="00CC7883">
        <w:rPr>
          <w:color w:val="000000" w:themeColor="text1"/>
          <w:sz w:val="28"/>
          <w:szCs w:val="28"/>
        </w:rPr>
        <w:t xml:space="preserve"> за цим показником найкращих варіантів першого досліду (сьомий–дванадцятий: 620,8–48840,4 грн) та другого досліду (третій–</w:t>
      </w:r>
      <w:r w:rsidRPr="00CC7883">
        <w:rPr>
          <w:color w:val="000000" w:themeColor="text1"/>
          <w:sz w:val="28"/>
          <w:szCs w:val="28"/>
        </w:rPr>
        <w:lastRenderedPageBreak/>
        <w:t>п’ятий: 15871,0–46271,0 грн) показано переваги на користь використання мінеральних субстратів.</w:t>
      </w:r>
    </w:p>
    <w:p w:rsidR="009B1361" w:rsidRPr="00CC7883" w:rsidRDefault="009B1361" w:rsidP="00047411">
      <w:pPr>
        <w:pStyle w:val="a7"/>
        <w:widowControl w:val="0"/>
        <w:numPr>
          <w:ilvl w:val="1"/>
          <w:numId w:val="26"/>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Рентабельність виробництва згідно </w:t>
      </w:r>
      <w:r w:rsidR="00292F47">
        <w:rPr>
          <w:rFonts w:ascii="Times New Roman" w:eastAsia="Times New Roman" w:hAnsi="Times New Roman" w:cs="Times New Roman"/>
          <w:color w:val="000000" w:themeColor="text1"/>
          <w:sz w:val="28"/>
          <w:szCs w:val="28"/>
          <w:lang w:eastAsia="ru-RU"/>
        </w:rPr>
        <w:t xml:space="preserve">зі </w:t>
      </w:r>
      <w:r w:rsidRPr="00CC7883">
        <w:rPr>
          <w:rFonts w:ascii="Times New Roman" w:eastAsia="Times New Roman" w:hAnsi="Times New Roman" w:cs="Times New Roman"/>
          <w:color w:val="000000" w:themeColor="text1"/>
          <w:sz w:val="28"/>
          <w:szCs w:val="28"/>
          <w:lang w:eastAsia="ru-RU"/>
        </w:rPr>
        <w:t>схем</w:t>
      </w:r>
      <w:r w:rsidR="00292F47">
        <w:rPr>
          <w:rFonts w:ascii="Times New Roman" w:eastAsia="Times New Roman" w:hAnsi="Times New Roman" w:cs="Times New Roman"/>
          <w:color w:val="000000" w:themeColor="text1"/>
          <w:sz w:val="28"/>
          <w:szCs w:val="28"/>
          <w:lang w:eastAsia="ru-RU"/>
        </w:rPr>
        <w:t>ою</w:t>
      </w:r>
      <w:r w:rsidRPr="00CC7883">
        <w:rPr>
          <w:rFonts w:ascii="Times New Roman" w:eastAsia="Times New Roman" w:hAnsi="Times New Roman" w:cs="Times New Roman"/>
          <w:color w:val="000000" w:themeColor="text1"/>
          <w:sz w:val="28"/>
          <w:szCs w:val="28"/>
          <w:lang w:eastAsia="ru-RU"/>
        </w:rPr>
        <w:t xml:space="preserve"> досліджен</w:t>
      </w:r>
      <w:r w:rsidR="00881C38">
        <w:rPr>
          <w:rFonts w:ascii="Times New Roman" w:eastAsia="Times New Roman" w:hAnsi="Times New Roman" w:cs="Times New Roman"/>
          <w:color w:val="000000" w:themeColor="text1"/>
          <w:sz w:val="28"/>
          <w:szCs w:val="28"/>
          <w:lang w:eastAsia="ru-RU"/>
        </w:rPr>
        <w:t>ня</w:t>
      </w:r>
      <w:r w:rsidRPr="00CC7883">
        <w:rPr>
          <w:rFonts w:ascii="Times New Roman" w:eastAsia="Times New Roman" w:hAnsi="Times New Roman" w:cs="Times New Roman"/>
          <w:color w:val="000000" w:themeColor="text1"/>
          <w:sz w:val="28"/>
          <w:szCs w:val="28"/>
          <w:lang w:eastAsia="ru-RU"/>
        </w:rPr>
        <w:t xml:space="preserve"> була різною. У варіантах із модифікованими поживними середовищами (перший дослід, сьомий–дванадцятий варіанти) рівень рентабельності на 30 добу адаптації рослин дорівнював</w:t>
      </w:r>
      <w:r w:rsidR="00C6378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40,9–124,1 %, на 60 добу – 16,8–95,5 %, на 90 добу – 14,5–88,6 %. Контрольні варіанти та варіанти з БАП</w:t>
      </w:r>
      <w:r w:rsidR="00C6378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були малоефективними або збитковими, рівень рентабельності був у межах 0,9–46,5 %. Найвищим рівнем рентабельності характеризувався протокол культивування винограду </w:t>
      </w:r>
      <w:r w:rsidR="001221F9"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xml:space="preserve"> з подальшою адаптацією</w:t>
      </w:r>
      <w:r w:rsidR="001221F9" w:rsidRPr="00CC7883">
        <w:rPr>
          <w:rFonts w:ascii="Times New Roman" w:hAnsi="Times New Roman" w:cs="Times New Roman"/>
          <w:i/>
          <w:color w:val="000000" w:themeColor="text1"/>
          <w:sz w:val="28"/>
          <w:szCs w:val="28"/>
        </w:rPr>
        <w:t xml:space="preserve"> in vivo</w:t>
      </w:r>
      <w:r w:rsidRPr="00CC7883">
        <w:rPr>
          <w:rFonts w:ascii="Times New Roman" w:eastAsia="Times New Roman" w:hAnsi="Times New Roman" w:cs="Times New Roman"/>
          <w:color w:val="000000" w:themeColor="text1"/>
          <w:sz w:val="28"/>
          <w:szCs w:val="28"/>
          <w:lang w:eastAsia="ru-RU"/>
        </w:rPr>
        <w:t xml:space="preserve"> одинадцятого варіант</w:t>
      </w:r>
      <w:r w:rsidR="00EE2EBA">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що свідчить про його ефективність.</w:t>
      </w:r>
    </w:p>
    <w:p w:rsidR="009B1361" w:rsidRPr="00CC7883" w:rsidRDefault="009B1361" w:rsidP="00047411">
      <w:pPr>
        <w:pStyle w:val="a7"/>
        <w:widowControl w:val="0"/>
        <w:spacing w:after="0" w:line="360" w:lineRule="auto"/>
        <w:ind w:left="0" w:firstLine="708"/>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У досліді з мінеральними субстратами (другий дослід, третій–п’ятий варіанти) встановлено</w:t>
      </w:r>
      <w:r w:rsidR="009D31D1">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найвищий рівень рентабельності, навіть порівняно з найкращими варіантами першого досліду –</w:t>
      </w:r>
      <w:r w:rsidR="00C6378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75,0–145,7 % на 30 добу, 58,7–121,0</w:t>
      </w:r>
      <w:r w:rsidR="00C6378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на 60 добу та 47,8–112,5</w:t>
      </w:r>
      <w:r w:rsidR="00C6378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на 90 добу. У контрольних варіантах, залежно</w:t>
      </w:r>
      <w:r w:rsidR="00573FBF">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від строків адаптації мікроклонів, рівень рентабельності був або дуже низьким (6,0–79,2 %)</w:t>
      </w:r>
      <w:r w:rsidR="002D27D8">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або взагалі відсутнім. </w:t>
      </w:r>
    </w:p>
    <w:p w:rsidR="009B1361" w:rsidRPr="00CC7883" w:rsidRDefault="009B1361" w:rsidP="00047411">
      <w:pPr>
        <w:widowControl w:val="0"/>
        <w:spacing w:after="0" w:line="360" w:lineRule="auto"/>
        <w:ind w:left="284"/>
        <w:rPr>
          <w:rFonts w:ascii="Times New Roman" w:hAnsi="Times New Roman" w:cs="Times New Roman"/>
          <w:color w:val="000000" w:themeColor="text1"/>
        </w:rPr>
      </w:pPr>
    </w:p>
    <w:p w:rsidR="009B1361" w:rsidRPr="00CC7883" w:rsidRDefault="009B1361" w:rsidP="00047411">
      <w:pPr>
        <w:widowControl w:val="0"/>
        <w:spacing w:after="0" w:line="360" w:lineRule="auto"/>
        <w:jc w:val="center"/>
        <w:rPr>
          <w:rFonts w:ascii="Times New Roman" w:hAnsi="Times New Roman" w:cs="Times New Roman"/>
          <w:b/>
          <w:bCs/>
          <w:color w:val="000000" w:themeColor="text1"/>
          <w:sz w:val="28"/>
          <w:szCs w:val="28"/>
        </w:rPr>
        <w:sectPr w:rsidR="009B1361" w:rsidRPr="00CC7883" w:rsidSect="00B610AB">
          <w:headerReference w:type="default" r:id="rId199"/>
          <w:pgSz w:w="11906" w:h="16838" w:code="9"/>
          <w:pgMar w:top="1134" w:right="851" w:bottom="1134" w:left="1701" w:header="709" w:footer="709" w:gutter="0"/>
          <w:cols w:space="708"/>
          <w:docGrid w:linePitch="360"/>
        </w:sectPr>
      </w:pPr>
    </w:p>
    <w:p w:rsidR="00680096" w:rsidRPr="00CC7883" w:rsidRDefault="00680096" w:rsidP="00047411">
      <w:pPr>
        <w:widowControl w:val="0"/>
        <w:spacing w:after="0" w:line="360" w:lineRule="auto"/>
        <w:jc w:val="center"/>
        <w:outlineLvl w:val="0"/>
        <w:rPr>
          <w:rFonts w:ascii="Times New Roman" w:hAnsi="Times New Roman" w:cs="Times New Roman"/>
          <w:b/>
          <w:bCs/>
          <w:color w:val="000000" w:themeColor="text1"/>
          <w:sz w:val="28"/>
          <w:szCs w:val="28"/>
        </w:rPr>
      </w:pPr>
      <w:bookmarkStart w:id="123" w:name="_Toc220058970"/>
      <w:bookmarkStart w:id="124" w:name="_Hlk219710506"/>
      <w:r w:rsidRPr="00CC7883">
        <w:rPr>
          <w:rFonts w:ascii="Times New Roman" w:hAnsi="Times New Roman" w:cs="Times New Roman"/>
          <w:b/>
          <w:bCs/>
          <w:color w:val="000000" w:themeColor="text1"/>
          <w:sz w:val="28"/>
          <w:szCs w:val="28"/>
        </w:rPr>
        <w:lastRenderedPageBreak/>
        <w:t>ВИСНОВКИ</w:t>
      </w:r>
      <w:bookmarkEnd w:id="123"/>
    </w:p>
    <w:p w:rsidR="00680096" w:rsidRPr="00CC7883" w:rsidRDefault="00680096" w:rsidP="00047411">
      <w:pPr>
        <w:widowControl w:val="0"/>
        <w:spacing w:after="0" w:line="360" w:lineRule="auto"/>
        <w:jc w:val="center"/>
        <w:rPr>
          <w:rFonts w:ascii="Times New Roman" w:hAnsi="Times New Roman" w:cs="Times New Roman"/>
          <w:color w:val="000000" w:themeColor="text1"/>
          <w:sz w:val="28"/>
          <w:szCs w:val="28"/>
        </w:rPr>
      </w:pPr>
    </w:p>
    <w:p w:rsidR="00680096" w:rsidRPr="00CC7883" w:rsidRDefault="00680096" w:rsidP="00047411">
      <w:pPr>
        <w:pStyle w:val="ae"/>
        <w:widowControl w:val="0"/>
        <w:numPr>
          <w:ilvl w:val="0"/>
          <w:numId w:val="27"/>
        </w:numPr>
        <w:spacing w:before="0" w:beforeAutospacing="0" w:after="0" w:afterAutospacing="0" w:line="360" w:lineRule="auto"/>
        <w:ind w:left="0" w:firstLine="0"/>
        <w:jc w:val="both"/>
        <w:rPr>
          <w:color w:val="000000" w:themeColor="text1"/>
          <w:sz w:val="28"/>
          <w:szCs w:val="28"/>
        </w:rPr>
      </w:pPr>
      <w:r w:rsidRPr="00CC7883">
        <w:rPr>
          <w:color w:val="000000" w:themeColor="text1"/>
          <w:sz w:val="28"/>
          <w:szCs w:val="28"/>
        </w:rPr>
        <w:t>Мікроклональне розмноження винограду є ефективним і перспективним біотехнологічним підходом для отримання високоякісного, оздоровленого та генетично стабільного садивного матеріалу. Незважаючи на значну кількість досліджен</w:t>
      </w:r>
      <w:r w:rsidR="00881C38">
        <w:rPr>
          <w:color w:val="000000" w:themeColor="text1"/>
          <w:sz w:val="28"/>
          <w:szCs w:val="28"/>
        </w:rPr>
        <w:t>ь</w:t>
      </w:r>
      <w:r w:rsidRPr="00CC7883">
        <w:rPr>
          <w:color w:val="000000" w:themeColor="text1"/>
          <w:sz w:val="28"/>
          <w:szCs w:val="28"/>
        </w:rPr>
        <w:t xml:space="preserve">, спрямованих на удосконалення окремих етапів культивування рослин </w:t>
      </w:r>
      <w:r w:rsidR="00F5525C" w:rsidRPr="00CC7883">
        <w:rPr>
          <w:i/>
          <w:iCs/>
          <w:color w:val="000000" w:themeColor="text1"/>
          <w:sz w:val="28"/>
          <w:szCs w:val="28"/>
        </w:rPr>
        <w:t>in vitro</w:t>
      </w:r>
      <w:r w:rsidRPr="00CC7883">
        <w:rPr>
          <w:color w:val="000000" w:themeColor="text1"/>
          <w:sz w:val="28"/>
          <w:szCs w:val="28"/>
        </w:rPr>
        <w:t xml:space="preserve">, більшість із них має фрагментарний характер і зосереджена переважно на доборі типів поживних середовищ, їх фітогормонального складу, фізичних умов культивування як </w:t>
      </w:r>
      <w:r w:rsidR="001221F9" w:rsidRPr="00CC7883">
        <w:rPr>
          <w:i/>
          <w:iCs/>
          <w:color w:val="000000" w:themeColor="text1"/>
          <w:sz w:val="28"/>
          <w:szCs w:val="28"/>
        </w:rPr>
        <w:t>in vitro</w:t>
      </w:r>
      <w:r w:rsidRPr="00CC7883">
        <w:rPr>
          <w:color w:val="000000" w:themeColor="text1"/>
          <w:sz w:val="28"/>
          <w:szCs w:val="28"/>
        </w:rPr>
        <w:t xml:space="preserve">, так і </w:t>
      </w:r>
      <w:r w:rsidRPr="00CC7883">
        <w:rPr>
          <w:i/>
          <w:color w:val="000000" w:themeColor="text1"/>
          <w:sz w:val="28"/>
          <w:szCs w:val="28"/>
        </w:rPr>
        <w:t>in</w:t>
      </w:r>
      <w:r w:rsidR="001221F9" w:rsidRPr="00CC7883">
        <w:rPr>
          <w:i/>
          <w:color w:val="000000" w:themeColor="text1"/>
          <w:sz w:val="28"/>
          <w:szCs w:val="28"/>
        </w:rPr>
        <w:t> </w:t>
      </w:r>
      <w:r w:rsidRPr="00CC7883">
        <w:rPr>
          <w:i/>
          <w:color w:val="000000" w:themeColor="text1"/>
          <w:sz w:val="28"/>
          <w:szCs w:val="28"/>
        </w:rPr>
        <w:t>vivo</w:t>
      </w:r>
      <w:r w:rsidRPr="00CC7883">
        <w:rPr>
          <w:color w:val="000000" w:themeColor="text1"/>
          <w:sz w:val="28"/>
          <w:szCs w:val="28"/>
        </w:rPr>
        <w:t>. Загалом поза увагою залишаються питання реалізації регенераційного потенціалу та функціонального стану рослин.</w:t>
      </w:r>
    </w:p>
    <w:p w:rsidR="00680096" w:rsidRPr="00CC7883" w:rsidRDefault="00680096" w:rsidP="00047411">
      <w:pPr>
        <w:pStyle w:val="ae"/>
        <w:widowControl w:val="0"/>
        <w:spacing w:before="0" w:beforeAutospacing="0" w:after="0" w:afterAutospacing="0" w:line="360" w:lineRule="auto"/>
        <w:ind w:firstLine="709"/>
        <w:jc w:val="both"/>
        <w:rPr>
          <w:color w:val="000000" w:themeColor="text1"/>
          <w:sz w:val="28"/>
          <w:szCs w:val="28"/>
        </w:rPr>
      </w:pPr>
      <w:r w:rsidRPr="00CC7883">
        <w:rPr>
          <w:color w:val="000000" w:themeColor="text1"/>
          <w:sz w:val="28"/>
          <w:szCs w:val="28"/>
        </w:rPr>
        <w:t>Для винограду залишаються недостатньо вивченими питання визначення ефективних факторів цілеспрямованого формування фізіолого-біохімічного, анатомічного стану та морфо-біометричних характеристик розвитку вегетативної надземної маси</w:t>
      </w:r>
      <w:r w:rsidR="00CA1FFE" w:rsidRPr="00CC7883">
        <w:rPr>
          <w:color w:val="000000" w:themeColor="text1"/>
          <w:sz w:val="28"/>
          <w:szCs w:val="28"/>
        </w:rPr>
        <w:t xml:space="preserve"> </w:t>
      </w:r>
      <w:r w:rsidRPr="00CC7883">
        <w:rPr>
          <w:color w:val="000000" w:themeColor="text1"/>
          <w:sz w:val="28"/>
          <w:szCs w:val="28"/>
        </w:rPr>
        <w:t xml:space="preserve">мікроклональних рослин на етапі культивування </w:t>
      </w:r>
      <w:r w:rsidRPr="00CC7883">
        <w:rPr>
          <w:rStyle w:val="af1"/>
          <w:rFonts w:eastAsiaTheme="majorEastAsia"/>
          <w:color w:val="000000" w:themeColor="text1"/>
          <w:sz w:val="28"/>
          <w:szCs w:val="28"/>
        </w:rPr>
        <w:t>in</w:t>
      </w:r>
      <w:r w:rsidR="001221F9" w:rsidRPr="00CC7883">
        <w:rPr>
          <w:rStyle w:val="af1"/>
          <w:rFonts w:eastAsiaTheme="majorEastAsia"/>
          <w:color w:val="000000" w:themeColor="text1"/>
          <w:sz w:val="28"/>
          <w:szCs w:val="28"/>
        </w:rPr>
        <w:t> </w:t>
      </w:r>
      <w:r w:rsidRPr="00CC7883">
        <w:rPr>
          <w:rStyle w:val="af1"/>
          <w:rFonts w:eastAsiaTheme="majorEastAsia"/>
          <w:color w:val="000000" w:themeColor="text1"/>
          <w:sz w:val="28"/>
          <w:szCs w:val="28"/>
        </w:rPr>
        <w:t>vitro</w:t>
      </w:r>
      <w:r w:rsidR="001221F9" w:rsidRPr="00CC7883">
        <w:rPr>
          <w:rStyle w:val="af1"/>
          <w:rFonts w:eastAsiaTheme="majorEastAsia"/>
          <w:color w:val="000000" w:themeColor="text1"/>
          <w:sz w:val="28"/>
          <w:szCs w:val="28"/>
        </w:rPr>
        <w:t xml:space="preserve"> </w:t>
      </w:r>
      <w:r w:rsidRPr="00CC7883">
        <w:rPr>
          <w:rStyle w:val="af1"/>
          <w:rFonts w:eastAsiaTheme="majorEastAsia"/>
          <w:i w:val="0"/>
          <w:color w:val="000000" w:themeColor="text1"/>
          <w:sz w:val="28"/>
          <w:szCs w:val="28"/>
        </w:rPr>
        <w:t>для подальшої успішної адаптації до неконтрольованих умов</w:t>
      </w:r>
      <w:r w:rsidRPr="00CC7883">
        <w:rPr>
          <w:i/>
          <w:iCs/>
          <w:color w:val="000000" w:themeColor="text1"/>
          <w:sz w:val="28"/>
          <w:szCs w:val="28"/>
        </w:rPr>
        <w:t>.</w:t>
      </w:r>
      <w:r w:rsidRPr="00CC7883">
        <w:rPr>
          <w:color w:val="000000" w:themeColor="text1"/>
          <w:sz w:val="28"/>
          <w:szCs w:val="28"/>
        </w:rPr>
        <w:t xml:space="preserve"> Зокрема, це стосується особливостей водного режиму, вмісту сухих речовин і фотосинтетичних пігментів, функціонального стану продихового апарату листкових пластинок, а також характеру росту пагонів і формування кореневої системи. Саме сукупність цих показників визначає адаптивний потенціал рослин і рівень їх приживлюваності після перенесення в умови </w:t>
      </w:r>
      <w:r w:rsidRPr="00CC7883">
        <w:rPr>
          <w:rStyle w:val="af1"/>
          <w:rFonts w:eastAsiaTheme="majorEastAsia"/>
          <w:color w:val="000000" w:themeColor="text1"/>
          <w:sz w:val="28"/>
          <w:szCs w:val="28"/>
        </w:rPr>
        <w:t>in</w:t>
      </w:r>
      <w:r w:rsidR="001221F9" w:rsidRPr="00CC7883">
        <w:rPr>
          <w:rStyle w:val="af1"/>
          <w:rFonts w:eastAsiaTheme="majorEastAsia"/>
          <w:color w:val="000000" w:themeColor="text1"/>
          <w:sz w:val="28"/>
          <w:szCs w:val="28"/>
        </w:rPr>
        <w:t> </w:t>
      </w:r>
      <w:r w:rsidRPr="00CC7883">
        <w:rPr>
          <w:rStyle w:val="af1"/>
          <w:rFonts w:eastAsiaTheme="majorEastAsia"/>
          <w:color w:val="000000" w:themeColor="text1"/>
          <w:sz w:val="28"/>
          <w:szCs w:val="28"/>
        </w:rPr>
        <w:t>vivo</w:t>
      </w:r>
      <w:r w:rsidRPr="00CC7883">
        <w:rPr>
          <w:color w:val="000000" w:themeColor="text1"/>
          <w:sz w:val="28"/>
          <w:szCs w:val="28"/>
        </w:rPr>
        <w:t xml:space="preserve">. Проте у наукових працях, як вітчизняних, так і зарубіжних </w:t>
      </w:r>
      <w:r w:rsidR="00D7310D">
        <w:rPr>
          <w:color w:val="000000" w:themeColor="text1"/>
          <w:sz w:val="28"/>
          <w:szCs w:val="28"/>
        </w:rPr>
        <w:t>у</w:t>
      </w:r>
      <w:r w:rsidRPr="00CC7883">
        <w:rPr>
          <w:color w:val="000000" w:themeColor="text1"/>
          <w:sz w:val="28"/>
          <w:szCs w:val="28"/>
        </w:rPr>
        <w:t xml:space="preserve">чених, рідко наводяться результати щодо їх визначення у взаємозв’язку між собою та впливом на адаптацію рослин </w:t>
      </w:r>
      <w:r w:rsidRPr="00CC7883">
        <w:rPr>
          <w:i/>
          <w:iCs/>
          <w:color w:val="000000" w:themeColor="text1"/>
          <w:sz w:val="28"/>
          <w:szCs w:val="28"/>
        </w:rPr>
        <w:t>in</w:t>
      </w:r>
      <w:r w:rsidR="001221F9" w:rsidRPr="00CC7883">
        <w:rPr>
          <w:i/>
          <w:iCs/>
          <w:color w:val="000000" w:themeColor="text1"/>
          <w:sz w:val="28"/>
          <w:szCs w:val="28"/>
        </w:rPr>
        <w:t> </w:t>
      </w:r>
      <w:r w:rsidRPr="00CC7883">
        <w:rPr>
          <w:i/>
          <w:iCs/>
          <w:color w:val="000000" w:themeColor="text1"/>
          <w:sz w:val="28"/>
          <w:szCs w:val="28"/>
        </w:rPr>
        <w:t>vivo</w:t>
      </w:r>
      <w:r w:rsidRPr="00CC7883">
        <w:rPr>
          <w:color w:val="000000" w:themeColor="text1"/>
          <w:sz w:val="28"/>
          <w:szCs w:val="28"/>
        </w:rPr>
        <w:t>.</w:t>
      </w:r>
    </w:p>
    <w:p w:rsidR="00680096" w:rsidRPr="00CC7883" w:rsidRDefault="00680096" w:rsidP="00047411">
      <w:pPr>
        <w:pStyle w:val="ae"/>
        <w:widowControl w:val="0"/>
        <w:spacing w:before="0" w:beforeAutospacing="0" w:after="0" w:afterAutospacing="0" w:line="360" w:lineRule="auto"/>
        <w:ind w:firstLine="709"/>
        <w:jc w:val="both"/>
        <w:rPr>
          <w:color w:val="000000" w:themeColor="text1"/>
          <w:sz w:val="28"/>
          <w:szCs w:val="28"/>
        </w:rPr>
      </w:pPr>
      <w:r w:rsidRPr="00CC7883">
        <w:rPr>
          <w:color w:val="000000" w:themeColor="text1"/>
          <w:sz w:val="28"/>
          <w:szCs w:val="28"/>
        </w:rPr>
        <w:t xml:space="preserve">Крім того, існуючі шляхи інтенсифікації росту і ризогенезу мікроклонів винограду базуються на використанні підвищених концентрацій фітогормонів або окремих біологічно активних компонентів у складі поживних середовищ, що часто супроводжується негативними морфогенетичними ефектами, неоднозначною сортовою реакцією або </w:t>
      </w:r>
      <w:r w:rsidRPr="00CC7883">
        <w:rPr>
          <w:color w:val="000000" w:themeColor="text1"/>
          <w:sz w:val="28"/>
          <w:szCs w:val="28"/>
        </w:rPr>
        <w:lastRenderedPageBreak/>
        <w:t>обмежується високою вартістю і</w:t>
      </w:r>
      <w:r w:rsidR="00CA1FFE" w:rsidRPr="00CC7883">
        <w:rPr>
          <w:color w:val="000000" w:themeColor="text1"/>
          <w:sz w:val="28"/>
          <w:szCs w:val="28"/>
        </w:rPr>
        <w:t xml:space="preserve"> </w:t>
      </w:r>
      <w:r w:rsidRPr="00CC7883">
        <w:rPr>
          <w:color w:val="000000" w:themeColor="text1"/>
          <w:sz w:val="28"/>
          <w:szCs w:val="28"/>
        </w:rPr>
        <w:t xml:space="preserve">недостатньою відтворюваністю результатів. Питання використання альтернативних, доступних, фізіологічно обґрунтованих та інертних компонентів поживних середовищ в умовах </w:t>
      </w:r>
      <w:r w:rsidR="00F5525C" w:rsidRPr="00CC7883">
        <w:rPr>
          <w:i/>
          <w:iCs/>
          <w:color w:val="000000" w:themeColor="text1"/>
          <w:sz w:val="28"/>
          <w:szCs w:val="28"/>
        </w:rPr>
        <w:t>in vitro</w:t>
      </w:r>
      <w:r w:rsidRPr="00CC7883">
        <w:rPr>
          <w:color w:val="000000" w:themeColor="text1"/>
          <w:sz w:val="28"/>
          <w:szCs w:val="28"/>
        </w:rPr>
        <w:t xml:space="preserve"> для</w:t>
      </w:r>
      <w:r w:rsidR="00CA1FFE" w:rsidRPr="00CC7883">
        <w:rPr>
          <w:color w:val="000000" w:themeColor="text1"/>
          <w:sz w:val="28"/>
          <w:szCs w:val="28"/>
        </w:rPr>
        <w:t xml:space="preserve"> </w:t>
      </w:r>
      <w:r w:rsidRPr="00CC7883">
        <w:rPr>
          <w:color w:val="000000" w:themeColor="text1"/>
          <w:sz w:val="28"/>
          <w:szCs w:val="28"/>
        </w:rPr>
        <w:t>винограду</w:t>
      </w:r>
      <w:r w:rsidR="00CA1FFE" w:rsidRPr="00CC7883">
        <w:rPr>
          <w:color w:val="000000" w:themeColor="text1"/>
          <w:sz w:val="28"/>
          <w:szCs w:val="28"/>
        </w:rPr>
        <w:t xml:space="preserve"> </w:t>
      </w:r>
      <w:r w:rsidRPr="00CC7883">
        <w:rPr>
          <w:color w:val="000000" w:themeColor="text1"/>
          <w:sz w:val="28"/>
          <w:szCs w:val="28"/>
        </w:rPr>
        <w:t>досліджувалися мало. У зв’язку з цим актуальним є проведення комплексн</w:t>
      </w:r>
      <w:r w:rsidR="00881C38">
        <w:rPr>
          <w:color w:val="000000" w:themeColor="text1"/>
          <w:sz w:val="28"/>
          <w:szCs w:val="28"/>
        </w:rPr>
        <w:t>ого</w:t>
      </w:r>
      <w:r w:rsidRPr="00CC7883">
        <w:rPr>
          <w:color w:val="000000" w:themeColor="text1"/>
          <w:sz w:val="28"/>
          <w:szCs w:val="28"/>
        </w:rPr>
        <w:t xml:space="preserve"> досліджен</w:t>
      </w:r>
      <w:r w:rsidR="00881C38">
        <w:rPr>
          <w:color w:val="000000" w:themeColor="text1"/>
          <w:sz w:val="28"/>
          <w:szCs w:val="28"/>
        </w:rPr>
        <w:t>ня</w:t>
      </w:r>
      <w:r w:rsidRPr="00CC7883">
        <w:rPr>
          <w:color w:val="000000" w:themeColor="text1"/>
          <w:sz w:val="28"/>
          <w:szCs w:val="28"/>
        </w:rPr>
        <w:t xml:space="preserve">, спрямованих на оптимізацію умов культивування </w:t>
      </w:r>
      <w:r w:rsidR="00F5525C" w:rsidRPr="00CC7883">
        <w:rPr>
          <w:i/>
          <w:iCs/>
          <w:color w:val="000000" w:themeColor="text1"/>
          <w:sz w:val="28"/>
          <w:szCs w:val="28"/>
        </w:rPr>
        <w:t>in vitro</w:t>
      </w:r>
      <w:r w:rsidRPr="00CC7883">
        <w:rPr>
          <w:color w:val="000000" w:themeColor="text1"/>
          <w:sz w:val="28"/>
          <w:szCs w:val="28"/>
        </w:rPr>
        <w:t xml:space="preserve"> мікроклональних рослин винограду з урахуванням їх фізіолого-біохімічних та анатомічних особливостей, що формуються у процесі росту і розвитку. Такий підхід </w:t>
      </w:r>
      <w:r w:rsidR="00921A77">
        <w:rPr>
          <w:color w:val="000000" w:themeColor="text1"/>
          <w:sz w:val="28"/>
          <w:szCs w:val="28"/>
        </w:rPr>
        <w:t>дасть змогу</w:t>
      </w:r>
      <w:r w:rsidRPr="00CC7883">
        <w:rPr>
          <w:color w:val="000000" w:themeColor="text1"/>
          <w:sz w:val="28"/>
          <w:szCs w:val="28"/>
        </w:rPr>
        <w:t xml:space="preserve"> не тільки підвищити ефективність окремих етапів мікроклонального розмноження, але й забезпечить формування рослин із високим адаптаційним потенціалом та стабільною приживлюваністю в умовах </w:t>
      </w:r>
      <w:r w:rsidR="00681BB9" w:rsidRPr="00CC7883">
        <w:rPr>
          <w:rFonts w:eastAsia="NSimSun"/>
          <w:i/>
          <w:iCs/>
          <w:color w:val="000000" w:themeColor="text1"/>
          <w:kern w:val="3"/>
          <w:sz w:val="28"/>
          <w:szCs w:val="28"/>
          <w:lang w:eastAsia="en-US"/>
        </w:rPr>
        <w:t>in vivo</w:t>
      </w:r>
      <w:r w:rsidRPr="00CC7883">
        <w:rPr>
          <w:color w:val="000000" w:themeColor="text1"/>
          <w:sz w:val="28"/>
          <w:szCs w:val="28"/>
        </w:rPr>
        <w:t>. Вивчення цих питань і зумовило доцільність та наукову новизну проведених досліджень.</w:t>
      </w:r>
    </w:p>
    <w:p w:rsidR="00680096" w:rsidRPr="00CC7883" w:rsidRDefault="00680096" w:rsidP="00047411">
      <w:pPr>
        <w:pStyle w:val="a7"/>
        <w:widowControl w:val="0"/>
        <w:numPr>
          <w:ilvl w:val="0"/>
          <w:numId w:val="27"/>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Ефективність регенерації ініціальних експлантів винограду в умовах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зокрема їх приживлюваність, проліферація пазушних бруньок і ризогенез, визначається комплексним впливом складу поживного середовища, концентрацій фітогормонів, використання біологічно активних препаратів, типу мінерального субстрату та сортових особливостей. Найбільш сприятливі умови для регенерації були сформовані на поживних середовищах із зниженими концентраціями фітогормонів (0,2 мг/л 6-БАП, 0,3 мг/л ІОК) у поєднанні з біологічно активними препаратами (Clonex gel, Радіфарм) та мінеральними субстратами (агроперліт, вермикуліт, їх суміш). Це забезпечувало високий рівень приживлюваності експлантів (93,2–99,0 %) і ранній початок проліферації пазушних бруньок та ризогенезу (з 7-ї доби культивування). За таких умов, на 30-ту добу культивування, рівень проліферації пазушних бруньок перебував у межах 47,7–67,0 %, кількість експлантів із сформованою кореневою системою дорівнювала 48,9–79,1 %, що перевищувало контрольні показники на 10,0–30,0 %. У рослин цих варіантів формувалася морфологічно повноцінна, добре розгалужена коренева система з більшою кількістю коренів другого і третього порядку, що є важливим фактором підвищення адаптаційного потенціалу рослин.</w:t>
      </w:r>
    </w:p>
    <w:p w:rsidR="00680096" w:rsidRPr="00CC7883" w:rsidRDefault="00680096" w:rsidP="00047411">
      <w:pPr>
        <w:pStyle w:val="a7"/>
        <w:widowControl w:val="0"/>
        <w:spacing w:after="0" w:line="360" w:lineRule="auto"/>
        <w:ind w:left="0"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 xml:space="preserve">Застосування мінеральних субстратів як поживних середовищ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сприяло ранньому початку проліферації пазушних бруньок, хоча ризогенез розпочинався пізніше. Проте на 30-ту добу культивування кількість експлантів із кореневими зачатками перевищувала контрольні значення.</w:t>
      </w:r>
    </w:p>
    <w:p w:rsidR="00680096" w:rsidRPr="00CC7883" w:rsidRDefault="00680096" w:rsidP="00047411">
      <w:pPr>
        <w:pStyle w:val="a7"/>
        <w:widowControl w:val="0"/>
        <w:spacing w:after="0" w:line="360" w:lineRule="auto"/>
        <w:ind w:left="0" w:firstLine="709"/>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Встановлено, що підщепні сорти винограду характеризувалися вищою регенераційною здатністю порівняно з технічними, що необхідно враховувати при оптимізації прийомів мікроклонального розмноження.</w:t>
      </w:r>
    </w:p>
    <w:p w:rsidR="00680096" w:rsidRPr="00CC7883" w:rsidRDefault="00680096" w:rsidP="00047411">
      <w:pPr>
        <w:pStyle w:val="a7"/>
        <w:widowControl w:val="0"/>
        <w:numPr>
          <w:ilvl w:val="0"/>
          <w:numId w:val="27"/>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lang w:eastAsia="ru-RU"/>
        </w:rPr>
        <w:t xml:space="preserve">Розвиток вегетативної надземної маси мікроклонів винограду </w:t>
      </w:r>
      <w:r w:rsidR="00F5525C"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xml:space="preserve"> істотно залежав від складу поживного середовища, концентрації фітогормонів, застосування біологічно активних препаратів, типу мінерального субстрату та сортових особливостей. </w:t>
      </w:r>
      <w:r w:rsidR="001E7C8F">
        <w:rPr>
          <w:rFonts w:ascii="Times New Roman" w:eastAsia="Times New Roman" w:hAnsi="Times New Roman" w:cs="Times New Roman"/>
          <w:color w:val="000000" w:themeColor="text1"/>
          <w:sz w:val="28"/>
          <w:szCs w:val="28"/>
          <w:lang w:eastAsia="ru-RU"/>
        </w:rPr>
        <w:t>Зменшення концентрацій фітогормонів у поживному середовищі</w:t>
      </w:r>
      <w:r w:rsidRPr="00CC7883">
        <w:rPr>
          <w:rFonts w:ascii="Times New Roman" w:eastAsia="Times New Roman" w:hAnsi="Times New Roman" w:cs="Times New Roman"/>
          <w:color w:val="000000" w:themeColor="text1"/>
          <w:sz w:val="28"/>
          <w:szCs w:val="28"/>
          <w:lang w:eastAsia="ru-RU"/>
        </w:rPr>
        <w:t xml:space="preserve"> (ІОК 0,3 мг/л + 6-БАП 0,2 мг/л) забезпечувало більш інтенсивний і збалансований ріст рослин</w:t>
      </w:r>
      <w:r w:rsidR="001E7C8F">
        <w:rPr>
          <w:rFonts w:ascii="Times New Roman" w:eastAsia="Times New Roman" w:hAnsi="Times New Roman" w:cs="Times New Roman"/>
          <w:color w:val="000000" w:themeColor="text1"/>
          <w:sz w:val="28"/>
          <w:szCs w:val="28"/>
          <w:lang w:eastAsia="ru-RU"/>
        </w:rPr>
        <w:t xml:space="preserve"> порівняно з варіантами, де використовували підвищений вміст фітогормонів </w:t>
      </w:r>
      <w:r w:rsidR="001E7C8F" w:rsidRPr="00CC7883">
        <w:rPr>
          <w:rFonts w:ascii="Times New Roman" w:eastAsia="Times New Roman" w:hAnsi="Times New Roman" w:cs="Times New Roman"/>
          <w:color w:val="000000" w:themeColor="text1"/>
          <w:sz w:val="28"/>
          <w:szCs w:val="28"/>
          <w:lang w:eastAsia="ru-RU"/>
        </w:rPr>
        <w:t>(ІОК 0,</w:t>
      </w:r>
      <w:r w:rsidR="001E7C8F">
        <w:rPr>
          <w:rFonts w:ascii="Times New Roman" w:eastAsia="Times New Roman" w:hAnsi="Times New Roman" w:cs="Times New Roman"/>
          <w:color w:val="000000" w:themeColor="text1"/>
          <w:sz w:val="28"/>
          <w:szCs w:val="28"/>
          <w:lang w:eastAsia="ru-RU"/>
        </w:rPr>
        <w:t>6</w:t>
      </w:r>
      <w:r w:rsidR="001E7C8F" w:rsidRPr="00CC7883">
        <w:rPr>
          <w:rFonts w:ascii="Times New Roman" w:eastAsia="Times New Roman" w:hAnsi="Times New Roman" w:cs="Times New Roman"/>
          <w:color w:val="000000" w:themeColor="text1"/>
          <w:sz w:val="28"/>
          <w:szCs w:val="28"/>
          <w:lang w:eastAsia="ru-RU"/>
        </w:rPr>
        <w:t xml:space="preserve"> мг/л + 6-БАП 0,</w:t>
      </w:r>
      <w:r w:rsidR="001E7C8F">
        <w:rPr>
          <w:rFonts w:ascii="Times New Roman" w:eastAsia="Times New Roman" w:hAnsi="Times New Roman" w:cs="Times New Roman"/>
          <w:color w:val="000000" w:themeColor="text1"/>
          <w:sz w:val="28"/>
          <w:szCs w:val="28"/>
          <w:lang w:eastAsia="ru-RU"/>
        </w:rPr>
        <w:t>5</w:t>
      </w:r>
      <w:r w:rsidR="001E7C8F" w:rsidRPr="00CC7883">
        <w:rPr>
          <w:rFonts w:ascii="Times New Roman" w:eastAsia="Times New Roman" w:hAnsi="Times New Roman" w:cs="Times New Roman"/>
          <w:color w:val="000000" w:themeColor="text1"/>
          <w:sz w:val="28"/>
          <w:szCs w:val="28"/>
          <w:lang w:eastAsia="ru-RU"/>
        </w:rPr>
        <w:t xml:space="preserve"> мг/л)</w:t>
      </w:r>
      <w:r w:rsidR="001E7C8F">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w:t>
      </w:r>
      <w:r w:rsidR="001E7C8F">
        <w:rPr>
          <w:rFonts w:ascii="Times New Roman" w:eastAsia="Times New Roman" w:hAnsi="Times New Roman" w:cs="Times New Roman"/>
          <w:color w:val="000000" w:themeColor="text1"/>
          <w:sz w:val="28"/>
          <w:szCs w:val="28"/>
          <w:lang w:eastAsia="ru-RU"/>
        </w:rPr>
        <w:t>В</w:t>
      </w:r>
      <w:r w:rsidRPr="00CC7883">
        <w:rPr>
          <w:rFonts w:ascii="Times New Roman" w:eastAsia="Times New Roman" w:hAnsi="Times New Roman" w:cs="Times New Roman"/>
          <w:color w:val="000000" w:themeColor="text1"/>
          <w:sz w:val="28"/>
          <w:szCs w:val="28"/>
          <w:lang w:eastAsia="ru-RU"/>
        </w:rPr>
        <w:t>исота пагонів збільшувалась у середньому на 7,1 %, кількість листків – на 6,2 %, площа листкової пластинки – на 8,6 %, загальна площа листкової поверхні – на 10,0</w:t>
      </w:r>
      <w:r w:rsidR="001E7C8F">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облистяність – на 2,5 %.</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Застосування біологічно активних препаратів Радіфарм і, особливо, Clonex gel суттєво посилювало розвиток </w:t>
      </w:r>
      <w:r w:rsidR="000C6A3C">
        <w:rPr>
          <w:rFonts w:ascii="Times New Roman" w:eastAsia="Times New Roman" w:hAnsi="Times New Roman" w:cs="Times New Roman"/>
          <w:color w:val="000000" w:themeColor="text1"/>
          <w:sz w:val="28"/>
          <w:szCs w:val="28"/>
          <w:lang w:eastAsia="ru-RU"/>
        </w:rPr>
        <w:t>вегетативної надземної маси</w:t>
      </w:r>
      <w:r w:rsidRPr="00CC7883">
        <w:rPr>
          <w:rFonts w:ascii="Times New Roman" w:eastAsia="Times New Roman" w:hAnsi="Times New Roman" w:cs="Times New Roman"/>
          <w:color w:val="000000" w:themeColor="text1"/>
          <w:sz w:val="28"/>
          <w:szCs w:val="28"/>
          <w:lang w:eastAsia="ru-RU"/>
        </w:rPr>
        <w:t xml:space="preserve">: площа листкової пластинки перевищувала контроль на 31,5–46,1 %, площа листкової поверхні – на 28,0–38,5 %, облистяність – на 50,5–68,3 %. Структуровані поживні середовища з агроперлітом і вермикулітом також сприяли збільшенню площі листкової поверхні (на 28,6–37,6 %) та облистяності (на 44,3–73,0 %), але при цьому </w:t>
      </w:r>
      <w:r w:rsidR="00D7310D">
        <w:rPr>
          <w:rFonts w:ascii="Times New Roman" w:eastAsia="Times New Roman" w:hAnsi="Times New Roman" w:cs="Times New Roman"/>
          <w:color w:val="000000" w:themeColor="text1"/>
          <w:sz w:val="28"/>
          <w:szCs w:val="28"/>
          <w:lang w:eastAsia="ru-RU"/>
        </w:rPr>
        <w:t>спостерігали</w:t>
      </w:r>
      <w:r w:rsidRPr="00CC7883">
        <w:rPr>
          <w:rFonts w:ascii="Times New Roman" w:eastAsia="Times New Roman" w:hAnsi="Times New Roman" w:cs="Times New Roman"/>
          <w:color w:val="000000" w:themeColor="text1"/>
          <w:sz w:val="28"/>
          <w:szCs w:val="28"/>
          <w:lang w:eastAsia="ru-RU"/>
        </w:rPr>
        <w:t xml:space="preserve"> зменшення висоти пагонів.</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Культивування мікроклональних рослин винограду на чистих мінеральних субстратах зумовлювало зменшення висоти пагонів на 40,2–68,3</w:t>
      </w:r>
      <w:r w:rsidR="009D31D1">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 xml:space="preserve">%, кількості листків </w:t>
      </w:r>
      <w:r w:rsidR="00035AE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на 3,0–35,5 % порівняно з контролем, однак забезпечувало формування рослин із вищим показником облистяності, особливо на вермикуліті та суміші агроперліт + вермикуліт. </w:t>
      </w:r>
    </w:p>
    <w:p w:rsidR="00680096" w:rsidRPr="00CC7883" w:rsidRDefault="00680096" w:rsidP="00047411">
      <w:pPr>
        <w:pStyle w:val="a7"/>
        <w:widowControl w:val="0"/>
        <w:spacing w:after="0" w:line="360" w:lineRule="auto"/>
        <w:ind w:left="0" w:firstLine="709"/>
        <w:jc w:val="both"/>
        <w:rPr>
          <w:rFonts w:ascii="Times New Roman" w:hAnsi="Times New Roman" w:cs="Times New Roman"/>
          <w:color w:val="000000" w:themeColor="text1"/>
          <w:sz w:val="28"/>
          <w:szCs w:val="28"/>
        </w:rPr>
      </w:pPr>
      <w:r w:rsidRPr="00CC7883">
        <w:rPr>
          <w:rFonts w:ascii="Times New Roman" w:eastAsia="Times New Roman" w:hAnsi="Times New Roman" w:cs="Times New Roman"/>
          <w:color w:val="000000" w:themeColor="text1"/>
          <w:sz w:val="28"/>
          <w:szCs w:val="28"/>
          <w:lang w:eastAsia="ru-RU"/>
        </w:rPr>
        <w:t xml:space="preserve">Загалом підщепні сорти («Добриня», «Гарант») характеризувалися </w:t>
      </w:r>
      <w:r w:rsidRPr="00CC7883">
        <w:rPr>
          <w:rFonts w:ascii="Times New Roman" w:eastAsia="Times New Roman" w:hAnsi="Times New Roman" w:cs="Times New Roman"/>
          <w:color w:val="000000" w:themeColor="text1"/>
          <w:sz w:val="28"/>
          <w:szCs w:val="28"/>
          <w:lang w:eastAsia="ru-RU"/>
        </w:rPr>
        <w:lastRenderedPageBreak/>
        <w:t>кращими показниками розвитку вегетативної надземної маси порівняно з технічними («Ярило», «Загрей»): висота рослин була більшою на 18,1 %, площа листкової поверхні – на 22,7 %, що свідчить про їх вищий адаптаційний потенціал.</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hAnsi="Times New Roman" w:cs="Times New Roman"/>
          <w:color w:val="000000" w:themeColor="text1"/>
          <w:sz w:val="28"/>
          <w:szCs w:val="28"/>
        </w:rPr>
        <w:t xml:space="preserve">Формування та морфологічна структура кореневої системи мікроклонів винограду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 xml:space="preserve"> визначалася насамперед використанням ризогенноактивних препаратів та фізико-структурними властивостями мінеральних субстратів. </w:t>
      </w:r>
      <w:r w:rsidRPr="00CC7883">
        <w:rPr>
          <w:rFonts w:ascii="Times New Roman" w:eastAsia="Times New Roman" w:hAnsi="Times New Roman" w:cs="Times New Roman"/>
          <w:color w:val="000000" w:themeColor="text1"/>
          <w:sz w:val="28"/>
          <w:szCs w:val="28"/>
          <w:lang w:eastAsia="ru-RU"/>
        </w:rPr>
        <w:t>Порівняно з контролем, використання середовищ зі зниженим вмістом фітогормонів забезпечувало збільшення загальної кількості коренів</w:t>
      </w:r>
      <w:r w:rsidR="009C511C">
        <w:rPr>
          <w:rFonts w:ascii="Times New Roman" w:eastAsia="Times New Roman" w:hAnsi="Times New Roman" w:cs="Times New Roman"/>
          <w:color w:val="000000" w:themeColor="text1"/>
          <w:sz w:val="28"/>
          <w:szCs w:val="28"/>
          <w:lang w:eastAsia="ru-RU"/>
        </w:rPr>
        <w:t>,</w:t>
      </w:r>
      <w:r w:rsidR="00CA1FFE"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коренів І порядку та коренів ІІ порядку у середньому на 5,0–12,6 %.</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Після застосування препаратів Радіфарм і Clonex gel загальна кількість коренів у рослин дослідних варіантів перевищувала контроль у 1,4–1,6 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кількість коренів І та ІІ порядку – у 1,5–1,6 </w:t>
      </w:r>
      <w:r w:rsidR="000F7714" w:rsidRPr="00CC7883">
        <w:rPr>
          <w:rFonts w:ascii="Times New Roman" w:eastAsia="Times New Roman" w:hAnsi="Times New Roman" w:cs="Times New Roman"/>
          <w:color w:val="000000" w:themeColor="text1"/>
          <w:sz w:val="28"/>
          <w:szCs w:val="28"/>
          <w:lang w:eastAsia="ru-RU"/>
        </w:rPr>
        <w:t>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Культивування мікроклонів на чистих мінеральних субстратах (вермикуліт, агроперліт + вермикуліт) так само сприяло посиленому коренеутворенню: загальна кількість коренів перевищувала контроль у середньому на 33,0–54,3 %, кількість коренів І порядку – у 1,4–3,4 </w:t>
      </w:r>
      <w:r w:rsidR="000F7714" w:rsidRPr="00CC7883">
        <w:rPr>
          <w:rFonts w:ascii="Times New Roman" w:eastAsia="Times New Roman" w:hAnsi="Times New Roman" w:cs="Times New Roman"/>
          <w:color w:val="000000" w:themeColor="text1"/>
          <w:sz w:val="28"/>
          <w:szCs w:val="28"/>
          <w:lang w:eastAsia="ru-RU"/>
        </w:rPr>
        <w:t>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коренів ІІ порядку – у 1,1–1,3 </w:t>
      </w:r>
      <w:r w:rsidR="000F7714" w:rsidRPr="00CC7883">
        <w:rPr>
          <w:rFonts w:ascii="Times New Roman" w:eastAsia="Times New Roman" w:hAnsi="Times New Roman" w:cs="Times New Roman"/>
          <w:color w:val="000000" w:themeColor="text1"/>
          <w:sz w:val="28"/>
          <w:szCs w:val="28"/>
          <w:lang w:eastAsia="ru-RU"/>
        </w:rPr>
        <w:t>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При цьому загальна та середня довжина окремих коренів зменшувалася в 1,5–2,0 </w:t>
      </w:r>
      <w:r w:rsidR="000F7714" w:rsidRPr="00CC7883">
        <w:rPr>
          <w:rFonts w:ascii="Times New Roman" w:eastAsia="Times New Roman" w:hAnsi="Times New Roman" w:cs="Times New Roman"/>
          <w:color w:val="000000" w:themeColor="text1"/>
          <w:sz w:val="28"/>
          <w:szCs w:val="28"/>
          <w:lang w:eastAsia="ru-RU"/>
        </w:rPr>
        <w:t>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порівняно з контролем. Такі показники свідчать про значне розгалуження кореневої системи, формування великої кількості коротких коренів ІІ порядку.</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У підщепних сортів було відзначено інтенсивне формування осьових коренів І порядку, у технічних – формування коренів ІІ порядку. </w:t>
      </w:r>
    </w:p>
    <w:p w:rsidR="00680096" w:rsidRPr="00CC7883" w:rsidRDefault="00680096" w:rsidP="00047411">
      <w:pPr>
        <w:pStyle w:val="a7"/>
        <w:widowControl w:val="0"/>
        <w:numPr>
          <w:ilvl w:val="0"/>
          <w:numId w:val="27"/>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Фізіолого-біохімічний стан вегетативної надземної маси мікроклонів винограду </w:t>
      </w:r>
      <w:r w:rsidR="00F5525C"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xml:space="preserve"> визначався складом поживного середовища, наявністю біологічно активних і структуроутворю</w:t>
      </w:r>
      <w:r w:rsidR="00473FB7">
        <w:rPr>
          <w:rFonts w:ascii="Times New Roman" w:eastAsia="Times New Roman" w:hAnsi="Times New Roman" w:cs="Times New Roman"/>
          <w:color w:val="000000" w:themeColor="text1"/>
          <w:sz w:val="28"/>
          <w:szCs w:val="28"/>
          <w:lang w:eastAsia="ru-RU"/>
        </w:rPr>
        <w:t>вальн</w:t>
      </w:r>
      <w:r w:rsidRPr="00CC7883">
        <w:rPr>
          <w:rFonts w:ascii="Times New Roman" w:eastAsia="Times New Roman" w:hAnsi="Times New Roman" w:cs="Times New Roman"/>
          <w:color w:val="000000" w:themeColor="text1"/>
          <w:sz w:val="28"/>
          <w:szCs w:val="28"/>
          <w:lang w:eastAsia="ru-RU"/>
        </w:rPr>
        <w:t xml:space="preserve">их компонентів, типом мінерального субстрату та сортовими особливостями. Найвищий показник загального обводнення тканин приросту був характерний для мікроклонів контрольних варіантів і варіантів із застосуванням препаратів Clonex gel та Радіфарм (90,9–93,8 %). На структурованих поживних середовищах і чистих мінеральних субстратах він зменшувався відносно контролю на 3,5–8,8 %, що </w:t>
      </w:r>
      <w:r w:rsidRPr="00CC7883">
        <w:rPr>
          <w:rFonts w:ascii="Times New Roman" w:eastAsia="Times New Roman" w:hAnsi="Times New Roman" w:cs="Times New Roman"/>
          <w:color w:val="000000" w:themeColor="text1"/>
          <w:sz w:val="28"/>
          <w:szCs w:val="28"/>
          <w:lang w:eastAsia="ru-RU"/>
        </w:rPr>
        <w:lastRenderedPageBreak/>
        <w:t xml:space="preserve">свідчить про формування більш щільних і фізіологічно зрілих тканин. 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Times New Roman" w:hAnsi="Times New Roman" w:cs="Times New Roman"/>
          <w:color w:val="000000" w:themeColor="text1"/>
          <w:sz w:val="28"/>
          <w:szCs w:val="28"/>
          <w:lang w:eastAsia="ru-RU"/>
        </w:rPr>
        <w:t xml:space="preserve"> води у рослин цих варіантів також знижувався,</w:t>
      </w:r>
      <w:r w:rsidR="00CA1FFE" w:rsidRPr="00CC7883">
        <w:rPr>
          <w:rFonts w:ascii="Times New Roman" w:eastAsia="Times New Roman" w:hAnsi="Times New Roman" w:cs="Times New Roman"/>
          <w:color w:val="000000" w:themeColor="text1"/>
          <w:sz w:val="28"/>
          <w:szCs w:val="28"/>
          <w:lang w:eastAsia="ru-RU"/>
        </w:rPr>
        <w:t xml:space="preserve">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Fonts w:ascii="Times New Roman" w:eastAsia="Times New Roman" w:hAnsi="Times New Roman" w:cs="Times New Roman"/>
          <w:color w:val="000000" w:themeColor="text1"/>
          <w:sz w:val="28"/>
          <w:szCs w:val="28"/>
          <w:lang w:eastAsia="ru-RU"/>
        </w:rPr>
        <w:t xml:space="preserve">а здатність рослин зростала: втрати води за 60 хвилин підсушування були меншими за контроль у 1,1–2,4 </w:t>
      </w:r>
      <w:r w:rsidR="000F7714" w:rsidRPr="00CC7883">
        <w:rPr>
          <w:rFonts w:ascii="Times New Roman" w:eastAsia="Times New Roman" w:hAnsi="Times New Roman" w:cs="Times New Roman"/>
          <w:color w:val="000000" w:themeColor="text1"/>
          <w:sz w:val="28"/>
          <w:szCs w:val="28"/>
          <w:lang w:eastAsia="ru-RU"/>
        </w:rPr>
        <w:t>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що вказує на вищу стійкість мікроклонів до водного дефіциту, їх кращу адаптаці</w:t>
      </w:r>
      <w:r w:rsidR="001A2E71">
        <w:rPr>
          <w:rFonts w:ascii="Times New Roman" w:eastAsia="Times New Roman" w:hAnsi="Times New Roman" w:cs="Times New Roman"/>
          <w:color w:val="000000" w:themeColor="text1"/>
          <w:sz w:val="28"/>
          <w:szCs w:val="28"/>
          <w:lang w:eastAsia="ru-RU"/>
        </w:rPr>
        <w:t>ю</w:t>
      </w:r>
      <w:r w:rsidRPr="00CC7883">
        <w:rPr>
          <w:rFonts w:ascii="Times New Roman" w:eastAsia="Times New Roman" w:hAnsi="Times New Roman" w:cs="Times New Roman"/>
          <w:color w:val="000000" w:themeColor="text1"/>
          <w:sz w:val="28"/>
          <w:szCs w:val="28"/>
          <w:lang w:eastAsia="ru-RU"/>
        </w:rPr>
        <w:t xml:space="preserve"> в умовах</w:t>
      </w:r>
      <w:r w:rsidR="00681BB9" w:rsidRPr="00CC7883">
        <w:rPr>
          <w:rFonts w:ascii="Times New Roman" w:eastAsia="NSimSun" w:hAnsi="Times New Roman" w:cs="Times New Roman"/>
          <w:i/>
          <w:iCs/>
          <w:color w:val="000000" w:themeColor="text1"/>
          <w:kern w:val="3"/>
          <w:sz w:val="28"/>
          <w:szCs w:val="28"/>
        </w:rPr>
        <w:t xml:space="preserve"> in vivo</w:t>
      </w:r>
      <w:r w:rsidRPr="00CC7883">
        <w:rPr>
          <w:rFonts w:ascii="Times New Roman" w:eastAsia="Times New Roman" w:hAnsi="Times New Roman" w:cs="Times New Roman"/>
          <w:color w:val="000000" w:themeColor="text1"/>
          <w:sz w:val="28"/>
          <w:szCs w:val="28"/>
          <w:lang w:eastAsia="ru-RU"/>
        </w:rPr>
        <w:t>.</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Зміни водного режиму супроводжувалися зміною вмісту сухих речовин у вегетативній надземній масі. У рослин контрольних варіантів цей показник був найменшим (5,9–8,4 %), на структурованих поживних середовищах і мінеральних субстратах він перевищував контрольні значення на 3,5–8,8 % і дорівнював 12,1–15,8 %, що свідчить про інтенсифікацію метаболічних процесів тканин. Разом із цим у рослин цих варіантів </w:t>
      </w:r>
      <w:r w:rsidR="00440E1C" w:rsidRPr="00CC7883">
        <w:rPr>
          <w:rFonts w:ascii="Times New Roman" w:eastAsia="NSimSun" w:hAnsi="Times New Roman" w:cs="Times New Roman"/>
          <w:color w:val="000000" w:themeColor="text1"/>
          <w:kern w:val="3"/>
          <w:sz w:val="28"/>
          <w:szCs w:val="28"/>
        </w:rPr>
        <w:t>від</w:t>
      </w:r>
      <w:r w:rsidR="00440E1C">
        <w:rPr>
          <w:rFonts w:ascii="Times New Roman" w:eastAsia="NSimSun" w:hAnsi="Times New Roman" w:cs="Times New Roman"/>
          <w:color w:val="000000" w:themeColor="text1"/>
          <w:kern w:val="3"/>
          <w:sz w:val="28"/>
          <w:szCs w:val="28"/>
        </w:rPr>
        <w:t>знача</w:t>
      </w:r>
      <w:r w:rsidR="00440E1C" w:rsidRPr="00CC7883">
        <w:rPr>
          <w:rFonts w:ascii="Times New Roman" w:eastAsia="NSimSun" w:hAnsi="Times New Roman" w:cs="Times New Roman"/>
          <w:color w:val="000000" w:themeColor="text1"/>
          <w:kern w:val="3"/>
          <w:sz w:val="28"/>
          <w:szCs w:val="28"/>
        </w:rPr>
        <w:t>ли</w:t>
      </w:r>
      <w:r w:rsidRPr="00CC7883">
        <w:rPr>
          <w:rFonts w:ascii="Times New Roman" w:eastAsia="Times New Roman" w:hAnsi="Times New Roman" w:cs="Times New Roman"/>
          <w:color w:val="000000" w:themeColor="text1"/>
          <w:sz w:val="28"/>
          <w:szCs w:val="28"/>
          <w:lang w:eastAsia="ru-RU"/>
        </w:rPr>
        <w:t xml:space="preserve"> зниження інтенсивності транспірації.</w:t>
      </w:r>
      <w:r w:rsidR="00CA1FFE"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Застосування БАП зменшувало її на 9,2–53,3 %, застосування структурованих поживних середовищ – у 1,8–2,7 </w:t>
      </w:r>
      <w:r w:rsidR="000F7714" w:rsidRPr="00CC7883">
        <w:rPr>
          <w:rFonts w:ascii="Times New Roman" w:eastAsia="Times New Roman" w:hAnsi="Times New Roman" w:cs="Times New Roman"/>
          <w:color w:val="000000" w:themeColor="text1"/>
          <w:sz w:val="28"/>
          <w:szCs w:val="28"/>
          <w:lang w:eastAsia="ru-RU"/>
        </w:rPr>
        <w:t>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порівняно з контролем, що найімовірніше пов’язано зі стабілізацією роботи продихового апарату.</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Найбільше накопичення фотосинтетичних пігментів відмічено у мікроклонів, які культивували на структурованих поживних середовищах і мінеральних субстратах, особливо на суміші агроперліту з вермикулітом. У листках сума хлорофілів збільшувалася на 18,7–48,9 %, вміст каротиноїдів – на 22,9–56,4 % порівняно з контролем; аналогічна, хоча й менш виражена тенденція спостерігалася у пагонах, що свідчить про посилення фотосинтетичної активності та підвищення енергетичного потенціалу мікроклонів.</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Фізіолого-біохімічні показники кореневої системи мікроклонів винограду </w:t>
      </w:r>
      <w:r w:rsidR="00F5525C"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xml:space="preserve"> також істотно змінювалися залежно від умов культивування. Найвищий рівень загального обводнення коренів був характерний для рослин контрольних варіантів і рослин варіантів, де застосовували біологічно активні препарати – 92,4–97,9 %. На структурованих поживних середовищах і мінеральних субстратах він </w:t>
      </w:r>
      <w:r w:rsidRPr="00CC7883">
        <w:rPr>
          <w:rFonts w:ascii="Times New Roman" w:eastAsia="Times New Roman" w:hAnsi="Times New Roman" w:cs="Times New Roman"/>
          <w:color w:val="000000" w:themeColor="text1"/>
          <w:sz w:val="28"/>
          <w:szCs w:val="28"/>
          <w:lang w:eastAsia="ru-RU"/>
        </w:rPr>
        <w:lastRenderedPageBreak/>
        <w:t xml:space="preserve">знижувався на 0,4–9,1 %. Вміст </w:t>
      </w:r>
      <w:r w:rsidR="00C87671" w:rsidRPr="00CC7883">
        <w:rPr>
          <w:rFonts w:ascii="Times New Roman" w:hAnsi="Times New Roman" w:cs="Times New Roman"/>
          <w:color w:val="000000" w:themeColor="text1"/>
          <w:sz w:val="28"/>
          <w:szCs w:val="28"/>
        </w:rPr>
        <w:t>легко</w:t>
      </w:r>
      <w:r w:rsidR="00C87671">
        <w:rPr>
          <w:rFonts w:ascii="Times New Roman" w:hAnsi="Times New Roman" w:cs="Times New Roman"/>
          <w:color w:val="000000" w:themeColor="text1"/>
          <w:sz w:val="28"/>
          <w:szCs w:val="28"/>
        </w:rPr>
        <w:t>у</w:t>
      </w:r>
      <w:r w:rsidR="00C87671" w:rsidRPr="00CC7883">
        <w:rPr>
          <w:rFonts w:ascii="Times New Roman" w:hAnsi="Times New Roman" w:cs="Times New Roman"/>
          <w:color w:val="000000" w:themeColor="text1"/>
          <w:sz w:val="28"/>
          <w:szCs w:val="28"/>
        </w:rPr>
        <w:t>трим</w:t>
      </w:r>
      <w:r w:rsidR="00C87671">
        <w:rPr>
          <w:rFonts w:ascii="Times New Roman" w:hAnsi="Times New Roman" w:cs="Times New Roman"/>
          <w:color w:val="000000" w:themeColor="text1"/>
          <w:sz w:val="28"/>
          <w:szCs w:val="28"/>
        </w:rPr>
        <w:t>уван</w:t>
      </w:r>
      <w:r w:rsidR="00C87671" w:rsidRPr="00CC7883">
        <w:rPr>
          <w:rFonts w:ascii="Times New Roman" w:hAnsi="Times New Roman" w:cs="Times New Roman"/>
          <w:color w:val="000000" w:themeColor="text1"/>
          <w:sz w:val="28"/>
          <w:szCs w:val="28"/>
        </w:rPr>
        <w:t>ої</w:t>
      </w:r>
      <w:r w:rsidRPr="00CC7883">
        <w:rPr>
          <w:rFonts w:ascii="Times New Roman" w:eastAsia="Times New Roman" w:hAnsi="Times New Roman" w:cs="Times New Roman"/>
          <w:color w:val="000000" w:themeColor="text1"/>
          <w:sz w:val="28"/>
          <w:szCs w:val="28"/>
          <w:lang w:eastAsia="ru-RU"/>
        </w:rPr>
        <w:t xml:space="preserve"> води у коренях рослин,</w:t>
      </w:r>
      <w:r w:rsidR="00CA1FFE"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які культивували на структурованих поживних середовищах, знижувався, на мінеральних субстратах, навпаки, особливо на суміші агроперліту з вермикулітом</w:t>
      </w:r>
      <w:r w:rsidR="00D7310D">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він зростав до 52,6–67,9 %. Вміст сухих речовин у коренях рослин контрольних варіантів був найменшим – 4,0–6,4 %, на структурованих поживних середовищах і мінеральних субстратах (особливо агроперліт + вермикуліт) він збільшувався до 8,9–11,2 %. Таке співвідношення води та сухих речовин у тканинах мікроклонів винограду </w:t>
      </w:r>
      <w:r w:rsidR="00F5525C" w:rsidRPr="00CC7883">
        <w:rPr>
          <w:rFonts w:ascii="Times New Roman" w:hAnsi="Times New Roman" w:cs="Times New Roman"/>
          <w:i/>
          <w:iCs/>
          <w:color w:val="000000" w:themeColor="text1"/>
          <w:sz w:val="28"/>
          <w:szCs w:val="28"/>
        </w:rPr>
        <w:t>in vitro</w:t>
      </w:r>
      <w:r w:rsidR="00F5525C"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може свідчити про високий адаптаційний потенціал на етапі їх подальшої адаптації.</w:t>
      </w:r>
    </w:p>
    <w:p w:rsidR="00680096" w:rsidRPr="00CC7883" w:rsidRDefault="00680096" w:rsidP="00047411">
      <w:pPr>
        <w:pStyle w:val="a7"/>
        <w:widowControl w:val="0"/>
        <w:numPr>
          <w:ilvl w:val="0"/>
          <w:numId w:val="27"/>
        </w:numPr>
        <w:spacing w:after="0" w:line="360" w:lineRule="auto"/>
        <w:ind w:left="0" w:firstLine="72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Встановлено, що умови культивування </w:t>
      </w:r>
      <w:r w:rsidR="00F5525C"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зокрема тип поживного середовища, рівень фітогормонального навантаження та використання структурованих поживних середовищ і мінеральних субстратів визначають морфогенез і функціональний стан продихового апарату мікроклонів винограду. Під час дослідження з’ясувалося, що мікроклони, вирощені на структурованих поживних середовищах або мінеральних субстратах, формують більш щільну структуру продихового апарату нижнього епідермісу листкових пластинок. Щільність продихів на 1 мм² листкової пластинки у рослин цих варіантів збільшувалась у середньому на 20,8–67,6 % (порівняно з MS). Разом зі збільшенням кількості продихів змінювались і їхні розміри: на структурованих поживних середовищах довжина продихових клітин</w:t>
      </w:r>
      <w:r w:rsidR="009C511C">
        <w:rPr>
          <w:rFonts w:ascii="Times New Roman" w:eastAsia="Times New Roman" w:hAnsi="Times New Roman" w:cs="Times New Roman"/>
          <w:color w:val="000000" w:themeColor="text1"/>
          <w:sz w:val="28"/>
          <w:szCs w:val="28"/>
          <w:lang w:eastAsia="ru-RU"/>
        </w:rPr>
        <w:t>,</w:t>
      </w:r>
      <w:r w:rsidRPr="00CC7883">
        <w:rPr>
          <w:rFonts w:ascii="Times New Roman" w:eastAsia="Times New Roman" w:hAnsi="Times New Roman" w:cs="Times New Roman"/>
          <w:color w:val="000000" w:themeColor="text1"/>
          <w:sz w:val="28"/>
          <w:szCs w:val="28"/>
          <w:lang w:eastAsia="ru-RU"/>
        </w:rPr>
        <w:t xml:space="preserve"> їх ширина і площа були більшими на 1,7–18,0 %, 5,5–27,0 % і 7,4–49,9 % відповідно; на поживних субстратах, навпаки, розміри продихів, їх площа були меншими за контрольні значення (довжина зменшувалася на 1,0–13,9 %, ширина – на 2,2–16,7 %, площа – на 4,1–29,6 %). </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Після переведення мікроклонів винограду з умов </w:t>
      </w:r>
      <w:r w:rsidRPr="00CC7883">
        <w:rPr>
          <w:rFonts w:ascii="Times New Roman" w:eastAsia="Times New Roman" w:hAnsi="Times New Roman" w:cs="Times New Roman"/>
          <w:i/>
          <w:iCs/>
          <w:color w:val="000000" w:themeColor="text1"/>
          <w:sz w:val="28"/>
          <w:szCs w:val="28"/>
          <w:lang w:eastAsia="ru-RU"/>
        </w:rPr>
        <w:t>in</w:t>
      </w:r>
      <w:r w:rsidR="00681BB9" w:rsidRPr="00CC7883">
        <w:rPr>
          <w:rFonts w:ascii="Times New Roman" w:eastAsia="Times New Roman" w:hAnsi="Times New Roman" w:cs="Times New Roman"/>
          <w:i/>
          <w:iCs/>
          <w:color w:val="000000" w:themeColor="text1"/>
          <w:sz w:val="28"/>
          <w:szCs w:val="28"/>
          <w:lang w:eastAsia="ru-RU"/>
        </w:rPr>
        <w:t> </w:t>
      </w:r>
      <w:r w:rsidRPr="00CC7883">
        <w:rPr>
          <w:rFonts w:ascii="Times New Roman" w:eastAsia="Times New Roman" w:hAnsi="Times New Roman" w:cs="Times New Roman"/>
          <w:i/>
          <w:iCs/>
          <w:color w:val="000000" w:themeColor="text1"/>
          <w:sz w:val="28"/>
          <w:szCs w:val="28"/>
          <w:lang w:eastAsia="ru-RU"/>
        </w:rPr>
        <w:t>vitro</w:t>
      </w:r>
      <w:r w:rsidRPr="00CC7883">
        <w:rPr>
          <w:rFonts w:ascii="Times New Roman" w:eastAsia="Times New Roman" w:hAnsi="Times New Roman" w:cs="Times New Roman"/>
          <w:color w:val="000000" w:themeColor="text1"/>
          <w:sz w:val="28"/>
          <w:szCs w:val="28"/>
          <w:lang w:eastAsia="ru-RU"/>
        </w:rPr>
        <w:t xml:space="preserve"> в умови </w:t>
      </w:r>
      <w:r w:rsidR="00681BB9"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sz w:val="28"/>
          <w:szCs w:val="28"/>
          <w:lang w:eastAsia="ru-RU"/>
        </w:rPr>
        <w:t xml:space="preserve"> щільність продихів зростала у 1,5–2,0 </w:t>
      </w:r>
      <w:r w:rsidR="000F7714" w:rsidRPr="00CC7883">
        <w:rPr>
          <w:rFonts w:ascii="Times New Roman" w:eastAsia="Times New Roman" w:hAnsi="Times New Roman" w:cs="Times New Roman"/>
          <w:color w:val="000000" w:themeColor="text1"/>
          <w:sz w:val="28"/>
          <w:szCs w:val="28"/>
          <w:lang w:eastAsia="ru-RU"/>
        </w:rPr>
        <w:t>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w:t>
      </w:r>
      <w:r w:rsidR="0059468C">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bCs/>
          <w:color w:val="000000" w:themeColor="text1"/>
          <w:sz w:val="28"/>
          <w:szCs w:val="28"/>
          <w:lang w:eastAsia="ru-RU"/>
        </w:rPr>
        <w:t xml:space="preserve">довжина </w:t>
      </w:r>
      <w:r w:rsidR="0059468C">
        <w:rPr>
          <w:rFonts w:ascii="Times New Roman" w:eastAsia="Times New Roman" w:hAnsi="Times New Roman" w:cs="Times New Roman"/>
          <w:bCs/>
          <w:color w:val="000000" w:themeColor="text1"/>
          <w:sz w:val="28"/>
          <w:szCs w:val="28"/>
          <w:lang w:eastAsia="ru-RU"/>
        </w:rPr>
        <w:t xml:space="preserve">зменшувалась </w:t>
      </w:r>
      <w:r w:rsidRPr="00CC7883">
        <w:rPr>
          <w:rFonts w:ascii="Times New Roman" w:hAnsi="Times New Roman" w:cs="Times New Roman"/>
          <w:color w:val="000000" w:themeColor="text1"/>
          <w:sz w:val="28"/>
          <w:szCs w:val="28"/>
        </w:rPr>
        <w:t xml:space="preserve">на 26,0–32,2 %, ширина – на 29,3–41,1 %, </w:t>
      </w:r>
      <w:r w:rsidRPr="00CC7883">
        <w:rPr>
          <w:rFonts w:ascii="Times New Roman" w:eastAsia="Times New Roman" w:hAnsi="Times New Roman" w:cs="Times New Roman"/>
          <w:color w:val="000000" w:themeColor="text1"/>
          <w:sz w:val="28"/>
          <w:szCs w:val="28"/>
          <w:lang w:eastAsia="ru-RU"/>
        </w:rPr>
        <w:t xml:space="preserve">а ширина продихової щілини </w:t>
      </w:r>
      <w:r w:rsidR="0059468C">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на 64,3–88,1</w:t>
      </w:r>
      <w:r w:rsidR="008D6E92">
        <w:rPr>
          <w:rFonts w:ascii="Times New Roman" w:eastAsia="Times New Roman" w:hAnsi="Times New Roman" w:cs="Times New Roman"/>
          <w:color w:val="000000" w:themeColor="text1"/>
          <w:sz w:val="28"/>
          <w:szCs w:val="28"/>
          <w:lang w:eastAsia="ru-RU"/>
        </w:rPr>
        <w:t> </w:t>
      </w:r>
      <w:r w:rsidRPr="00CC7883">
        <w:rPr>
          <w:rFonts w:ascii="Times New Roman" w:eastAsia="Times New Roman" w:hAnsi="Times New Roman" w:cs="Times New Roman"/>
          <w:color w:val="000000" w:themeColor="text1"/>
          <w:sz w:val="28"/>
          <w:szCs w:val="28"/>
          <w:lang w:eastAsia="ru-RU"/>
        </w:rPr>
        <w:t>%, що вказує на адаптивну перебудову продихового апарату у відповідь на зміну</w:t>
      </w:r>
      <w:r w:rsidR="00CA1FFE"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факторів зовнішнього середовища.</w:t>
      </w:r>
    </w:p>
    <w:p w:rsidR="00680096" w:rsidRPr="00CC7883" w:rsidRDefault="00680096" w:rsidP="00047411">
      <w:pPr>
        <w:widowControl w:val="0"/>
        <w:spacing w:after="0" w:line="360" w:lineRule="auto"/>
        <w:ind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Виявлені морфологічні та функціональні зміни продихового апарату </w:t>
      </w:r>
      <w:r w:rsidRPr="00CC7883">
        <w:rPr>
          <w:rFonts w:ascii="Times New Roman" w:eastAsia="Times New Roman" w:hAnsi="Times New Roman" w:cs="Times New Roman"/>
          <w:color w:val="000000" w:themeColor="text1"/>
          <w:sz w:val="28"/>
          <w:szCs w:val="28"/>
          <w:lang w:eastAsia="ru-RU"/>
        </w:rPr>
        <w:lastRenderedPageBreak/>
        <w:t xml:space="preserve">забезпечували підвищення здатності мікроклонів винограду до регуляції транспірації, підтримання водного балансу та стабілізації газообміну, що має важливе практичне значення для удосконалення технології мікроклонального розмноження винограду і підвищення ефективності адаптації рослин при переведенні з умов </w:t>
      </w:r>
      <w:r w:rsidRPr="00CC7883">
        <w:rPr>
          <w:rFonts w:ascii="Times New Roman" w:eastAsia="Times New Roman" w:hAnsi="Times New Roman" w:cs="Times New Roman"/>
          <w:i/>
          <w:iCs/>
          <w:color w:val="000000" w:themeColor="text1"/>
          <w:sz w:val="28"/>
          <w:szCs w:val="28"/>
          <w:lang w:eastAsia="ru-RU"/>
        </w:rPr>
        <w:t>in</w:t>
      </w:r>
      <w:r w:rsidR="005C6027" w:rsidRPr="00CC7883">
        <w:rPr>
          <w:rFonts w:ascii="Times New Roman" w:eastAsia="Times New Roman" w:hAnsi="Times New Roman" w:cs="Times New Roman"/>
          <w:i/>
          <w:iCs/>
          <w:color w:val="000000" w:themeColor="text1"/>
          <w:sz w:val="28"/>
          <w:szCs w:val="28"/>
          <w:lang w:eastAsia="ru-RU"/>
        </w:rPr>
        <w:t> </w:t>
      </w:r>
      <w:r w:rsidRPr="00CC7883">
        <w:rPr>
          <w:rFonts w:ascii="Times New Roman" w:eastAsia="Times New Roman" w:hAnsi="Times New Roman" w:cs="Times New Roman"/>
          <w:i/>
          <w:iCs/>
          <w:color w:val="000000" w:themeColor="text1"/>
          <w:sz w:val="28"/>
          <w:szCs w:val="28"/>
          <w:lang w:eastAsia="ru-RU"/>
        </w:rPr>
        <w:t>vitro</w:t>
      </w:r>
      <w:r w:rsidRPr="00CC7883">
        <w:rPr>
          <w:rFonts w:ascii="Times New Roman" w:eastAsia="Times New Roman" w:hAnsi="Times New Roman" w:cs="Times New Roman"/>
          <w:color w:val="000000" w:themeColor="text1"/>
          <w:sz w:val="28"/>
          <w:szCs w:val="28"/>
          <w:lang w:eastAsia="ru-RU"/>
        </w:rPr>
        <w:t xml:space="preserve"> </w:t>
      </w:r>
      <w:r w:rsidR="00AD2EF1">
        <w:rPr>
          <w:rFonts w:ascii="Times New Roman" w:eastAsia="Times New Roman" w:hAnsi="Times New Roman" w:cs="Times New Roman"/>
          <w:color w:val="000000" w:themeColor="text1"/>
          <w:sz w:val="28"/>
          <w:szCs w:val="28"/>
          <w:lang w:eastAsia="ru-RU"/>
        </w:rPr>
        <w:t>в умови</w:t>
      </w:r>
      <w:r w:rsidRPr="00CC7883">
        <w:rPr>
          <w:rFonts w:ascii="Times New Roman" w:eastAsia="Times New Roman" w:hAnsi="Times New Roman" w:cs="Times New Roman"/>
          <w:color w:val="000000" w:themeColor="text1"/>
          <w:sz w:val="28"/>
          <w:szCs w:val="28"/>
          <w:lang w:eastAsia="ru-RU"/>
        </w:rPr>
        <w:t xml:space="preserve"> </w:t>
      </w:r>
      <w:r w:rsidR="005C6027"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sz w:val="28"/>
          <w:szCs w:val="28"/>
          <w:lang w:eastAsia="ru-RU"/>
        </w:rPr>
        <w:t>.</w:t>
      </w:r>
    </w:p>
    <w:p w:rsidR="00680096" w:rsidRPr="00CC7883" w:rsidRDefault="00680096" w:rsidP="00047411">
      <w:pPr>
        <w:pStyle w:val="a7"/>
        <w:widowControl w:val="0"/>
        <w:numPr>
          <w:ilvl w:val="0"/>
          <w:numId w:val="27"/>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Адаптація мікроклональних рослин винограду після культивування </w:t>
      </w:r>
      <w:r w:rsidR="00F5525C"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xml:space="preserve"> є вирішальним етапом формування життєздатного садивного матеріалу, оскільки саме в цей період відбувається перебудова основних фізіолого-біохімічних процесів, пов’язаних із переходом рослин до неконтрольованих умов вирощування. Рівень приживлюваності мікроклонів винограду залежав від умов їх попереднього культивування </w:t>
      </w:r>
      <w:r w:rsidR="00F5525C" w:rsidRPr="00CC7883">
        <w:rPr>
          <w:rFonts w:ascii="Times New Roman" w:hAnsi="Times New Roman" w:cs="Times New Roman"/>
          <w:i/>
          <w:iCs/>
          <w:color w:val="000000" w:themeColor="text1"/>
          <w:sz w:val="28"/>
          <w:szCs w:val="28"/>
        </w:rPr>
        <w:t>in vitro</w:t>
      </w:r>
      <w:r w:rsidR="00F5525C"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та формування адаптаційного потенціалу. </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Встановлено, що застосування поживних середовищ на основі MS із додаванням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eastAsia="Times New Roman" w:hAnsi="Times New Roman" w:cs="Times New Roman"/>
          <w:color w:val="000000" w:themeColor="text1"/>
          <w:sz w:val="28"/>
          <w:szCs w:val="28"/>
          <w:lang w:eastAsia="ru-RU"/>
        </w:rPr>
        <w:t xml:space="preserve">их компонентів (агроперліту, вермикуліту та їх сумішей) у поєднанні з оптимальними концентраціями фітогормонів (0,3 мг/л ІОК та 0,2 мг/л 6-БАП) забезпечувало найвищі показники приживлюваності мікроклонів винограду в умовах </w:t>
      </w:r>
      <w:r w:rsidR="005C6027"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sz w:val="28"/>
          <w:szCs w:val="28"/>
          <w:lang w:eastAsia="ru-RU"/>
        </w:rPr>
        <w:t>. У таких варіантах життєздатність рослин через 30 діб адаптації дорівнювала</w:t>
      </w:r>
      <w:r w:rsidR="00DE350F" w:rsidRPr="00CC7883">
        <w:rPr>
          <w:rFonts w:ascii="Times New Roman" w:eastAsia="Times New Roman" w:hAnsi="Times New Roman" w:cs="Times New Roman"/>
          <w:color w:val="000000" w:themeColor="text1"/>
          <w:sz w:val="28"/>
          <w:szCs w:val="28"/>
          <w:lang w:eastAsia="ru-RU"/>
        </w:rPr>
        <w:t xml:space="preserve"> </w:t>
      </w:r>
      <w:r w:rsidR="00FC1C08" w:rsidRPr="00CC7883">
        <w:rPr>
          <w:rFonts w:ascii="Times New Roman" w:eastAsia="Times New Roman" w:hAnsi="Times New Roman" w:cs="Times New Roman"/>
          <w:color w:val="000000" w:themeColor="text1"/>
          <w:sz w:val="28"/>
          <w:szCs w:val="28"/>
          <w:lang w:eastAsia="ru-RU"/>
        </w:rPr>
        <w:t>75,0</w:t>
      </w:r>
      <w:r w:rsidRPr="00CC7883">
        <w:rPr>
          <w:rFonts w:ascii="Times New Roman" w:eastAsia="Times New Roman" w:hAnsi="Times New Roman" w:cs="Times New Roman"/>
          <w:color w:val="000000" w:themeColor="text1"/>
          <w:sz w:val="28"/>
          <w:szCs w:val="28"/>
          <w:lang w:eastAsia="ru-RU"/>
        </w:rPr>
        <w:t>–</w:t>
      </w:r>
      <w:r w:rsidR="007408D0" w:rsidRPr="00CC7883">
        <w:rPr>
          <w:rFonts w:ascii="Times New Roman" w:eastAsia="Times New Roman" w:hAnsi="Times New Roman" w:cs="Times New Roman"/>
          <w:color w:val="000000" w:themeColor="text1"/>
          <w:sz w:val="28"/>
          <w:szCs w:val="28"/>
          <w:lang w:eastAsia="ru-RU"/>
        </w:rPr>
        <w:t>98,0</w:t>
      </w:r>
      <w:r w:rsidRPr="00CC7883">
        <w:rPr>
          <w:rFonts w:ascii="Times New Roman" w:eastAsia="Times New Roman" w:hAnsi="Times New Roman" w:cs="Times New Roman"/>
          <w:color w:val="000000" w:themeColor="text1"/>
          <w:sz w:val="28"/>
          <w:szCs w:val="28"/>
          <w:lang w:eastAsia="ru-RU"/>
        </w:rPr>
        <w:t xml:space="preserve"> %, через 90 діб –</w:t>
      </w:r>
      <w:r w:rsidR="00DE350F" w:rsidRPr="00CC7883">
        <w:rPr>
          <w:rFonts w:ascii="Times New Roman" w:eastAsia="Times New Roman" w:hAnsi="Times New Roman" w:cs="Times New Roman"/>
          <w:color w:val="000000" w:themeColor="text1"/>
          <w:sz w:val="28"/>
          <w:szCs w:val="28"/>
          <w:lang w:eastAsia="ru-RU"/>
        </w:rPr>
        <w:t xml:space="preserve"> </w:t>
      </w:r>
      <w:r w:rsidR="007408D0" w:rsidRPr="00CC7883">
        <w:rPr>
          <w:rFonts w:ascii="Times New Roman" w:eastAsia="Times New Roman" w:hAnsi="Times New Roman" w:cs="Times New Roman"/>
          <w:color w:val="000000" w:themeColor="text1"/>
          <w:sz w:val="28"/>
          <w:szCs w:val="28"/>
          <w:lang w:eastAsia="ru-RU"/>
        </w:rPr>
        <w:t>56,0</w:t>
      </w:r>
      <w:r w:rsidRPr="00CC7883">
        <w:rPr>
          <w:rFonts w:ascii="Times New Roman" w:eastAsia="Times New Roman" w:hAnsi="Times New Roman" w:cs="Times New Roman"/>
          <w:color w:val="000000" w:themeColor="text1"/>
          <w:sz w:val="28"/>
          <w:szCs w:val="28"/>
          <w:lang w:eastAsia="ru-RU"/>
        </w:rPr>
        <w:t>–</w:t>
      </w:r>
      <w:r w:rsidR="007408D0" w:rsidRPr="00CC7883">
        <w:rPr>
          <w:rFonts w:ascii="Times New Roman" w:eastAsia="Times New Roman" w:hAnsi="Times New Roman" w:cs="Times New Roman"/>
          <w:color w:val="000000" w:themeColor="text1"/>
          <w:sz w:val="28"/>
          <w:szCs w:val="28"/>
          <w:lang w:eastAsia="ru-RU"/>
        </w:rPr>
        <w:t>82,5</w:t>
      </w:r>
      <w:r w:rsidRPr="00CC7883">
        <w:rPr>
          <w:rFonts w:ascii="Times New Roman" w:eastAsia="Times New Roman" w:hAnsi="Times New Roman" w:cs="Times New Roman"/>
          <w:color w:val="000000" w:themeColor="text1"/>
          <w:sz w:val="28"/>
          <w:szCs w:val="28"/>
          <w:lang w:eastAsia="ru-RU"/>
        </w:rPr>
        <w:t xml:space="preserve"> %, що у 1,</w:t>
      </w:r>
      <w:r w:rsidR="007408D0" w:rsidRPr="00CC7883">
        <w:rPr>
          <w:rFonts w:ascii="Times New Roman" w:eastAsia="Times New Roman" w:hAnsi="Times New Roman" w:cs="Times New Roman"/>
          <w:color w:val="000000" w:themeColor="text1"/>
          <w:sz w:val="28"/>
          <w:szCs w:val="28"/>
          <w:lang w:eastAsia="ru-RU"/>
        </w:rPr>
        <w:t>3</w:t>
      </w:r>
      <w:r w:rsidRPr="00CC7883">
        <w:rPr>
          <w:rFonts w:ascii="Times New Roman" w:eastAsia="Times New Roman" w:hAnsi="Times New Roman" w:cs="Times New Roman"/>
          <w:color w:val="000000" w:themeColor="text1"/>
          <w:sz w:val="28"/>
          <w:szCs w:val="28"/>
          <w:lang w:eastAsia="ru-RU"/>
        </w:rPr>
        <w:t>–</w:t>
      </w:r>
      <w:r w:rsidR="007408D0" w:rsidRPr="00CC7883">
        <w:rPr>
          <w:rFonts w:ascii="Times New Roman" w:eastAsia="Times New Roman" w:hAnsi="Times New Roman" w:cs="Times New Roman"/>
          <w:color w:val="000000" w:themeColor="text1"/>
          <w:sz w:val="28"/>
          <w:szCs w:val="28"/>
          <w:lang w:eastAsia="ru-RU"/>
        </w:rPr>
        <w:t>2,1</w:t>
      </w:r>
      <w:r w:rsidRPr="00CC7883">
        <w:rPr>
          <w:rFonts w:ascii="Times New Roman" w:eastAsia="Times New Roman" w:hAnsi="Times New Roman" w:cs="Times New Roman"/>
          <w:color w:val="000000" w:themeColor="text1"/>
          <w:sz w:val="28"/>
          <w:szCs w:val="28"/>
          <w:lang w:eastAsia="ru-RU"/>
        </w:rPr>
        <w:t xml:space="preserve"> </w:t>
      </w:r>
      <w:r w:rsidR="000F7714" w:rsidRPr="00CC7883">
        <w:rPr>
          <w:rFonts w:ascii="Times New Roman" w:eastAsia="Times New Roman" w:hAnsi="Times New Roman" w:cs="Times New Roman"/>
          <w:color w:val="000000" w:themeColor="text1"/>
          <w:sz w:val="28"/>
          <w:szCs w:val="28"/>
          <w:lang w:eastAsia="ru-RU"/>
        </w:rPr>
        <w:t>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перевищувало контрольні показники.</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Використання біологічно активних препаратів Радіфарм та </w:t>
      </w:r>
      <w:r w:rsidRPr="00CC7883">
        <w:rPr>
          <w:rFonts w:ascii="Times New Roman" w:eastAsia="Times New Roman" w:hAnsi="Times New Roman" w:cs="Times New Roman"/>
          <w:i/>
          <w:iCs/>
          <w:color w:val="000000" w:themeColor="text1"/>
          <w:sz w:val="28"/>
          <w:szCs w:val="28"/>
          <w:lang w:eastAsia="ru-RU"/>
        </w:rPr>
        <w:t>Clonex gel</w:t>
      </w:r>
      <w:r w:rsidRPr="00CC7883">
        <w:rPr>
          <w:rFonts w:ascii="Times New Roman" w:eastAsia="Times New Roman" w:hAnsi="Times New Roman" w:cs="Times New Roman"/>
          <w:color w:val="000000" w:themeColor="text1"/>
          <w:sz w:val="28"/>
          <w:szCs w:val="28"/>
          <w:lang w:eastAsia="ru-RU"/>
        </w:rPr>
        <w:t xml:space="preserve"> сприяло підвищенню приживлюваності мікроклонів винограду на початковому етапі адаптації, у перший місяць вирощування, однак у подальші строки ця тенденція не зберігалася.</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Найбільш ефективною для адаптації мікроклонів винограду в умовах </w:t>
      </w:r>
      <w:r w:rsidR="005C6027"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sz w:val="28"/>
          <w:szCs w:val="28"/>
          <w:lang w:eastAsia="ru-RU"/>
        </w:rPr>
        <w:t xml:space="preserve"> виявилася суміш агроперліту та вермикуліту, яка забезпечувала високий рівень приживлюваності мікроклонів – </w:t>
      </w:r>
      <w:r w:rsidR="00C35109" w:rsidRPr="00CC7883">
        <w:rPr>
          <w:rFonts w:ascii="Times New Roman" w:eastAsia="Times New Roman" w:hAnsi="Times New Roman" w:cs="Times New Roman"/>
          <w:color w:val="000000" w:themeColor="text1"/>
          <w:sz w:val="28"/>
          <w:szCs w:val="28"/>
          <w:lang w:eastAsia="ru-RU"/>
        </w:rPr>
        <w:t>67,7</w:t>
      </w:r>
      <w:r w:rsidRPr="00CC7883">
        <w:rPr>
          <w:rFonts w:ascii="Times New Roman" w:eastAsia="Times New Roman" w:hAnsi="Times New Roman" w:cs="Times New Roman"/>
          <w:color w:val="000000" w:themeColor="text1"/>
          <w:sz w:val="28"/>
          <w:szCs w:val="28"/>
          <w:lang w:eastAsia="ru-RU"/>
        </w:rPr>
        <w:t>–</w:t>
      </w:r>
      <w:r w:rsidR="00C35109" w:rsidRPr="00CC7883">
        <w:rPr>
          <w:rFonts w:ascii="Times New Roman" w:eastAsia="Times New Roman" w:hAnsi="Times New Roman" w:cs="Times New Roman"/>
          <w:color w:val="000000" w:themeColor="text1"/>
          <w:sz w:val="28"/>
          <w:szCs w:val="28"/>
          <w:lang w:eastAsia="ru-RU"/>
        </w:rPr>
        <w:t>75,0</w:t>
      </w:r>
      <w:r w:rsidRPr="00CC7883">
        <w:rPr>
          <w:rFonts w:ascii="Times New Roman" w:eastAsia="Times New Roman" w:hAnsi="Times New Roman" w:cs="Times New Roman"/>
          <w:color w:val="000000" w:themeColor="text1"/>
          <w:sz w:val="28"/>
          <w:szCs w:val="28"/>
          <w:lang w:eastAsia="ru-RU"/>
        </w:rPr>
        <w:t xml:space="preserve"> % після трьох місяців адаптації, що у 2,</w:t>
      </w:r>
      <w:r w:rsidR="00DD4C5E" w:rsidRPr="00CC7883">
        <w:rPr>
          <w:rFonts w:ascii="Times New Roman" w:eastAsia="Times New Roman" w:hAnsi="Times New Roman" w:cs="Times New Roman"/>
          <w:color w:val="000000" w:themeColor="text1"/>
          <w:sz w:val="28"/>
          <w:szCs w:val="28"/>
          <w:lang w:eastAsia="ru-RU"/>
        </w:rPr>
        <w:t>1</w:t>
      </w:r>
      <w:r w:rsidRPr="00CC7883">
        <w:rPr>
          <w:rFonts w:ascii="Times New Roman" w:eastAsia="Times New Roman" w:hAnsi="Times New Roman" w:cs="Times New Roman"/>
          <w:color w:val="000000" w:themeColor="text1"/>
          <w:sz w:val="28"/>
          <w:szCs w:val="28"/>
          <w:lang w:eastAsia="ru-RU"/>
        </w:rPr>
        <w:t>–</w:t>
      </w:r>
      <w:r w:rsidR="00C35109" w:rsidRPr="00CC7883">
        <w:rPr>
          <w:rFonts w:ascii="Times New Roman" w:eastAsia="Times New Roman" w:hAnsi="Times New Roman" w:cs="Times New Roman"/>
          <w:color w:val="000000" w:themeColor="text1"/>
          <w:sz w:val="28"/>
          <w:szCs w:val="28"/>
          <w:lang w:eastAsia="ru-RU"/>
        </w:rPr>
        <w:t>3,0</w:t>
      </w:r>
      <w:r w:rsidRPr="00CC7883">
        <w:rPr>
          <w:rFonts w:ascii="Times New Roman" w:eastAsia="Times New Roman" w:hAnsi="Times New Roman" w:cs="Times New Roman"/>
          <w:color w:val="000000" w:themeColor="text1"/>
          <w:sz w:val="28"/>
          <w:szCs w:val="28"/>
          <w:lang w:eastAsia="ru-RU"/>
        </w:rPr>
        <w:t xml:space="preserve"> </w:t>
      </w:r>
      <w:r w:rsidR="000F7714" w:rsidRPr="00CC7883">
        <w:rPr>
          <w:rFonts w:ascii="Times New Roman" w:eastAsia="Times New Roman" w:hAnsi="Times New Roman" w:cs="Times New Roman"/>
          <w:color w:val="000000" w:themeColor="text1"/>
          <w:sz w:val="28"/>
          <w:szCs w:val="28"/>
          <w:lang w:eastAsia="ru-RU"/>
        </w:rPr>
        <w:t>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перевищувало контроль. </w:t>
      </w:r>
    </w:p>
    <w:p w:rsidR="00680096" w:rsidRPr="00CC7883" w:rsidRDefault="00680096" w:rsidP="00047411">
      <w:pPr>
        <w:pStyle w:val="a7"/>
        <w:widowControl w:val="0"/>
        <w:numPr>
          <w:ilvl w:val="0"/>
          <w:numId w:val="27"/>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Дисперсійний аналіз експериментальних даних підтвердив статистично достовірний вплив умов культивування </w:t>
      </w:r>
      <w:r w:rsidRPr="00CC7883">
        <w:rPr>
          <w:rFonts w:ascii="Times New Roman" w:eastAsia="Times New Roman" w:hAnsi="Times New Roman" w:cs="Times New Roman"/>
          <w:i/>
          <w:color w:val="000000" w:themeColor="text1"/>
          <w:sz w:val="28"/>
          <w:szCs w:val="28"/>
          <w:lang w:eastAsia="ru-RU"/>
        </w:rPr>
        <w:t>in</w:t>
      </w:r>
      <w:r w:rsidR="005C6027" w:rsidRPr="00CC7883">
        <w:rPr>
          <w:rFonts w:ascii="Times New Roman" w:eastAsia="Times New Roman" w:hAnsi="Times New Roman" w:cs="Times New Roman"/>
          <w:i/>
          <w:color w:val="000000" w:themeColor="text1"/>
          <w:sz w:val="28"/>
          <w:szCs w:val="28"/>
          <w:lang w:eastAsia="ru-RU"/>
        </w:rPr>
        <w:t> </w:t>
      </w:r>
      <w:r w:rsidRPr="00CC7883">
        <w:rPr>
          <w:rFonts w:ascii="Times New Roman" w:eastAsia="Times New Roman" w:hAnsi="Times New Roman" w:cs="Times New Roman"/>
          <w:i/>
          <w:color w:val="000000" w:themeColor="text1"/>
          <w:sz w:val="28"/>
          <w:szCs w:val="28"/>
          <w:lang w:eastAsia="ru-RU"/>
        </w:rPr>
        <w:t>vitro</w:t>
      </w:r>
      <w:r w:rsidRPr="00CC7883">
        <w:rPr>
          <w:rFonts w:ascii="Times New Roman" w:eastAsia="Times New Roman" w:hAnsi="Times New Roman" w:cs="Times New Roman"/>
          <w:color w:val="000000" w:themeColor="text1"/>
          <w:sz w:val="28"/>
          <w:szCs w:val="28"/>
          <w:lang w:eastAsia="ru-RU"/>
        </w:rPr>
        <w:t xml:space="preserve"> на формування регенераційних, біометричних, фізіолого-біохімічних та анатомічних </w:t>
      </w:r>
      <w:r w:rsidRPr="00CC7883">
        <w:rPr>
          <w:rFonts w:ascii="Times New Roman" w:eastAsia="Times New Roman" w:hAnsi="Times New Roman" w:cs="Times New Roman"/>
          <w:color w:val="000000" w:themeColor="text1"/>
          <w:sz w:val="28"/>
          <w:szCs w:val="28"/>
          <w:lang w:eastAsia="ru-RU"/>
        </w:rPr>
        <w:lastRenderedPageBreak/>
        <w:t xml:space="preserve">показників мікроклонів винограду на етапі адаптації </w:t>
      </w:r>
      <w:r w:rsidR="005C6027"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sz w:val="28"/>
          <w:szCs w:val="28"/>
          <w:lang w:eastAsia="ru-RU"/>
        </w:rPr>
        <w:t xml:space="preserve">. Для культивування мікроклонів винограду на поживних середовищах основним фактором впливу для більшості показників були додаткові компоненти поживного середовища MS (БАП,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004C5062" w:rsidRPr="00CC7883">
        <w:rPr>
          <w:rFonts w:ascii="Times New Roman" w:eastAsia="Times New Roman" w:hAnsi="Times New Roman" w:cs="Times New Roman"/>
          <w:color w:val="000000" w:themeColor="text1"/>
          <w:sz w:val="28"/>
          <w:szCs w:val="28"/>
          <w:lang w:eastAsia="ru-RU"/>
        </w:rPr>
        <w:t xml:space="preserve">і </w:t>
      </w:r>
      <w:r w:rsidRPr="00CC7883">
        <w:rPr>
          <w:rFonts w:ascii="Times New Roman" w:eastAsia="Times New Roman" w:hAnsi="Times New Roman" w:cs="Times New Roman"/>
          <w:color w:val="000000" w:themeColor="text1"/>
          <w:sz w:val="28"/>
          <w:szCs w:val="28"/>
          <w:lang w:eastAsia="ru-RU"/>
        </w:rPr>
        <w:t>компоненти). Показник проліферації пазушних бруньок залежав від цього фактор</w:t>
      </w:r>
      <w:r w:rsidR="0003341F">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на</w:t>
      </w:r>
      <w:r w:rsidR="00DE350F"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74,62 %, ризогенез ініціальних експлантів – на 42,44 %, біометричні показники вегетативної надземної маси – на 23,20–62,90 %,</w:t>
      </w:r>
      <w:r w:rsidR="00017FA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кореневої системи – на 53,43–87,58 %, водний режим</w:t>
      </w:r>
      <w:r w:rsidR="00017FA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і вміст сухих речовин вегетативної надземної маси</w:t>
      </w:r>
      <w:r w:rsidR="001816A3"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на 50,01–88,66 %, водний режим</w:t>
      </w:r>
      <w:r w:rsidR="00017FA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xml:space="preserve">і вміст сухих речовин коренів – на 56,86–87,12 %, </w:t>
      </w:r>
      <w:r w:rsidR="0044228C" w:rsidRPr="00CC7883">
        <w:rPr>
          <w:rFonts w:ascii="Times New Roman" w:hAnsi="Times New Roman" w:cs="Times New Roman"/>
          <w:color w:val="000000" w:themeColor="text1"/>
          <w:sz w:val="28"/>
          <w:szCs w:val="28"/>
        </w:rPr>
        <w:t>водо</w:t>
      </w:r>
      <w:r w:rsidR="0044228C">
        <w:rPr>
          <w:rFonts w:ascii="Times New Roman" w:hAnsi="Times New Roman" w:cs="Times New Roman"/>
          <w:color w:val="000000" w:themeColor="text1"/>
          <w:sz w:val="28"/>
          <w:szCs w:val="28"/>
        </w:rPr>
        <w:t>у</w:t>
      </w:r>
      <w:r w:rsidR="0044228C" w:rsidRPr="00CC7883">
        <w:rPr>
          <w:rFonts w:ascii="Times New Roman" w:hAnsi="Times New Roman" w:cs="Times New Roman"/>
          <w:color w:val="000000" w:themeColor="text1"/>
          <w:sz w:val="28"/>
          <w:szCs w:val="28"/>
        </w:rPr>
        <w:t>триму</w:t>
      </w:r>
      <w:r w:rsidR="0044228C">
        <w:rPr>
          <w:rFonts w:ascii="Times New Roman" w:hAnsi="Times New Roman" w:cs="Times New Roman"/>
          <w:color w:val="000000" w:themeColor="text1"/>
          <w:sz w:val="28"/>
          <w:szCs w:val="28"/>
        </w:rPr>
        <w:t>вальн</w:t>
      </w:r>
      <w:r w:rsidRPr="00CC7883">
        <w:rPr>
          <w:rFonts w:ascii="Times New Roman" w:eastAsia="Times New Roman" w:hAnsi="Times New Roman" w:cs="Times New Roman"/>
          <w:color w:val="000000" w:themeColor="text1"/>
          <w:sz w:val="28"/>
          <w:szCs w:val="28"/>
          <w:lang w:eastAsia="ru-RU"/>
        </w:rPr>
        <w:t>а здатність – на 9,45–46,14 %, інтенсивність транспірації – на 50,93–52,79 %, пігментний комплекс – на 28,96–79,11 %, анатомічні показники продихового апарату – на 33,10–88,86 %.</w:t>
      </w:r>
    </w:p>
    <w:p w:rsidR="00680096" w:rsidRPr="00CC7883" w:rsidRDefault="00680096" w:rsidP="00047411">
      <w:pPr>
        <w:pStyle w:val="a7"/>
        <w:widowControl w:val="0"/>
        <w:spacing w:after="0" w:line="360" w:lineRule="auto"/>
        <w:ind w:left="0" w:firstLine="72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Для культивування на поживних мінеральних субстратах основним фактором впливу був </w:t>
      </w:r>
      <w:r w:rsidR="0000298A">
        <w:rPr>
          <w:rFonts w:ascii="Times New Roman" w:hAnsi="Times New Roman" w:cs="Times New Roman"/>
          <w:color w:val="000000" w:themeColor="text1"/>
          <w:sz w:val="28"/>
          <w:szCs w:val="28"/>
        </w:rPr>
        <w:t>фактор «</w:t>
      </w:r>
      <w:r w:rsidR="0000298A" w:rsidRPr="00CC7883">
        <w:rPr>
          <w:rFonts w:ascii="Times New Roman" w:hAnsi="Times New Roman" w:cs="Times New Roman"/>
          <w:color w:val="000000" w:themeColor="text1"/>
          <w:sz w:val="28"/>
          <w:szCs w:val="28"/>
        </w:rPr>
        <w:t>тип поживних мінеральних субстратів</w:t>
      </w:r>
      <w:r w:rsidR="0000298A">
        <w:rPr>
          <w:rFonts w:ascii="Times New Roman" w:hAnsi="Times New Roman" w:cs="Times New Roman"/>
          <w:color w:val="000000" w:themeColor="text1"/>
          <w:sz w:val="28"/>
          <w:szCs w:val="28"/>
        </w:rPr>
        <w:t>»</w:t>
      </w:r>
      <w:r w:rsidRPr="00CC7883">
        <w:rPr>
          <w:rFonts w:ascii="Times New Roman" w:eastAsia="Times New Roman" w:hAnsi="Times New Roman" w:cs="Times New Roman"/>
          <w:color w:val="000000" w:themeColor="text1"/>
          <w:sz w:val="28"/>
          <w:szCs w:val="28"/>
          <w:lang w:eastAsia="ru-RU"/>
        </w:rPr>
        <w:t>. Його вплив на регенераційні показники ініціальних експлантів оцінювався в межах 79,77–86,60 %, на біометричні показники вегетативної маси – в межах 51,36–97,33 %, на показники водного режиму</w:t>
      </w:r>
      <w:r w:rsidR="00103FC1"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і вмісту сухих речовин</w:t>
      </w:r>
      <w:r w:rsidR="00017FA0"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вегетативної маси – в межах 43,07–91,86 %, на фізіолого-біохімічні та анатомічні показники – в межах 28,78–81,20 %. Експериментальна похибка була низькою – 0,02–29,68</w:t>
      </w:r>
      <w:r w:rsidR="009A27A1">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 що підтверджує високу достовірність отриманих результатів.</w:t>
      </w:r>
    </w:p>
    <w:p w:rsidR="00680096" w:rsidRPr="00CC7883" w:rsidRDefault="00680096" w:rsidP="00047411">
      <w:pPr>
        <w:pStyle w:val="a7"/>
        <w:widowControl w:val="0"/>
        <w:numPr>
          <w:ilvl w:val="0"/>
          <w:numId w:val="27"/>
        </w:numPr>
        <w:spacing w:after="0" w:line="360" w:lineRule="auto"/>
        <w:ind w:left="0" w:firstLine="0"/>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Встановлено, що ефективність адаптації мікроклонів винограду </w:t>
      </w:r>
      <w:r w:rsidR="005C6027" w:rsidRPr="00CC7883">
        <w:rPr>
          <w:rFonts w:ascii="Times New Roman" w:eastAsia="NSimSun" w:hAnsi="Times New Roman" w:cs="Times New Roman"/>
          <w:i/>
          <w:iCs/>
          <w:color w:val="000000" w:themeColor="text1"/>
          <w:kern w:val="3"/>
          <w:sz w:val="28"/>
          <w:szCs w:val="28"/>
        </w:rPr>
        <w:t>in vivo</w:t>
      </w:r>
      <w:r w:rsidRPr="00CC7883">
        <w:rPr>
          <w:rFonts w:ascii="Times New Roman" w:eastAsia="Times New Roman" w:hAnsi="Times New Roman" w:cs="Times New Roman"/>
          <w:color w:val="000000" w:themeColor="text1"/>
          <w:sz w:val="28"/>
          <w:szCs w:val="28"/>
          <w:lang w:eastAsia="ru-RU"/>
        </w:rPr>
        <w:t xml:space="preserve"> та економічна доцільність їх виробництва визначаються, насамперед, умовами культивування </w:t>
      </w:r>
      <w:r w:rsidR="00F5525C" w:rsidRPr="00CC7883">
        <w:rPr>
          <w:rFonts w:ascii="Times New Roman" w:hAnsi="Times New Roman" w:cs="Times New Roman"/>
          <w:i/>
          <w:iCs/>
          <w:color w:val="000000" w:themeColor="text1"/>
          <w:sz w:val="28"/>
          <w:szCs w:val="28"/>
        </w:rPr>
        <w:t>in vitro</w:t>
      </w:r>
      <w:r w:rsidRPr="00CC7883">
        <w:rPr>
          <w:rFonts w:ascii="Times New Roman" w:eastAsia="Times New Roman" w:hAnsi="Times New Roman" w:cs="Times New Roman"/>
          <w:color w:val="000000" w:themeColor="text1"/>
          <w:sz w:val="28"/>
          <w:szCs w:val="28"/>
          <w:lang w:eastAsia="ru-RU"/>
        </w:rPr>
        <w:t>, зокрема складом поживного середовища та використанням структуроутворю</w:t>
      </w:r>
      <w:r w:rsidR="00473FB7">
        <w:rPr>
          <w:rFonts w:ascii="Times New Roman" w:eastAsia="Times New Roman" w:hAnsi="Times New Roman" w:cs="Times New Roman"/>
          <w:color w:val="000000" w:themeColor="text1"/>
          <w:sz w:val="28"/>
          <w:szCs w:val="28"/>
          <w:lang w:eastAsia="ru-RU"/>
        </w:rPr>
        <w:t>вальн</w:t>
      </w:r>
      <w:r w:rsidRPr="00CC7883">
        <w:rPr>
          <w:rFonts w:ascii="Times New Roman" w:eastAsia="Times New Roman" w:hAnsi="Times New Roman" w:cs="Times New Roman"/>
          <w:color w:val="000000" w:themeColor="text1"/>
          <w:sz w:val="28"/>
          <w:szCs w:val="28"/>
          <w:lang w:eastAsia="ru-RU"/>
        </w:rPr>
        <w:t xml:space="preserve">их компонентів і мінеральних субстратів. Показано, що застосування модифікованих поживних середовищ із меншим </w:t>
      </w:r>
      <w:r w:rsidR="006C51A5">
        <w:rPr>
          <w:rFonts w:ascii="Times New Roman" w:eastAsia="Times New Roman" w:hAnsi="Times New Roman" w:cs="Times New Roman"/>
          <w:color w:val="000000" w:themeColor="text1"/>
          <w:sz w:val="28"/>
          <w:szCs w:val="28"/>
          <w:lang w:eastAsia="ru-RU"/>
        </w:rPr>
        <w:t>вмістом фітогормонів</w:t>
      </w:r>
      <w:r w:rsidRPr="00CC7883">
        <w:rPr>
          <w:rFonts w:ascii="Times New Roman" w:eastAsia="Times New Roman" w:hAnsi="Times New Roman" w:cs="Times New Roman"/>
          <w:color w:val="000000" w:themeColor="text1"/>
          <w:sz w:val="28"/>
          <w:szCs w:val="28"/>
          <w:lang w:eastAsia="ru-RU"/>
        </w:rPr>
        <w:t xml:space="preserve"> (ІОК 0,3 мг/л + </w:t>
      </w:r>
      <w:r w:rsidR="00CF29A8" w:rsidRPr="00CC7883">
        <w:rPr>
          <w:rFonts w:ascii="Times New Roman" w:hAnsi="Times New Roman" w:cs="Times New Roman"/>
          <w:color w:val="000000" w:themeColor="text1"/>
          <w:sz w:val="28"/>
          <w:szCs w:val="28"/>
        </w:rPr>
        <w:t>6-БАП</w:t>
      </w:r>
      <w:r w:rsidRPr="00CC7883">
        <w:rPr>
          <w:rFonts w:ascii="Times New Roman" w:eastAsia="Times New Roman" w:hAnsi="Times New Roman" w:cs="Times New Roman"/>
          <w:color w:val="000000" w:themeColor="text1"/>
          <w:sz w:val="28"/>
          <w:szCs w:val="28"/>
          <w:lang w:eastAsia="ru-RU"/>
        </w:rPr>
        <w:t xml:space="preserve"> 0,2 мг/л) у поєднанні з агроперлітом, вермикулітом або їх сумішшю забезпечувало найвищу приживлюваність мікроклонів винограду – до </w:t>
      </w:r>
      <w:r w:rsidR="006C51A5">
        <w:rPr>
          <w:rFonts w:ascii="Times New Roman" w:eastAsia="Times New Roman" w:hAnsi="Times New Roman" w:cs="Times New Roman"/>
          <w:color w:val="000000" w:themeColor="text1"/>
          <w:sz w:val="28"/>
          <w:szCs w:val="28"/>
          <w:lang w:eastAsia="ru-RU"/>
        </w:rPr>
        <w:t>98,0</w:t>
      </w:r>
      <w:r w:rsidRPr="00CC7883">
        <w:rPr>
          <w:rFonts w:ascii="Times New Roman" w:eastAsia="Times New Roman" w:hAnsi="Times New Roman" w:cs="Times New Roman"/>
          <w:color w:val="000000" w:themeColor="text1"/>
          <w:sz w:val="28"/>
          <w:szCs w:val="28"/>
          <w:lang w:eastAsia="ru-RU"/>
        </w:rPr>
        <w:t xml:space="preserve"> % через 30 діб і до </w:t>
      </w:r>
      <w:r w:rsidR="006C51A5">
        <w:rPr>
          <w:rFonts w:ascii="Times New Roman" w:eastAsia="Times New Roman" w:hAnsi="Times New Roman" w:cs="Times New Roman"/>
          <w:color w:val="000000" w:themeColor="text1"/>
          <w:sz w:val="28"/>
          <w:szCs w:val="28"/>
          <w:lang w:eastAsia="ru-RU"/>
        </w:rPr>
        <w:t>82,5</w:t>
      </w:r>
      <w:r w:rsidRPr="00CC7883">
        <w:rPr>
          <w:rFonts w:ascii="Times New Roman" w:eastAsia="Times New Roman" w:hAnsi="Times New Roman" w:cs="Times New Roman"/>
          <w:color w:val="000000" w:themeColor="text1"/>
          <w:sz w:val="28"/>
          <w:szCs w:val="28"/>
          <w:lang w:eastAsia="ru-RU"/>
        </w:rPr>
        <w:t xml:space="preserve"> % через 90 діб адаптації, що у 1,2–</w:t>
      </w:r>
      <w:r w:rsidR="006C51A5">
        <w:rPr>
          <w:rFonts w:ascii="Times New Roman" w:eastAsia="Times New Roman" w:hAnsi="Times New Roman" w:cs="Times New Roman"/>
          <w:color w:val="000000" w:themeColor="text1"/>
          <w:sz w:val="28"/>
          <w:szCs w:val="28"/>
          <w:lang w:eastAsia="ru-RU"/>
        </w:rPr>
        <w:t>3,0</w:t>
      </w:r>
      <w:r w:rsidRPr="00CC7883">
        <w:rPr>
          <w:rFonts w:ascii="Times New Roman" w:eastAsia="Times New Roman" w:hAnsi="Times New Roman" w:cs="Times New Roman"/>
          <w:color w:val="000000" w:themeColor="text1"/>
          <w:sz w:val="28"/>
          <w:szCs w:val="28"/>
          <w:lang w:eastAsia="ru-RU"/>
        </w:rPr>
        <w:t xml:space="preserve"> </w:t>
      </w:r>
      <w:r w:rsidR="000F7714" w:rsidRPr="00CC7883">
        <w:rPr>
          <w:rFonts w:ascii="Times New Roman" w:eastAsia="Times New Roman" w:hAnsi="Times New Roman" w:cs="Times New Roman"/>
          <w:color w:val="000000" w:themeColor="text1"/>
          <w:sz w:val="28"/>
          <w:szCs w:val="28"/>
          <w:lang w:eastAsia="ru-RU"/>
        </w:rPr>
        <w:t>раз</w:t>
      </w:r>
      <w:r w:rsidR="000F7714">
        <w:rPr>
          <w:rFonts w:ascii="Times New Roman" w:eastAsia="Times New Roman" w:hAnsi="Times New Roman" w:cs="Times New Roman"/>
          <w:color w:val="000000" w:themeColor="text1"/>
          <w:sz w:val="28"/>
          <w:szCs w:val="28"/>
          <w:lang w:eastAsia="ru-RU"/>
        </w:rPr>
        <w:t>а</w:t>
      </w:r>
      <w:r w:rsidRPr="00CC7883">
        <w:rPr>
          <w:rFonts w:ascii="Times New Roman" w:eastAsia="Times New Roman" w:hAnsi="Times New Roman" w:cs="Times New Roman"/>
          <w:color w:val="000000" w:themeColor="text1"/>
          <w:sz w:val="28"/>
          <w:szCs w:val="28"/>
          <w:lang w:eastAsia="ru-RU"/>
        </w:rPr>
        <w:t xml:space="preserve"> перевищувало контрольні показники.</w:t>
      </w:r>
    </w:p>
    <w:p w:rsidR="00680096"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sz w:val="28"/>
          <w:szCs w:val="28"/>
          <w:lang w:eastAsia="ru-RU"/>
        </w:rPr>
      </w:pPr>
      <w:r w:rsidRPr="00CC7883">
        <w:rPr>
          <w:rFonts w:ascii="Times New Roman" w:eastAsia="Times New Roman" w:hAnsi="Times New Roman" w:cs="Times New Roman"/>
          <w:color w:val="000000" w:themeColor="text1"/>
          <w:sz w:val="28"/>
          <w:szCs w:val="28"/>
          <w:lang w:eastAsia="ru-RU"/>
        </w:rPr>
        <w:t xml:space="preserve">Використання стандартних поживних середовищ MS та середовищ із </w:t>
      </w:r>
      <w:r w:rsidRPr="00CC7883">
        <w:rPr>
          <w:rFonts w:ascii="Times New Roman" w:eastAsia="Times New Roman" w:hAnsi="Times New Roman" w:cs="Times New Roman"/>
          <w:color w:val="000000" w:themeColor="text1"/>
          <w:sz w:val="28"/>
          <w:szCs w:val="28"/>
          <w:lang w:eastAsia="ru-RU"/>
        </w:rPr>
        <w:lastRenderedPageBreak/>
        <w:t xml:space="preserve">додаванням біологічно активних препаратів (Радіфарм, Clonex gel) без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eastAsia="Times New Roman" w:hAnsi="Times New Roman" w:cs="Times New Roman"/>
          <w:color w:val="000000" w:themeColor="text1"/>
          <w:sz w:val="28"/>
          <w:szCs w:val="28"/>
          <w:lang w:eastAsia="ru-RU"/>
        </w:rPr>
        <w:t>их компонентів супроводжувалося значно нижчою приживлюваністю (21,5–50,0 %), що сприяло різкому збільшенню собівартості адаптованих мікроклонів і обмежувало практичну доцільність таких технологічних протоколів. Застосування структурованих поживних середовищ і мінеральних субстратів дозволяло знизити собівартість 1000 адаптованих мікроклонів до 36630,9–60878,9 грн, у контрольних варіантах вона дорівнювала</w:t>
      </w:r>
      <w:r w:rsidR="00F21D92" w:rsidRPr="00CC7883">
        <w:rPr>
          <w:rFonts w:ascii="Times New Roman" w:eastAsia="Times New Roman" w:hAnsi="Times New Roman" w:cs="Times New Roman"/>
          <w:color w:val="000000" w:themeColor="text1"/>
          <w:sz w:val="28"/>
          <w:szCs w:val="28"/>
          <w:lang w:eastAsia="ru-RU"/>
        </w:rPr>
        <w:t xml:space="preserve"> </w:t>
      </w:r>
      <w:r w:rsidRPr="00CC7883">
        <w:rPr>
          <w:rFonts w:ascii="Times New Roman" w:eastAsia="Times New Roman" w:hAnsi="Times New Roman" w:cs="Times New Roman"/>
          <w:color w:val="000000" w:themeColor="text1"/>
          <w:sz w:val="28"/>
          <w:szCs w:val="28"/>
          <w:lang w:eastAsia="ru-RU"/>
        </w:rPr>
        <w:t>50231,7–147623,3 грн.</w:t>
      </w:r>
    </w:p>
    <w:p w:rsidR="00E61544" w:rsidRPr="00CC7883" w:rsidRDefault="00680096" w:rsidP="00047411">
      <w:pPr>
        <w:pStyle w:val="a7"/>
        <w:widowControl w:val="0"/>
        <w:spacing w:after="0" w:line="360" w:lineRule="auto"/>
        <w:ind w:left="0" w:firstLine="709"/>
        <w:jc w:val="both"/>
        <w:rPr>
          <w:rFonts w:ascii="Times New Roman" w:eastAsia="Times New Roman" w:hAnsi="Times New Roman" w:cs="Times New Roman"/>
          <w:color w:val="000000" w:themeColor="text1"/>
          <w:kern w:val="0"/>
          <w:sz w:val="28"/>
          <w:szCs w:val="28"/>
          <w:lang w:eastAsia="uk-UA"/>
        </w:rPr>
      </w:pPr>
      <w:r w:rsidRPr="00CC7883">
        <w:rPr>
          <w:rFonts w:ascii="Times New Roman" w:eastAsia="Times New Roman" w:hAnsi="Times New Roman" w:cs="Times New Roman"/>
          <w:color w:val="000000" w:themeColor="text1"/>
          <w:sz w:val="28"/>
          <w:szCs w:val="28"/>
          <w:lang w:eastAsia="ru-RU"/>
        </w:rPr>
        <w:t>Доведено, що підвищення рівня приживлюваності мікроклонів впливало на чистий прибуток і рентабельність виробництва. Найбільший економічний ефект забезпечували протоколи з використанням структурованих поживних середовищ та мінеральних субстратів, де прибуток дорівнював</w:t>
      </w:r>
      <w:r w:rsidR="00F21D92" w:rsidRPr="00CC7883">
        <w:rPr>
          <w:rFonts w:ascii="Times New Roman" w:eastAsia="Times New Roman" w:hAnsi="Times New Roman" w:cs="Times New Roman"/>
          <w:color w:val="000000" w:themeColor="text1"/>
          <w:sz w:val="28"/>
          <w:szCs w:val="28"/>
          <w:lang w:eastAsia="ru-RU"/>
        </w:rPr>
        <w:t xml:space="preserve"> </w:t>
      </w:r>
      <w:r w:rsidR="00136C07">
        <w:rPr>
          <w:rFonts w:ascii="Times New Roman" w:eastAsia="Times New Roman" w:hAnsi="Times New Roman" w:cs="Times New Roman"/>
          <w:color w:val="000000" w:themeColor="text1"/>
          <w:sz w:val="28"/>
          <w:szCs w:val="28"/>
          <w:lang w:eastAsia="ru-RU"/>
        </w:rPr>
        <w:t>15871,0</w:t>
      </w:r>
      <w:r w:rsidRPr="00CC7883">
        <w:rPr>
          <w:rFonts w:ascii="Times New Roman" w:eastAsia="Times New Roman" w:hAnsi="Times New Roman" w:cs="Times New Roman"/>
          <w:color w:val="000000" w:themeColor="text1"/>
          <w:sz w:val="28"/>
          <w:szCs w:val="28"/>
          <w:lang w:eastAsia="ru-RU"/>
        </w:rPr>
        <w:t>–48840,4 грн на 1000 адаптованих мікроклонів, а рівень рентабельності дорівнював 75,0–145,7 %, що було суттєво більше за відповідні показники контрольних варіантів, які були малоефективними або збитковими. Отримані результати підтверджують доцільність впровадження удосконалених технологічних прийомів мікроклонального розмноження винограду з використанням структуроутворю</w:t>
      </w:r>
      <w:r w:rsidR="00473FB7">
        <w:rPr>
          <w:rFonts w:ascii="Times New Roman" w:eastAsia="Times New Roman" w:hAnsi="Times New Roman" w:cs="Times New Roman"/>
          <w:color w:val="000000" w:themeColor="text1"/>
          <w:sz w:val="28"/>
          <w:szCs w:val="28"/>
          <w:lang w:eastAsia="ru-RU"/>
        </w:rPr>
        <w:t>вальн</w:t>
      </w:r>
      <w:r w:rsidRPr="00CC7883">
        <w:rPr>
          <w:rFonts w:ascii="Times New Roman" w:eastAsia="Times New Roman" w:hAnsi="Times New Roman" w:cs="Times New Roman"/>
          <w:color w:val="000000" w:themeColor="text1"/>
          <w:sz w:val="28"/>
          <w:szCs w:val="28"/>
          <w:lang w:eastAsia="ru-RU"/>
        </w:rPr>
        <w:t>их компонентів та мінеральних субстратів для підвищення адаптаційної здатності рослин і економічної ефективності виробництва.</w:t>
      </w:r>
      <w:bookmarkEnd w:id="124"/>
      <w:r w:rsidR="00E61544" w:rsidRPr="00CC7883">
        <w:rPr>
          <w:rFonts w:ascii="Times New Roman" w:eastAsia="Times New Roman" w:hAnsi="Times New Roman" w:cs="Times New Roman"/>
          <w:color w:val="000000" w:themeColor="text1"/>
          <w:kern w:val="0"/>
          <w:sz w:val="28"/>
          <w:szCs w:val="28"/>
          <w:lang w:eastAsia="uk-UA"/>
        </w:rPr>
        <w:br w:type="page"/>
      </w:r>
    </w:p>
    <w:p w:rsidR="00DC052E" w:rsidRPr="00CC7883" w:rsidRDefault="00DC052E" w:rsidP="00047411">
      <w:pPr>
        <w:widowControl w:val="0"/>
        <w:spacing w:after="0" w:line="360" w:lineRule="auto"/>
        <w:jc w:val="center"/>
        <w:outlineLvl w:val="0"/>
        <w:rPr>
          <w:rFonts w:ascii="Times New Roman" w:hAnsi="Times New Roman" w:cs="Times New Roman"/>
          <w:b/>
          <w:color w:val="000000" w:themeColor="text1"/>
          <w:sz w:val="28"/>
          <w:szCs w:val="28"/>
        </w:rPr>
      </w:pPr>
      <w:bookmarkStart w:id="125" w:name="_Toc220058971"/>
      <w:r w:rsidRPr="00CC7883">
        <w:rPr>
          <w:rFonts w:ascii="Times New Roman" w:hAnsi="Times New Roman" w:cs="Times New Roman"/>
          <w:b/>
          <w:caps/>
          <w:color w:val="000000" w:themeColor="text1"/>
          <w:sz w:val="28"/>
          <w:szCs w:val="28"/>
        </w:rPr>
        <w:lastRenderedPageBreak/>
        <w:t>Практичні рекомендації ЩОДО</w:t>
      </w:r>
      <w:r w:rsidRPr="00CC7883">
        <w:rPr>
          <w:rFonts w:ascii="Times New Roman" w:hAnsi="Times New Roman" w:cs="Times New Roman"/>
          <w:b/>
          <w:color w:val="000000" w:themeColor="text1"/>
          <w:sz w:val="28"/>
          <w:szCs w:val="28"/>
        </w:rPr>
        <w:t xml:space="preserve"> ЗАСТОСУВАННЯ РЕЗУЛЬТАТІВ </w:t>
      </w:r>
      <w:r w:rsidRPr="00CC7883">
        <w:rPr>
          <w:rFonts w:ascii="Times New Roman" w:hAnsi="Times New Roman" w:cs="Times New Roman"/>
          <w:b/>
          <w:caps/>
          <w:color w:val="000000" w:themeColor="text1"/>
          <w:sz w:val="28"/>
          <w:szCs w:val="28"/>
        </w:rPr>
        <w:t>наукового</w:t>
      </w:r>
      <w:r w:rsidRPr="00CC7883">
        <w:rPr>
          <w:rFonts w:ascii="Times New Roman" w:hAnsi="Times New Roman" w:cs="Times New Roman"/>
          <w:b/>
          <w:color w:val="000000" w:themeColor="text1"/>
          <w:sz w:val="28"/>
          <w:szCs w:val="28"/>
        </w:rPr>
        <w:t xml:space="preserve"> ДОСЛІДЖЕННЯ</w:t>
      </w:r>
      <w:bookmarkEnd w:id="125"/>
    </w:p>
    <w:p w:rsidR="00DC052E" w:rsidRPr="00CC7883" w:rsidRDefault="00DC052E" w:rsidP="00047411">
      <w:pPr>
        <w:widowControl w:val="0"/>
        <w:spacing w:after="0" w:line="360" w:lineRule="auto"/>
        <w:jc w:val="center"/>
        <w:rPr>
          <w:rFonts w:ascii="Times New Roman" w:hAnsi="Times New Roman" w:cs="Times New Roman"/>
          <w:color w:val="000000" w:themeColor="text1"/>
          <w:sz w:val="28"/>
          <w:szCs w:val="28"/>
        </w:rPr>
      </w:pPr>
    </w:p>
    <w:p w:rsidR="00DC052E" w:rsidRPr="00CC7883" w:rsidRDefault="00DC052E"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Отримані результати дають підстави сформувати практичні рекомендації для розсадницьких господарств та фахівців, які вирощують садивний матеріал винограду </w:t>
      </w:r>
      <w:r w:rsidR="001221F9" w:rsidRPr="00CC7883">
        <w:rPr>
          <w:rFonts w:ascii="Times New Roman" w:hAnsi="Times New Roman" w:cs="Times New Roman"/>
          <w:i/>
          <w:iCs/>
          <w:color w:val="000000" w:themeColor="text1"/>
          <w:sz w:val="28"/>
          <w:szCs w:val="28"/>
        </w:rPr>
        <w:t>in vitro</w:t>
      </w:r>
      <w:r w:rsidRPr="00CC7883">
        <w:rPr>
          <w:rFonts w:ascii="Times New Roman" w:hAnsi="Times New Roman" w:cs="Times New Roman"/>
          <w:color w:val="000000" w:themeColor="text1"/>
          <w:sz w:val="28"/>
          <w:szCs w:val="28"/>
        </w:rPr>
        <w:t>:</w:t>
      </w:r>
    </w:p>
    <w:p w:rsidR="00DC052E" w:rsidRPr="00CC7883" w:rsidRDefault="00DC052E" w:rsidP="00047411">
      <w:pPr>
        <w:widowControl w:val="0"/>
        <w:spacing w:after="0" w:line="360" w:lineRule="auto"/>
        <w:ind w:firstLine="720"/>
        <w:jc w:val="both"/>
        <w:rPr>
          <w:rFonts w:ascii="Times New Roman" w:hAnsi="Times New Roman" w:cs="Times New Roman"/>
          <w:i/>
          <w:color w:val="000000" w:themeColor="text1"/>
          <w:sz w:val="28"/>
          <w:szCs w:val="28"/>
          <w:u w:val="single"/>
        </w:rPr>
      </w:pPr>
      <w:r w:rsidRPr="00CC7883">
        <w:rPr>
          <w:rFonts w:ascii="Times New Roman" w:hAnsi="Times New Roman" w:cs="Times New Roman"/>
          <w:i/>
          <w:color w:val="000000" w:themeColor="text1"/>
          <w:sz w:val="28"/>
          <w:szCs w:val="28"/>
          <w:u w:val="single"/>
        </w:rPr>
        <w:t>І.</w:t>
      </w:r>
      <w:r w:rsidRPr="00CC7883">
        <w:rPr>
          <w:rFonts w:ascii="Times New Roman" w:hAnsi="Times New Roman" w:cs="Times New Roman"/>
          <w:i/>
          <w:color w:val="000000" w:themeColor="text1"/>
          <w:sz w:val="28"/>
          <w:szCs w:val="28"/>
          <w:u w:val="single"/>
        </w:rPr>
        <w:tab/>
        <w:t xml:space="preserve">Передадаптація в умовах </w:t>
      </w:r>
      <w:r w:rsidRPr="00CC7883">
        <w:rPr>
          <w:rFonts w:ascii="Times New Roman" w:hAnsi="Times New Roman" w:cs="Times New Roman"/>
          <w:i/>
          <w:iCs/>
          <w:color w:val="000000" w:themeColor="text1"/>
          <w:sz w:val="28"/>
          <w:szCs w:val="28"/>
          <w:u w:val="single"/>
        </w:rPr>
        <w:t>in</w:t>
      </w:r>
      <w:r w:rsidR="001221F9" w:rsidRPr="00CC7883">
        <w:rPr>
          <w:rFonts w:ascii="Times New Roman" w:hAnsi="Times New Roman" w:cs="Times New Roman"/>
          <w:i/>
          <w:iCs/>
          <w:color w:val="000000" w:themeColor="text1"/>
          <w:sz w:val="28"/>
          <w:szCs w:val="28"/>
          <w:u w:val="single"/>
        </w:rPr>
        <w:t> </w:t>
      </w:r>
      <w:r w:rsidRPr="00CC7883">
        <w:rPr>
          <w:rFonts w:ascii="Times New Roman" w:hAnsi="Times New Roman" w:cs="Times New Roman"/>
          <w:i/>
          <w:iCs/>
          <w:color w:val="000000" w:themeColor="text1"/>
          <w:sz w:val="28"/>
          <w:szCs w:val="28"/>
          <w:u w:val="single"/>
        </w:rPr>
        <w:t>vitro (етапи живцювання та укорінення)</w:t>
      </w:r>
    </w:p>
    <w:p w:rsidR="00DC052E" w:rsidRPr="00CC7883" w:rsidRDefault="00DC052E"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На цьому етапі рекомендовано застосовувати поживні середовища зі структурованою основою. Найбільш ефективними були модифікації поживного середовища MS</w:t>
      </w:r>
      <w:r w:rsidR="002F2723"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із додаванням агроперліту (</w:t>
      </w:r>
      <w:r w:rsidRPr="00CC7883">
        <w:rPr>
          <w:rFonts w:ascii="Times New Roman" w:hAnsi="Times New Roman" w:cs="Times New Roman"/>
          <w:bCs/>
          <w:color w:val="000000" w:themeColor="text1"/>
          <w:sz w:val="28"/>
          <w:szCs w:val="28"/>
        </w:rPr>
        <w:t>1:1</w:t>
      </w:r>
      <w:r w:rsidRPr="00CC7883">
        <w:rPr>
          <w:rFonts w:ascii="Times New Roman" w:hAnsi="Times New Roman" w:cs="Times New Roman"/>
          <w:color w:val="000000" w:themeColor="text1"/>
          <w:sz w:val="28"/>
          <w:szCs w:val="28"/>
        </w:rPr>
        <w:t>), вермикуліту (1:1) або суміші агроперліт + вермикуліт (1:1:1) із меншою концентрацією фітогормонів (0,3 мг/л ІОК, 0,2 мг/л 6-БАП).</w:t>
      </w:r>
    </w:p>
    <w:p w:rsidR="00DC052E" w:rsidRPr="00CC7883" w:rsidRDefault="00DC052E" w:rsidP="00047411">
      <w:pPr>
        <w:widowControl w:val="0"/>
        <w:spacing w:after="0" w:line="360" w:lineRule="auto"/>
        <w:jc w:val="both"/>
        <w:rPr>
          <w:rFonts w:ascii="Times New Roman" w:hAnsi="Times New Roman" w:cs="Times New Roman"/>
          <w:i/>
          <w:color w:val="000000" w:themeColor="text1"/>
          <w:sz w:val="28"/>
          <w:szCs w:val="28"/>
        </w:rPr>
      </w:pPr>
      <w:r w:rsidRPr="00CC7883">
        <w:rPr>
          <w:rFonts w:ascii="Times New Roman" w:hAnsi="Times New Roman" w:cs="Times New Roman"/>
          <w:color w:val="000000" w:themeColor="text1"/>
          <w:sz w:val="28"/>
          <w:szCs w:val="28"/>
        </w:rPr>
        <w:t>1.</w:t>
      </w:r>
      <w:r w:rsidRPr="00CC7883">
        <w:rPr>
          <w:rFonts w:ascii="Times New Roman" w:hAnsi="Times New Roman" w:cs="Times New Roman"/>
          <w:color w:val="000000" w:themeColor="text1"/>
          <w:sz w:val="28"/>
          <w:szCs w:val="28"/>
        </w:rPr>
        <w:tab/>
      </w:r>
      <w:r w:rsidRPr="00CC7883">
        <w:rPr>
          <w:rFonts w:ascii="Times New Roman" w:hAnsi="Times New Roman" w:cs="Times New Roman"/>
          <w:i/>
          <w:color w:val="000000" w:themeColor="text1"/>
          <w:sz w:val="28"/>
          <w:szCs w:val="28"/>
        </w:rPr>
        <w:t>Приготування поживного середовища на основі агроперліту:</w:t>
      </w:r>
    </w:p>
    <w:p w:rsidR="00DC052E" w:rsidRPr="00CC7883" w:rsidRDefault="00DC052E" w:rsidP="00047411">
      <w:pPr>
        <w:pStyle w:val="a7"/>
        <w:widowControl w:val="0"/>
        <w:numPr>
          <w:ilvl w:val="0"/>
          <w:numId w:val="30"/>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основа – поживне середовище MS із половинним вмістом макросолей;</w:t>
      </w:r>
    </w:p>
    <w:p w:rsidR="00DC052E" w:rsidRPr="00CC7883" w:rsidRDefault="00DC052E" w:rsidP="00047411">
      <w:pPr>
        <w:pStyle w:val="a7"/>
        <w:widowControl w:val="0"/>
        <w:numPr>
          <w:ilvl w:val="0"/>
          <w:numId w:val="30"/>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стерильний агроперліт попередньо розсипають у стерильні культуральні ємності у кількості ~ 0,8 г;</w:t>
      </w:r>
    </w:p>
    <w:p w:rsidR="00DC052E" w:rsidRPr="00CC7883" w:rsidRDefault="00DC052E" w:rsidP="00047411">
      <w:pPr>
        <w:pStyle w:val="a7"/>
        <w:widowControl w:val="0"/>
        <w:numPr>
          <w:ilvl w:val="0"/>
          <w:numId w:val="30"/>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приготовлене поживне середовище MS (ще рідке) заливають у ємності з агроперлітом у кількості 20–25 мл;</w:t>
      </w:r>
    </w:p>
    <w:p w:rsidR="00DC052E" w:rsidRPr="00CC7883" w:rsidRDefault="00DC052E" w:rsidP="00047411">
      <w:pPr>
        <w:pStyle w:val="a7"/>
        <w:widowControl w:val="0"/>
        <w:numPr>
          <w:ilvl w:val="0"/>
          <w:numId w:val="30"/>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ємності закривають фольгою і стерилізують в автоклаві;</w:t>
      </w:r>
    </w:p>
    <w:p w:rsidR="00DC052E" w:rsidRPr="00CC7883" w:rsidRDefault="00DC052E" w:rsidP="00047411">
      <w:pPr>
        <w:pStyle w:val="a7"/>
        <w:widowControl w:val="0"/>
        <w:numPr>
          <w:ilvl w:val="0"/>
          <w:numId w:val="30"/>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автоклавування здійснюють при тиску 1 атм, температурі 121 °С упродовж 15 хв;</w:t>
      </w:r>
    </w:p>
    <w:p w:rsidR="00DC052E" w:rsidRPr="00CC7883" w:rsidRDefault="00DC052E" w:rsidP="00047411">
      <w:pPr>
        <w:pStyle w:val="a7"/>
        <w:widowControl w:val="0"/>
        <w:numPr>
          <w:ilvl w:val="0"/>
          <w:numId w:val="30"/>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після завершення стерилізації шляхом легкого струшування ємностей із поживним середовищем досягають рівномірного розподілу агроперліту в об’ємі поживного середовища;</w:t>
      </w:r>
    </w:p>
    <w:p w:rsidR="00DC052E" w:rsidRPr="00CC7883" w:rsidRDefault="00DC052E" w:rsidP="00047411">
      <w:pPr>
        <w:pStyle w:val="a7"/>
        <w:widowControl w:val="0"/>
        <w:numPr>
          <w:ilvl w:val="0"/>
          <w:numId w:val="30"/>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охолодження та стабілізація структури середовища відбуваються протягом 2–3 год.</w:t>
      </w:r>
    </w:p>
    <w:p w:rsidR="00DC052E" w:rsidRPr="00CC7883" w:rsidRDefault="00DC052E"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w:t>
      </w:r>
      <w:r w:rsidRPr="00CC7883">
        <w:rPr>
          <w:rFonts w:ascii="Times New Roman" w:hAnsi="Times New Roman" w:cs="Times New Roman"/>
          <w:color w:val="000000" w:themeColor="text1"/>
          <w:sz w:val="28"/>
          <w:szCs w:val="28"/>
        </w:rPr>
        <w:tab/>
      </w:r>
      <w:r w:rsidRPr="00CC7883">
        <w:rPr>
          <w:rFonts w:ascii="Times New Roman" w:hAnsi="Times New Roman" w:cs="Times New Roman"/>
          <w:i/>
          <w:color w:val="000000" w:themeColor="text1"/>
          <w:sz w:val="28"/>
          <w:szCs w:val="28"/>
        </w:rPr>
        <w:t>Приготування поживного середовища на основі вермикуліту:</w:t>
      </w:r>
    </w:p>
    <w:p w:rsidR="00DC052E" w:rsidRPr="00CC7883" w:rsidRDefault="00DC052E" w:rsidP="00047411">
      <w:pPr>
        <w:pStyle w:val="a7"/>
        <w:widowControl w:val="0"/>
        <w:numPr>
          <w:ilvl w:val="1"/>
          <w:numId w:val="31"/>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усі технологічні етапи виконують аналогічно варіанту з агроперлітом, за винятком того, що як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hAnsi="Times New Roman" w:cs="Times New Roman"/>
          <w:color w:val="000000" w:themeColor="text1"/>
          <w:sz w:val="28"/>
          <w:szCs w:val="28"/>
        </w:rPr>
        <w:t xml:space="preserve">ий компонент використовують </w:t>
      </w:r>
      <w:r w:rsidRPr="00CC7883">
        <w:rPr>
          <w:rFonts w:ascii="Times New Roman" w:hAnsi="Times New Roman" w:cs="Times New Roman"/>
          <w:color w:val="000000" w:themeColor="text1"/>
          <w:sz w:val="28"/>
          <w:szCs w:val="28"/>
        </w:rPr>
        <w:lastRenderedPageBreak/>
        <w:t>вермикуліт, який попередньо розсипають у культуральні ємності у кількості ~1,5</w:t>
      </w:r>
      <w:r w:rsidR="00397DD9"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г.</w:t>
      </w:r>
    </w:p>
    <w:p w:rsidR="00DC052E" w:rsidRPr="00CC7883" w:rsidRDefault="00DC052E"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r w:rsidRPr="00CC7883">
        <w:rPr>
          <w:rFonts w:ascii="Times New Roman" w:hAnsi="Times New Roman" w:cs="Times New Roman"/>
          <w:color w:val="000000" w:themeColor="text1"/>
          <w:sz w:val="28"/>
          <w:szCs w:val="28"/>
        </w:rPr>
        <w:tab/>
      </w:r>
      <w:r w:rsidRPr="00CC7883">
        <w:rPr>
          <w:rFonts w:ascii="Times New Roman" w:hAnsi="Times New Roman" w:cs="Times New Roman"/>
          <w:i/>
          <w:color w:val="000000" w:themeColor="text1"/>
          <w:sz w:val="28"/>
          <w:szCs w:val="28"/>
        </w:rPr>
        <w:t>Приготування поживного середовища на основі суміші агроперліт + вермикуліт:</w:t>
      </w:r>
    </w:p>
    <w:p w:rsidR="00DC052E" w:rsidRPr="00CC7883" w:rsidRDefault="00DC052E"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 xml:space="preserve">усі технологічні етапи виконують аналогічно варіанту з агроперлітом, за винятком того, що як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hAnsi="Times New Roman" w:cs="Times New Roman"/>
          <w:color w:val="000000" w:themeColor="text1"/>
          <w:sz w:val="28"/>
          <w:szCs w:val="28"/>
        </w:rPr>
        <w:t>ий компонент використовують суміш агроперліт + вермикуліт, яку попередньо засипають у культуральні ємності у кількості 0,4 г (агроперліт) і 0,7 г (вермикуліт).</w:t>
      </w:r>
    </w:p>
    <w:p w:rsidR="00DC052E" w:rsidRPr="00CC7883" w:rsidRDefault="00DC052E" w:rsidP="00047411">
      <w:pPr>
        <w:widowControl w:val="0"/>
        <w:spacing w:after="0" w:line="360" w:lineRule="auto"/>
        <w:jc w:val="both"/>
        <w:rPr>
          <w:rFonts w:ascii="Times New Roman" w:hAnsi="Times New Roman" w:cs="Times New Roman"/>
          <w:i/>
          <w:color w:val="000000" w:themeColor="text1"/>
          <w:sz w:val="28"/>
          <w:szCs w:val="28"/>
        </w:rPr>
      </w:pPr>
      <w:r w:rsidRPr="00CC7883">
        <w:rPr>
          <w:rFonts w:ascii="Times New Roman" w:hAnsi="Times New Roman" w:cs="Times New Roman"/>
          <w:color w:val="000000" w:themeColor="text1"/>
          <w:sz w:val="28"/>
          <w:szCs w:val="28"/>
        </w:rPr>
        <w:t>4.</w:t>
      </w:r>
      <w:r w:rsidRPr="00CC7883">
        <w:rPr>
          <w:rFonts w:ascii="Times New Roman" w:hAnsi="Times New Roman" w:cs="Times New Roman"/>
          <w:color w:val="000000" w:themeColor="text1"/>
          <w:sz w:val="28"/>
          <w:szCs w:val="28"/>
        </w:rPr>
        <w:tab/>
      </w:r>
      <w:r w:rsidRPr="00CC7883">
        <w:rPr>
          <w:rFonts w:ascii="Times New Roman" w:hAnsi="Times New Roman" w:cs="Times New Roman"/>
          <w:i/>
          <w:color w:val="000000" w:themeColor="text1"/>
          <w:sz w:val="28"/>
          <w:szCs w:val="28"/>
        </w:rPr>
        <w:t>Поживні середовища на основі мінеральних субстратів (</w:t>
      </w:r>
      <w:r w:rsidR="00D5362B">
        <w:rPr>
          <w:rFonts w:ascii="Times New Roman" w:hAnsi="Times New Roman" w:cs="Times New Roman"/>
          <w:i/>
          <w:color w:val="000000" w:themeColor="text1"/>
          <w:sz w:val="28"/>
          <w:szCs w:val="28"/>
        </w:rPr>
        <w:t>як заміна</w:t>
      </w:r>
      <w:r w:rsidRPr="00CC7883">
        <w:rPr>
          <w:rFonts w:ascii="Times New Roman" w:hAnsi="Times New Roman" w:cs="Times New Roman"/>
          <w:i/>
          <w:color w:val="000000" w:themeColor="text1"/>
          <w:sz w:val="28"/>
          <w:szCs w:val="28"/>
        </w:rPr>
        <w:t xml:space="preserve"> агаризованого поживного середовища).</w:t>
      </w:r>
    </w:p>
    <w:p w:rsidR="00DC052E" w:rsidRPr="00CC7883" w:rsidRDefault="00DC052E" w:rsidP="00047411">
      <w:pPr>
        <w:pStyle w:val="a7"/>
        <w:widowControl w:val="0"/>
        <w:numPr>
          <w:ilvl w:val="1"/>
          <w:numId w:val="31"/>
        </w:numPr>
        <w:spacing w:after="0" w:line="360" w:lineRule="auto"/>
        <w:ind w:left="0" w:firstLine="0"/>
        <w:jc w:val="both"/>
        <w:rPr>
          <w:rFonts w:ascii="Times New Roman" w:hAnsi="Times New Roman" w:cs="Times New Roman"/>
          <w:i/>
          <w:color w:val="000000" w:themeColor="text1"/>
          <w:sz w:val="28"/>
          <w:szCs w:val="28"/>
        </w:rPr>
      </w:pPr>
      <w:r w:rsidRPr="00CC7883">
        <w:rPr>
          <w:rFonts w:ascii="Times New Roman" w:hAnsi="Times New Roman" w:cs="Times New Roman"/>
          <w:i/>
          <w:color w:val="000000" w:themeColor="text1"/>
          <w:sz w:val="28"/>
          <w:szCs w:val="28"/>
        </w:rPr>
        <w:t>Приготування мінеральних поживних субстратів на основі агроперліту:</w:t>
      </w:r>
    </w:p>
    <w:p w:rsidR="00DC052E" w:rsidRPr="00CC7883" w:rsidRDefault="00DC052E" w:rsidP="00047411">
      <w:pPr>
        <w:pStyle w:val="a7"/>
        <w:widowControl w:val="0"/>
        <w:numPr>
          <w:ilvl w:val="0"/>
          <w:numId w:val="29"/>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культуральні ємності засипають мінеральний субстрат у кількості 6,0 г;</w:t>
      </w:r>
    </w:p>
    <w:p w:rsidR="00DC052E" w:rsidRPr="00CC7883" w:rsidRDefault="00DC052E" w:rsidP="00047411">
      <w:pPr>
        <w:pStyle w:val="a7"/>
        <w:widowControl w:val="0"/>
        <w:numPr>
          <w:ilvl w:val="0"/>
          <w:numId w:val="29"/>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color w:val="000000" w:themeColor="text1"/>
          <w:sz w:val="28"/>
          <w:szCs w:val="28"/>
        </w:rPr>
        <w:t xml:space="preserve">ємності закривають кришками та стерилізують в автоклаві при тиску 1 атм і температурі 121 °С протягом </w:t>
      </w:r>
      <w:r w:rsidRPr="00CC7883">
        <w:rPr>
          <w:rFonts w:ascii="Times New Roman" w:hAnsi="Times New Roman" w:cs="Times New Roman"/>
          <w:bCs/>
          <w:color w:val="000000" w:themeColor="text1"/>
          <w:sz w:val="28"/>
          <w:szCs w:val="28"/>
        </w:rPr>
        <w:t>45 хв.</w:t>
      </w:r>
    </w:p>
    <w:p w:rsidR="00DC052E" w:rsidRPr="00CC7883" w:rsidRDefault="00DC052E" w:rsidP="00047411">
      <w:pPr>
        <w:pStyle w:val="a7"/>
        <w:widowControl w:val="0"/>
        <w:numPr>
          <w:ilvl w:val="0"/>
          <w:numId w:val="29"/>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готують</w:t>
      </w:r>
      <w:r w:rsidR="00397DD9"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поживний розчин за MS без агару та сахарози, автоклавують;</w:t>
      </w:r>
    </w:p>
    <w:p w:rsidR="00DC052E" w:rsidRPr="00CC7883" w:rsidRDefault="00DC052E" w:rsidP="00047411">
      <w:pPr>
        <w:pStyle w:val="a7"/>
        <w:widowControl w:val="0"/>
        <w:numPr>
          <w:ilvl w:val="0"/>
          <w:numId w:val="29"/>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перед висаджуванням експлантів субстрат рівномірно зволожу</w:t>
      </w:r>
      <w:r w:rsidR="00960098">
        <w:rPr>
          <w:rFonts w:ascii="Times New Roman" w:hAnsi="Times New Roman" w:cs="Times New Roman"/>
          <w:color w:val="000000" w:themeColor="text1"/>
          <w:sz w:val="28"/>
          <w:szCs w:val="28"/>
        </w:rPr>
        <w:t>ють</w:t>
      </w:r>
      <w:r w:rsidRPr="00CC7883">
        <w:rPr>
          <w:rFonts w:ascii="Times New Roman" w:hAnsi="Times New Roman" w:cs="Times New Roman"/>
          <w:color w:val="000000" w:themeColor="text1"/>
          <w:sz w:val="28"/>
          <w:szCs w:val="28"/>
        </w:rPr>
        <w:t xml:space="preserve"> поживним розчином.</w:t>
      </w:r>
    </w:p>
    <w:p w:rsidR="00DC052E" w:rsidRPr="00CC7883" w:rsidRDefault="00DC052E" w:rsidP="00047411">
      <w:pPr>
        <w:pStyle w:val="a7"/>
        <w:widowControl w:val="0"/>
        <w:numPr>
          <w:ilvl w:val="0"/>
          <w:numId w:val="32"/>
        </w:numPr>
        <w:spacing w:after="0" w:line="360" w:lineRule="auto"/>
        <w:ind w:left="0" w:firstLine="0"/>
        <w:jc w:val="both"/>
        <w:rPr>
          <w:rFonts w:ascii="Times New Roman" w:hAnsi="Times New Roman" w:cs="Times New Roman"/>
          <w:i/>
          <w:color w:val="000000" w:themeColor="text1"/>
          <w:sz w:val="28"/>
          <w:szCs w:val="28"/>
        </w:rPr>
      </w:pPr>
      <w:r w:rsidRPr="00CC7883">
        <w:rPr>
          <w:rFonts w:ascii="Times New Roman" w:hAnsi="Times New Roman" w:cs="Times New Roman"/>
          <w:i/>
          <w:color w:val="000000" w:themeColor="text1"/>
          <w:sz w:val="28"/>
          <w:szCs w:val="28"/>
        </w:rPr>
        <w:t>Приготування мінеральних поживних субстратів на основі вермикуліту:</w:t>
      </w:r>
    </w:p>
    <w:p w:rsidR="00DC052E" w:rsidRPr="00CC7883" w:rsidRDefault="00DC052E" w:rsidP="00047411">
      <w:pPr>
        <w:pStyle w:val="a7"/>
        <w:widowControl w:val="0"/>
        <w:spacing w:after="0" w:line="360" w:lineRule="auto"/>
        <w:ind w:left="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усі технологічні етапи виконують аналогічно варіанту з агроперлітом, за винятком того, що як мінеральний субстрат використовують вермикуліт, який попередньо засипають у культуральні ємності у кількості 15,0 г.</w:t>
      </w:r>
    </w:p>
    <w:p w:rsidR="00DC052E" w:rsidRPr="00CC7883" w:rsidRDefault="00DC052E" w:rsidP="00047411">
      <w:pPr>
        <w:pStyle w:val="a7"/>
        <w:widowControl w:val="0"/>
        <w:numPr>
          <w:ilvl w:val="0"/>
          <w:numId w:val="32"/>
        </w:numPr>
        <w:spacing w:after="0" w:line="360" w:lineRule="auto"/>
        <w:ind w:left="0" w:firstLine="0"/>
        <w:jc w:val="both"/>
        <w:rPr>
          <w:rFonts w:ascii="Times New Roman" w:hAnsi="Times New Roman" w:cs="Times New Roman"/>
          <w:i/>
          <w:color w:val="000000" w:themeColor="text1"/>
          <w:sz w:val="28"/>
          <w:szCs w:val="28"/>
        </w:rPr>
      </w:pPr>
      <w:r w:rsidRPr="00CC7883">
        <w:rPr>
          <w:rFonts w:ascii="Times New Roman" w:hAnsi="Times New Roman" w:cs="Times New Roman"/>
          <w:i/>
          <w:color w:val="000000" w:themeColor="text1"/>
          <w:sz w:val="28"/>
          <w:szCs w:val="28"/>
        </w:rPr>
        <w:t>Приготування мінеральних поживних субстратів на основі суміші мінеральних субстратів агроперліт + вермикуліт:</w:t>
      </w:r>
    </w:p>
    <w:p w:rsidR="00DC052E" w:rsidRPr="00CC7883" w:rsidRDefault="00DC052E" w:rsidP="00047411">
      <w:pPr>
        <w:widowControl w:val="0"/>
        <w:spacing w:after="0" w:line="360" w:lineRule="auto"/>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ab/>
        <w:t xml:space="preserve">усі технологічні етапи виконують аналогічно варіанту з агроперлітом, за винятком того, що як </w:t>
      </w:r>
      <w:r w:rsidR="004C5062" w:rsidRPr="00CC7883">
        <w:rPr>
          <w:rFonts w:ascii="Times New Roman" w:hAnsi="Times New Roman" w:cs="Times New Roman"/>
          <w:color w:val="000000" w:themeColor="text1"/>
          <w:sz w:val="28"/>
          <w:szCs w:val="28"/>
        </w:rPr>
        <w:t>стр</w:t>
      </w:r>
      <w:r w:rsidR="004C5062">
        <w:rPr>
          <w:rFonts w:ascii="Times New Roman" w:hAnsi="Times New Roman" w:cs="Times New Roman"/>
          <w:color w:val="000000" w:themeColor="text1"/>
          <w:sz w:val="28"/>
          <w:szCs w:val="28"/>
        </w:rPr>
        <w:t>уктуроутворювальн</w:t>
      </w:r>
      <w:r w:rsidRPr="00CC7883">
        <w:rPr>
          <w:rFonts w:ascii="Times New Roman" w:hAnsi="Times New Roman" w:cs="Times New Roman"/>
          <w:color w:val="000000" w:themeColor="text1"/>
          <w:sz w:val="28"/>
          <w:szCs w:val="28"/>
        </w:rPr>
        <w:t>ий компонент використовують суміш агроперліт + вермикуліт, яку попередньо засипають у культуральні ємності у кількості 3,0 г (агроперліт) і 7,5 г (вермикуліт).</w:t>
      </w:r>
    </w:p>
    <w:p w:rsidR="00DC052E" w:rsidRPr="00CC7883" w:rsidRDefault="00DC052E" w:rsidP="00047411">
      <w:pPr>
        <w:widowControl w:val="0"/>
        <w:spacing w:after="0" w:line="360" w:lineRule="auto"/>
        <w:ind w:firstLine="720"/>
        <w:jc w:val="both"/>
        <w:rPr>
          <w:rFonts w:ascii="Times New Roman" w:hAnsi="Times New Roman" w:cs="Times New Roman"/>
          <w:color w:val="000000" w:themeColor="text1"/>
          <w:sz w:val="28"/>
          <w:szCs w:val="28"/>
          <w:u w:val="single"/>
        </w:rPr>
      </w:pPr>
      <w:r w:rsidRPr="00CC7883">
        <w:rPr>
          <w:rFonts w:ascii="Times New Roman" w:hAnsi="Times New Roman" w:cs="Times New Roman"/>
          <w:color w:val="000000" w:themeColor="text1"/>
          <w:sz w:val="28"/>
          <w:szCs w:val="28"/>
          <w:u w:val="single"/>
        </w:rPr>
        <w:lastRenderedPageBreak/>
        <w:t xml:space="preserve">ІІ. </w:t>
      </w:r>
      <w:r w:rsidRPr="00CC7883">
        <w:rPr>
          <w:rFonts w:ascii="Times New Roman" w:hAnsi="Times New Roman" w:cs="Times New Roman"/>
          <w:i/>
          <w:iCs/>
          <w:color w:val="000000" w:themeColor="text1"/>
          <w:sz w:val="28"/>
          <w:szCs w:val="28"/>
          <w:u w:val="single"/>
        </w:rPr>
        <w:t>Адаптація мікроклонів винограду</w:t>
      </w:r>
      <w:r w:rsidR="00397DD9" w:rsidRPr="00CC7883">
        <w:rPr>
          <w:rFonts w:ascii="Times New Roman" w:hAnsi="Times New Roman" w:cs="Times New Roman"/>
          <w:i/>
          <w:iCs/>
          <w:color w:val="000000" w:themeColor="text1"/>
          <w:sz w:val="28"/>
          <w:szCs w:val="28"/>
          <w:u w:val="single"/>
        </w:rPr>
        <w:t xml:space="preserve"> </w:t>
      </w:r>
      <w:r w:rsidRPr="00CC7883">
        <w:rPr>
          <w:rFonts w:ascii="Times New Roman" w:hAnsi="Times New Roman" w:cs="Times New Roman"/>
          <w:i/>
          <w:iCs/>
          <w:color w:val="000000" w:themeColor="text1"/>
          <w:sz w:val="28"/>
          <w:szCs w:val="28"/>
          <w:u w:val="single"/>
        </w:rPr>
        <w:t>в умовах in</w:t>
      </w:r>
      <w:r w:rsidR="001221F9" w:rsidRPr="00CC7883">
        <w:rPr>
          <w:rFonts w:ascii="Times New Roman" w:hAnsi="Times New Roman" w:cs="Times New Roman"/>
          <w:i/>
          <w:iCs/>
          <w:color w:val="000000" w:themeColor="text1"/>
          <w:sz w:val="28"/>
          <w:szCs w:val="28"/>
          <w:u w:val="single"/>
        </w:rPr>
        <w:t> </w:t>
      </w:r>
      <w:r w:rsidRPr="00CC7883">
        <w:rPr>
          <w:rFonts w:ascii="Times New Roman" w:hAnsi="Times New Roman" w:cs="Times New Roman"/>
          <w:i/>
          <w:iCs/>
          <w:color w:val="000000" w:themeColor="text1"/>
          <w:sz w:val="28"/>
          <w:szCs w:val="28"/>
          <w:u w:val="single"/>
        </w:rPr>
        <w:t>vivo</w:t>
      </w:r>
      <w:r w:rsidRPr="00CC7883">
        <w:rPr>
          <w:rFonts w:ascii="Times New Roman" w:hAnsi="Times New Roman" w:cs="Times New Roman"/>
          <w:color w:val="000000" w:themeColor="text1"/>
          <w:sz w:val="28"/>
          <w:szCs w:val="28"/>
          <w:u w:val="single"/>
        </w:rPr>
        <w:t xml:space="preserve">. </w:t>
      </w:r>
    </w:p>
    <w:p w:rsidR="00DC052E" w:rsidRPr="00CC7883" w:rsidRDefault="00DC052E"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Для перенесення мікроклонів винограду, які </w:t>
      </w:r>
      <w:r w:rsidRPr="00CC7883">
        <w:rPr>
          <w:rFonts w:ascii="Times New Roman" w:hAnsi="Times New Roman" w:cs="Times New Roman"/>
          <w:bCs/>
          <w:color w:val="000000" w:themeColor="text1"/>
          <w:sz w:val="28"/>
          <w:szCs w:val="28"/>
        </w:rPr>
        <w:t xml:space="preserve">культивували на вищенаведених поживних середовищах </w:t>
      </w:r>
      <w:r w:rsidR="001221F9" w:rsidRPr="00CC7883">
        <w:rPr>
          <w:rFonts w:ascii="Times New Roman" w:hAnsi="Times New Roman" w:cs="Times New Roman"/>
          <w:i/>
          <w:iCs/>
          <w:color w:val="000000" w:themeColor="text1"/>
          <w:sz w:val="28"/>
          <w:szCs w:val="28"/>
        </w:rPr>
        <w:t>in vitro</w:t>
      </w:r>
      <w:r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 xml:space="preserve">в умови </w:t>
      </w:r>
      <w:r w:rsidRPr="00CC7883">
        <w:rPr>
          <w:rFonts w:ascii="Times New Roman" w:hAnsi="Times New Roman" w:cs="Times New Roman"/>
          <w:i/>
          <w:color w:val="000000" w:themeColor="text1"/>
          <w:sz w:val="28"/>
          <w:szCs w:val="28"/>
        </w:rPr>
        <w:t>in</w:t>
      </w:r>
      <w:r w:rsidR="001221F9"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vivo</w:t>
      </w:r>
      <w:r w:rsidR="001221F9"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рекомендовано провести передадаптацію (умови культурального боксу та адаптаційної кімнати):</w:t>
      </w:r>
    </w:p>
    <w:p w:rsidR="00DC052E" w:rsidRPr="00CC7883" w:rsidRDefault="00DC052E" w:rsidP="00047411">
      <w:pPr>
        <w:pStyle w:val="a7"/>
        <w:widowControl w:val="0"/>
        <w:numPr>
          <w:ilvl w:val="0"/>
          <w:numId w:val="33"/>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у стерильних умовах поверхню поживного середовища засипають приблизно 1,5–2,0 г стерильного агроперліту, після чого кришечки закривають та витримують 24 год для зниження вологості у культуральних ємностях; </w:t>
      </w:r>
    </w:p>
    <w:p w:rsidR="00DC052E" w:rsidRPr="00CC7883" w:rsidRDefault="00DC052E" w:rsidP="00047411">
      <w:pPr>
        <w:pStyle w:val="a7"/>
        <w:widowControl w:val="0"/>
        <w:numPr>
          <w:ilvl w:val="0"/>
          <w:numId w:val="33"/>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 xml:space="preserve">надалі проводять щоденне, поступове відкривання кришечок: у перші 4 доби відкривають кришечки на 30 хв (перша доба), 1 год (друга доба), 2 год (третя доба) та 3 год (четверта доба) (1 раз на добу); у наступні </w:t>
      </w:r>
      <w:r w:rsidR="00E02189">
        <w:rPr>
          <w:rFonts w:ascii="Times New Roman" w:hAnsi="Times New Roman" w:cs="Times New Roman"/>
          <w:color w:val="000000" w:themeColor="text1"/>
          <w:sz w:val="28"/>
          <w:szCs w:val="28"/>
        </w:rPr>
        <w:t>три</w:t>
      </w:r>
      <w:r w:rsidRPr="00CC7883">
        <w:rPr>
          <w:rFonts w:ascii="Times New Roman" w:hAnsi="Times New Roman" w:cs="Times New Roman"/>
          <w:color w:val="000000" w:themeColor="text1"/>
          <w:sz w:val="28"/>
          <w:szCs w:val="28"/>
        </w:rPr>
        <w:t xml:space="preserve"> доби збільшують час відкривання кришечок до 7 год/добу;</w:t>
      </w:r>
    </w:p>
    <w:p w:rsidR="00DC052E" w:rsidRPr="00CC7883" w:rsidRDefault="00DC052E" w:rsidP="00047411">
      <w:pPr>
        <w:pStyle w:val="a7"/>
        <w:widowControl w:val="0"/>
        <w:numPr>
          <w:ilvl w:val="0"/>
          <w:numId w:val="33"/>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після семи діб кришечки знімають повністю і додатково вносять у ємності ще приблизно 1,5–2,0 г агроперліту та залишають їх у відкритому стані ще на 7 діб;</w:t>
      </w:r>
    </w:p>
    <w:p w:rsidR="00DC052E" w:rsidRPr="00CC7883" w:rsidRDefault="00DC052E" w:rsidP="00047411">
      <w:pPr>
        <w:pStyle w:val="a7"/>
        <w:widowControl w:val="0"/>
        <w:numPr>
          <w:ilvl w:val="0"/>
          <w:numId w:val="33"/>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перед висаджуванням мікроклонів у суміш агроперліт + вермикуліт проводять ретельне очищення коренів від залишків поживного середовища;</w:t>
      </w:r>
    </w:p>
    <w:p w:rsidR="00DC052E" w:rsidRPr="00CC7883" w:rsidRDefault="00DC052E" w:rsidP="00047411">
      <w:pPr>
        <w:pStyle w:val="a7"/>
        <w:widowControl w:val="0"/>
        <w:numPr>
          <w:ilvl w:val="0"/>
          <w:numId w:val="33"/>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лунки касети заповнюють субстратами, і висаджують мікроклони, після чого проводять полив дистильованою водою;</w:t>
      </w:r>
    </w:p>
    <w:p w:rsidR="00DC052E" w:rsidRPr="00CC7883" w:rsidRDefault="00DC052E" w:rsidP="00047411">
      <w:pPr>
        <w:pStyle w:val="a7"/>
        <w:widowControl w:val="0"/>
        <w:numPr>
          <w:ilvl w:val="0"/>
          <w:numId w:val="33"/>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після посадки рекомендовано обробити мікроклони фунгіцидним препаратом типу Хорус;</w:t>
      </w:r>
    </w:p>
    <w:p w:rsidR="00DC052E" w:rsidRPr="00CC7883" w:rsidRDefault="00DC052E" w:rsidP="00047411">
      <w:pPr>
        <w:pStyle w:val="a7"/>
        <w:widowControl w:val="0"/>
        <w:numPr>
          <w:ilvl w:val="0"/>
          <w:numId w:val="33"/>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касети з висадженими рослинами розміщують в</w:t>
      </w:r>
      <w:r w:rsidR="00397DD9" w:rsidRPr="00CC7883">
        <w:rPr>
          <w:rFonts w:ascii="Times New Roman" w:hAnsi="Times New Roman" w:cs="Times New Roman"/>
          <w:color w:val="000000" w:themeColor="text1"/>
          <w:sz w:val="28"/>
          <w:szCs w:val="28"/>
        </w:rPr>
        <w:t xml:space="preserve"> </w:t>
      </w:r>
      <w:r w:rsidRPr="00CC7883">
        <w:rPr>
          <w:rFonts w:ascii="Times New Roman" w:hAnsi="Times New Roman" w:cs="Times New Roman"/>
          <w:color w:val="000000" w:themeColor="text1"/>
          <w:sz w:val="28"/>
          <w:szCs w:val="28"/>
        </w:rPr>
        <w:t>адаптаційній кімнаті та накривають поліетиленовою плівкою для забезпечення високого рівня вологості повітря;</w:t>
      </w:r>
    </w:p>
    <w:p w:rsidR="00DC052E" w:rsidRPr="00CC7883" w:rsidRDefault="00DC052E" w:rsidP="00047411">
      <w:pPr>
        <w:pStyle w:val="a7"/>
        <w:widowControl w:val="0"/>
        <w:numPr>
          <w:ilvl w:val="0"/>
          <w:numId w:val="33"/>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кожні 3–5 діб</w:t>
      </w:r>
      <w:r w:rsidR="00960098">
        <w:rPr>
          <w:rFonts w:ascii="Times New Roman" w:hAnsi="Times New Roman" w:cs="Times New Roman"/>
          <w:color w:val="000000" w:themeColor="text1"/>
          <w:sz w:val="28"/>
          <w:szCs w:val="28"/>
        </w:rPr>
        <w:t>,</w:t>
      </w:r>
      <w:r w:rsidRPr="00CC7883">
        <w:rPr>
          <w:rFonts w:ascii="Times New Roman" w:hAnsi="Times New Roman" w:cs="Times New Roman"/>
          <w:color w:val="000000" w:themeColor="text1"/>
          <w:sz w:val="28"/>
          <w:szCs w:val="28"/>
        </w:rPr>
        <w:t xml:space="preserve"> з урахуванням швидкості поглинання та випаровування води, здійснюють полив;</w:t>
      </w:r>
    </w:p>
    <w:p w:rsidR="00DC052E" w:rsidRPr="00CC7883" w:rsidRDefault="00DC052E" w:rsidP="00047411">
      <w:pPr>
        <w:pStyle w:val="a7"/>
        <w:widowControl w:val="0"/>
        <w:numPr>
          <w:ilvl w:val="0"/>
          <w:numId w:val="33"/>
        </w:numPr>
        <w:spacing w:after="0" w:line="360" w:lineRule="auto"/>
        <w:ind w:left="0" w:firstLine="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у перший день після висаджування у касети та переміщення рослин до адаптаційної кімнати полив проводять розчином MS без сахарози й агару; у подальші дні використовують дистильовану воду.</w:t>
      </w:r>
    </w:p>
    <w:p w:rsidR="00DC052E" w:rsidRPr="00CC7883" w:rsidRDefault="00DC052E" w:rsidP="00047411">
      <w:pPr>
        <w:widowControl w:val="0"/>
        <w:spacing w:after="0" w:line="360" w:lineRule="auto"/>
        <w:ind w:firstLine="720"/>
        <w:jc w:val="both"/>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lastRenderedPageBreak/>
        <w:t xml:space="preserve">Для перенесення мікроклонів винограду, які </w:t>
      </w:r>
      <w:r w:rsidRPr="00CC7883">
        <w:rPr>
          <w:rFonts w:ascii="Times New Roman" w:hAnsi="Times New Roman" w:cs="Times New Roman"/>
          <w:bCs/>
          <w:color w:val="000000" w:themeColor="text1"/>
          <w:sz w:val="28"/>
          <w:szCs w:val="28"/>
        </w:rPr>
        <w:t>культивували на мінеральних поживних субстратах</w:t>
      </w:r>
      <w:r w:rsidR="001221F9" w:rsidRPr="00CC7883">
        <w:rPr>
          <w:rFonts w:ascii="Times New Roman" w:hAnsi="Times New Roman" w:cs="Times New Roman"/>
          <w:i/>
          <w:iCs/>
          <w:color w:val="000000" w:themeColor="text1"/>
          <w:sz w:val="28"/>
          <w:szCs w:val="28"/>
        </w:rPr>
        <w:t xml:space="preserve"> in vitro</w:t>
      </w:r>
      <w:r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color w:val="000000" w:themeColor="text1"/>
          <w:sz w:val="28"/>
          <w:szCs w:val="28"/>
        </w:rPr>
        <w:t xml:space="preserve">в умови </w:t>
      </w:r>
      <w:r w:rsidRPr="00CC7883">
        <w:rPr>
          <w:rFonts w:ascii="Times New Roman" w:hAnsi="Times New Roman" w:cs="Times New Roman"/>
          <w:i/>
          <w:color w:val="000000" w:themeColor="text1"/>
          <w:sz w:val="28"/>
          <w:szCs w:val="28"/>
        </w:rPr>
        <w:t>in</w:t>
      </w:r>
      <w:r w:rsidR="001221F9" w:rsidRPr="00CC7883">
        <w:rPr>
          <w:rFonts w:ascii="Times New Roman" w:hAnsi="Times New Roman" w:cs="Times New Roman"/>
          <w:i/>
          <w:color w:val="000000" w:themeColor="text1"/>
          <w:sz w:val="28"/>
          <w:szCs w:val="28"/>
        </w:rPr>
        <w:t> </w:t>
      </w:r>
      <w:r w:rsidRPr="00CC7883">
        <w:rPr>
          <w:rFonts w:ascii="Times New Roman" w:hAnsi="Times New Roman" w:cs="Times New Roman"/>
          <w:i/>
          <w:color w:val="000000" w:themeColor="text1"/>
          <w:sz w:val="28"/>
          <w:szCs w:val="28"/>
        </w:rPr>
        <w:t>vivo</w:t>
      </w:r>
      <w:r w:rsidR="001221F9" w:rsidRPr="00CC7883">
        <w:rPr>
          <w:rFonts w:ascii="Times New Roman" w:hAnsi="Times New Roman" w:cs="Times New Roman"/>
          <w:i/>
          <w:color w:val="000000" w:themeColor="text1"/>
          <w:sz w:val="28"/>
          <w:szCs w:val="28"/>
        </w:rPr>
        <w:t xml:space="preserve"> </w:t>
      </w:r>
      <w:r w:rsidRPr="00CC7883">
        <w:rPr>
          <w:rFonts w:ascii="Times New Roman" w:hAnsi="Times New Roman" w:cs="Times New Roman"/>
          <w:color w:val="000000" w:themeColor="text1"/>
          <w:sz w:val="28"/>
          <w:szCs w:val="28"/>
        </w:rPr>
        <w:t>рекомендовано провести передадаптацію (умови культурального боксу та адаптаційної кімнати):</w:t>
      </w:r>
    </w:p>
    <w:p w:rsidR="00DC052E" w:rsidRPr="00CC7883" w:rsidRDefault="00DC052E" w:rsidP="00047411">
      <w:pPr>
        <w:pStyle w:val="a7"/>
        <w:widowControl w:val="0"/>
        <w:numPr>
          <w:ilvl w:val="0"/>
          <w:numId w:val="34"/>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проводять поступове відкривання кришечок культуральних єм</w:t>
      </w:r>
      <w:r w:rsidR="008B383E" w:rsidRPr="00CC7883">
        <w:rPr>
          <w:rFonts w:ascii="Times New Roman" w:hAnsi="Times New Roman" w:cs="Times New Roman"/>
          <w:bCs/>
          <w:color w:val="000000" w:themeColor="text1"/>
          <w:sz w:val="28"/>
          <w:szCs w:val="28"/>
        </w:rPr>
        <w:t>н</w:t>
      </w:r>
      <w:r w:rsidRPr="00CC7883">
        <w:rPr>
          <w:rFonts w:ascii="Times New Roman" w:hAnsi="Times New Roman" w:cs="Times New Roman"/>
          <w:bCs/>
          <w:color w:val="000000" w:themeColor="text1"/>
          <w:sz w:val="28"/>
          <w:szCs w:val="28"/>
        </w:rPr>
        <w:t>остей: у перші 4 доби їх відкривають на 30 хв (перша доба), 1 год (друга доба), 2 год (третя доба) та 3 год</w:t>
      </w:r>
      <w:r w:rsidR="008B383E"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bCs/>
          <w:color w:val="000000" w:themeColor="text1"/>
          <w:sz w:val="28"/>
          <w:szCs w:val="28"/>
        </w:rPr>
        <w:t>(четверта доба) (1 раз на добу);</w:t>
      </w:r>
    </w:p>
    <w:p w:rsidR="00DC052E" w:rsidRPr="00CC7883" w:rsidRDefault="00DC052E" w:rsidP="00047411">
      <w:pPr>
        <w:pStyle w:val="a7"/>
        <w:widowControl w:val="0"/>
        <w:numPr>
          <w:ilvl w:val="0"/>
          <w:numId w:val="34"/>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у наступні три доби збільшують тривалість відкривання до 7 год/добу;</w:t>
      </w:r>
    </w:p>
    <w:p w:rsidR="00DC052E" w:rsidRPr="00CC7883" w:rsidRDefault="00DC052E" w:rsidP="00047411">
      <w:pPr>
        <w:pStyle w:val="a7"/>
        <w:widowControl w:val="0"/>
        <w:numPr>
          <w:ilvl w:val="0"/>
          <w:numId w:val="34"/>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після завершення семи діб кришки знімають повністю та залишають єм</w:t>
      </w:r>
      <w:r w:rsidR="00676C7B">
        <w:rPr>
          <w:rFonts w:ascii="Times New Roman" w:hAnsi="Times New Roman" w:cs="Times New Roman"/>
          <w:bCs/>
          <w:color w:val="000000" w:themeColor="text1"/>
          <w:sz w:val="28"/>
          <w:szCs w:val="28"/>
        </w:rPr>
        <w:t>н</w:t>
      </w:r>
      <w:r w:rsidRPr="00CC7883">
        <w:rPr>
          <w:rFonts w:ascii="Times New Roman" w:hAnsi="Times New Roman" w:cs="Times New Roman"/>
          <w:bCs/>
          <w:color w:val="000000" w:themeColor="text1"/>
          <w:sz w:val="28"/>
          <w:szCs w:val="28"/>
        </w:rPr>
        <w:t>ості з рослинами у відкритому стані ще на 7 діб в умовах культурального боксу;</w:t>
      </w:r>
    </w:p>
    <w:p w:rsidR="00DC052E" w:rsidRPr="00CC7883" w:rsidRDefault="00DC052E" w:rsidP="00047411">
      <w:pPr>
        <w:pStyle w:val="a7"/>
        <w:widowControl w:val="0"/>
        <w:numPr>
          <w:ilvl w:val="0"/>
          <w:numId w:val="35"/>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рослини обприскують фунгіцидом типу Хорус;</w:t>
      </w:r>
    </w:p>
    <w:p w:rsidR="00DC052E" w:rsidRPr="00CC7883" w:rsidRDefault="00DC052E" w:rsidP="00047411">
      <w:pPr>
        <w:pStyle w:val="a7"/>
        <w:widowControl w:val="0"/>
        <w:numPr>
          <w:ilvl w:val="0"/>
          <w:numId w:val="35"/>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полив проводять дистильованою водою з інтервалом 1 раз на 3–5 діб;</w:t>
      </w:r>
    </w:p>
    <w:p w:rsidR="00DC052E" w:rsidRPr="00CC7883" w:rsidRDefault="00DC052E" w:rsidP="00047411">
      <w:pPr>
        <w:pStyle w:val="a7"/>
        <w:widowControl w:val="0"/>
        <w:numPr>
          <w:ilvl w:val="0"/>
          <w:numId w:val="35"/>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 xml:space="preserve">мікроклони обережно виймають з мінерального субстрату та очищують кореневу систему від залишків субстратів; </w:t>
      </w:r>
    </w:p>
    <w:p w:rsidR="00DC052E" w:rsidRPr="00CC7883" w:rsidRDefault="00DC052E" w:rsidP="00047411">
      <w:pPr>
        <w:pStyle w:val="a7"/>
        <w:widowControl w:val="0"/>
        <w:numPr>
          <w:ilvl w:val="0"/>
          <w:numId w:val="35"/>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для пересадки використовують пластикові стаканчики (250 мл), які попередньо заповнюють ґрунтосумішшю (ґрунт : пісок : торф’яний субстрат – 1:1:1) і</w:t>
      </w:r>
      <w:r w:rsidR="00C30B8B"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bCs/>
          <w:color w:val="000000" w:themeColor="text1"/>
          <w:sz w:val="28"/>
          <w:szCs w:val="28"/>
        </w:rPr>
        <w:t>висаджують мікроклони;</w:t>
      </w:r>
    </w:p>
    <w:p w:rsidR="00DC052E" w:rsidRPr="00CC7883" w:rsidRDefault="00DC052E" w:rsidP="00047411">
      <w:pPr>
        <w:pStyle w:val="a7"/>
        <w:widowControl w:val="0"/>
        <w:numPr>
          <w:ilvl w:val="0"/>
          <w:numId w:val="35"/>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полив проводять водопровідною водою і переносять</w:t>
      </w:r>
      <w:r w:rsidR="00C30B8B" w:rsidRPr="00CC7883">
        <w:rPr>
          <w:rFonts w:ascii="Times New Roman" w:hAnsi="Times New Roman" w:cs="Times New Roman"/>
          <w:bCs/>
          <w:color w:val="000000" w:themeColor="text1"/>
          <w:sz w:val="28"/>
          <w:szCs w:val="28"/>
        </w:rPr>
        <w:t xml:space="preserve"> </w:t>
      </w:r>
      <w:r w:rsidRPr="00CC7883">
        <w:rPr>
          <w:rFonts w:ascii="Times New Roman" w:hAnsi="Times New Roman" w:cs="Times New Roman"/>
          <w:bCs/>
          <w:color w:val="000000" w:themeColor="text1"/>
          <w:sz w:val="28"/>
          <w:szCs w:val="28"/>
        </w:rPr>
        <w:t>рослини в адаптаційну кімнату;</w:t>
      </w:r>
    </w:p>
    <w:p w:rsidR="00DC052E" w:rsidRPr="00CC7883" w:rsidRDefault="00DC052E" w:rsidP="00047411">
      <w:pPr>
        <w:pStyle w:val="a7"/>
        <w:widowControl w:val="0"/>
        <w:numPr>
          <w:ilvl w:val="0"/>
          <w:numId w:val="35"/>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 xml:space="preserve">подальший полив здійснюють 1 раз на 5–7 діб, відповідно до швидкості висихання субстрату; </w:t>
      </w:r>
    </w:p>
    <w:p w:rsidR="00DC052E" w:rsidRPr="00CC7883" w:rsidRDefault="00DC052E" w:rsidP="00047411">
      <w:pPr>
        <w:pStyle w:val="a7"/>
        <w:widowControl w:val="0"/>
        <w:numPr>
          <w:ilvl w:val="0"/>
          <w:numId w:val="35"/>
        </w:numPr>
        <w:spacing w:after="0" w:line="360" w:lineRule="auto"/>
        <w:ind w:left="0" w:firstLine="0"/>
        <w:jc w:val="both"/>
        <w:rPr>
          <w:rFonts w:ascii="Times New Roman" w:hAnsi="Times New Roman" w:cs="Times New Roman"/>
          <w:bCs/>
          <w:color w:val="000000" w:themeColor="text1"/>
          <w:sz w:val="28"/>
          <w:szCs w:val="28"/>
        </w:rPr>
      </w:pPr>
      <w:r w:rsidRPr="00CC7883">
        <w:rPr>
          <w:rFonts w:ascii="Times New Roman" w:hAnsi="Times New Roman" w:cs="Times New Roman"/>
          <w:bCs/>
          <w:color w:val="000000" w:themeColor="text1"/>
          <w:sz w:val="28"/>
          <w:szCs w:val="28"/>
        </w:rPr>
        <w:t>в адаптаційній кімнаті рослини культивують протягом 30 діб, після чого їх (за необхідності) можна висаджувати в захищен</w:t>
      </w:r>
      <w:r w:rsidR="00676C7B">
        <w:rPr>
          <w:rFonts w:ascii="Times New Roman" w:hAnsi="Times New Roman" w:cs="Times New Roman"/>
          <w:bCs/>
          <w:color w:val="000000" w:themeColor="text1"/>
          <w:sz w:val="28"/>
          <w:szCs w:val="28"/>
        </w:rPr>
        <w:t>ий</w:t>
      </w:r>
      <w:r w:rsidRPr="00CC7883">
        <w:rPr>
          <w:rFonts w:ascii="Times New Roman" w:hAnsi="Times New Roman" w:cs="Times New Roman"/>
          <w:bCs/>
          <w:color w:val="000000" w:themeColor="text1"/>
          <w:sz w:val="28"/>
          <w:szCs w:val="28"/>
        </w:rPr>
        <w:t xml:space="preserve"> або відкрит</w:t>
      </w:r>
      <w:r w:rsidR="00676C7B">
        <w:rPr>
          <w:rFonts w:ascii="Times New Roman" w:hAnsi="Times New Roman" w:cs="Times New Roman"/>
          <w:bCs/>
          <w:color w:val="000000" w:themeColor="text1"/>
          <w:sz w:val="28"/>
          <w:szCs w:val="28"/>
        </w:rPr>
        <w:t>ий</w:t>
      </w:r>
      <w:r w:rsidRPr="00CC7883">
        <w:rPr>
          <w:rFonts w:ascii="Times New Roman" w:hAnsi="Times New Roman" w:cs="Times New Roman"/>
          <w:bCs/>
          <w:color w:val="000000" w:themeColor="text1"/>
          <w:sz w:val="28"/>
          <w:szCs w:val="28"/>
        </w:rPr>
        <w:t xml:space="preserve"> ґрунт.</w:t>
      </w:r>
    </w:p>
    <w:p w:rsidR="00E61544" w:rsidRPr="00CC7883" w:rsidRDefault="00E61544" w:rsidP="00047411">
      <w:pPr>
        <w:widowControl w:val="0"/>
        <w:rPr>
          <w:rFonts w:ascii="Times New Roman" w:eastAsia="Times New Roman" w:hAnsi="Times New Roman" w:cs="Times New Roman"/>
          <w:color w:val="000000" w:themeColor="text1"/>
          <w:kern w:val="0"/>
          <w:sz w:val="28"/>
          <w:szCs w:val="28"/>
          <w:lang w:eastAsia="uk-UA"/>
        </w:rPr>
      </w:pPr>
      <w:r w:rsidRPr="00CC7883">
        <w:rPr>
          <w:rFonts w:ascii="Times New Roman" w:eastAsia="Times New Roman" w:hAnsi="Times New Roman" w:cs="Times New Roman"/>
          <w:color w:val="000000" w:themeColor="text1"/>
          <w:kern w:val="0"/>
          <w:sz w:val="28"/>
          <w:szCs w:val="28"/>
          <w:lang w:eastAsia="uk-UA"/>
        </w:rPr>
        <w:br w:type="page"/>
      </w:r>
    </w:p>
    <w:p w:rsidR="00DC052E" w:rsidRPr="00CC7883" w:rsidRDefault="00DC052E" w:rsidP="00047411">
      <w:pPr>
        <w:widowControl w:val="0"/>
        <w:spacing w:after="0" w:line="360" w:lineRule="auto"/>
        <w:jc w:val="center"/>
        <w:outlineLvl w:val="0"/>
        <w:rPr>
          <w:rFonts w:ascii="Times New Roman" w:hAnsi="Times New Roman"/>
          <w:b/>
          <w:color w:val="000000" w:themeColor="text1"/>
          <w:sz w:val="28"/>
          <w:szCs w:val="28"/>
        </w:rPr>
      </w:pPr>
      <w:bookmarkStart w:id="126" w:name="_Toc220058972"/>
      <w:r w:rsidRPr="00CC7883">
        <w:rPr>
          <w:rFonts w:ascii="Times New Roman" w:hAnsi="Times New Roman"/>
          <w:b/>
          <w:color w:val="000000" w:themeColor="text1"/>
          <w:sz w:val="28"/>
          <w:szCs w:val="28"/>
        </w:rPr>
        <w:lastRenderedPageBreak/>
        <w:t>СПИСОК ВИКОРИСТАНИХ ДЖЕРЕЛ</w:t>
      </w:r>
      <w:bookmarkEnd w:id="126"/>
    </w:p>
    <w:p w:rsidR="00DC052E" w:rsidRPr="00CC7883" w:rsidRDefault="00DC052E" w:rsidP="00047411">
      <w:pPr>
        <w:widowControl w:val="0"/>
        <w:spacing w:after="0" w:line="360" w:lineRule="auto"/>
        <w:jc w:val="both"/>
        <w:rPr>
          <w:rFonts w:ascii="Times New Roman" w:hAnsi="Times New Roman"/>
          <w:color w:val="000000" w:themeColor="text1"/>
          <w:sz w:val="28"/>
          <w:szCs w:val="28"/>
        </w:rPr>
      </w:pP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Агроперліт: опис та характеристики. Режим доступу: https://agrovinn.com/ua/kokogroud/agroperlit/. Дата звернення: 27.11.2025.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Ампелографічний атлас сортів і форм винограду селекції Національного наукового центру «Інститут виноградарства і виноробства ім. В.</w:t>
      </w:r>
      <w:r w:rsidR="00396E12">
        <w:rPr>
          <w:rFonts w:ascii="Times New Roman" w:hAnsi="Times New Roman"/>
          <w:color w:val="000000" w:themeColor="text1"/>
          <w:sz w:val="28"/>
          <w:szCs w:val="28"/>
        </w:rPr>
        <w:t> </w:t>
      </w:r>
      <w:r w:rsidRPr="00CC7883">
        <w:rPr>
          <w:rFonts w:ascii="Times New Roman" w:hAnsi="Times New Roman"/>
          <w:color w:val="000000" w:themeColor="text1"/>
          <w:sz w:val="28"/>
          <w:szCs w:val="28"/>
        </w:rPr>
        <w:t>Є.</w:t>
      </w:r>
      <w:r w:rsidR="00396E12">
        <w:rPr>
          <w:rFonts w:ascii="Times New Roman" w:hAnsi="Times New Roman"/>
          <w:color w:val="000000" w:themeColor="text1"/>
          <w:sz w:val="28"/>
          <w:szCs w:val="28"/>
        </w:rPr>
        <w:t> </w:t>
      </w:r>
      <w:r w:rsidRPr="00CC7883">
        <w:rPr>
          <w:rFonts w:ascii="Times New Roman" w:hAnsi="Times New Roman"/>
          <w:color w:val="000000" w:themeColor="text1"/>
          <w:sz w:val="28"/>
          <w:szCs w:val="28"/>
        </w:rPr>
        <w:t>Таїрова» / В. В. Власов та ін. Київ : Аграрна наука, 2014. 138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Бабич А.</w:t>
      </w:r>
      <w:r w:rsidR="006800B0">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О. Екологічне сільське господарство: економічні аспекти.</w:t>
      </w:r>
      <w:r w:rsidR="007073C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Економіка АПК</w:t>
      </w:r>
      <w:r w:rsidRPr="00CC7883">
        <w:rPr>
          <w:rFonts w:ascii="Times New Roman" w:hAnsi="Times New Roman"/>
          <w:color w:val="000000" w:themeColor="text1"/>
          <w:sz w:val="28"/>
          <w:szCs w:val="28"/>
        </w:rPr>
        <w:t>. 2011. № 9. С. 19–22.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Безсонова В. П. Практикум з фізіології рослин. Дніпропетровськ : РВВ ДДАУ, 2006. 316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Вермикуліт: що це таке і для чого потрібен. Режим доступу: https://elsa.com.ua/all-news/chto-takoe-vermikulit-i-dlya-chego-on-nuzhen/. Дата звернення: 27.11.2025.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Вимірювання об’єктів за допомогою мікроскопа. Режим доступу: https://opticalmarket.com.ua/izmerenie-obektov-s-pomoschju-mikroskopa.html. Дата звернення: 27.11.2025.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Войтович О. М., Лях В. О. Фізіологія рослин : навчально-методичний посібник. Частина I. Запоріжжя : Запорізький національний університет, 2008. 103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Войцехівська О. В., Капустян А. В., Косик О. І. та ін. Особливості мікроклонального розмноження видів рослин : монографія / за заг. ред. Т. В. Паршикової. Біла Церква : БНАУ, 2018. 209 с. </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Гогулінська О. І. Розробка та вдосконалення методів оцінки стійкості винограду до стрес-факторів з використанням культури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автореф. дис. … канд. с.-г. наук : 06.01.08. Одеса, 2014. 24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Гречаник Р. М., Базюк О. Ф., Бондаренко З. Д., Федяй Л. В. Застосування біотехнологічних методів для розмноження гібриду осики і тополі чорної та мікоризації садивного матеріалу. </w:t>
      </w:r>
      <w:r w:rsidRPr="00CC7883">
        <w:rPr>
          <w:rFonts w:ascii="Times New Roman" w:hAnsi="Times New Roman"/>
          <w:i/>
          <w:color w:val="000000" w:themeColor="text1"/>
          <w:sz w:val="28"/>
          <w:szCs w:val="28"/>
        </w:rPr>
        <w:t>Науковий вісник Українського державного лісотехнічного університету</w:t>
      </w:r>
      <w:r w:rsidRPr="00CC7883">
        <w:rPr>
          <w:rFonts w:ascii="Times New Roman" w:hAnsi="Times New Roman"/>
          <w:color w:val="000000" w:themeColor="text1"/>
          <w:sz w:val="28"/>
          <w:szCs w:val="28"/>
        </w:rPr>
        <w:t xml:space="preserve">. 2003. Вип. 13.3. С. </w:t>
      </w:r>
      <w:r w:rsidRPr="00CC7883">
        <w:rPr>
          <w:rFonts w:ascii="Times New Roman" w:hAnsi="Times New Roman"/>
          <w:color w:val="000000" w:themeColor="text1"/>
          <w:sz w:val="28"/>
          <w:szCs w:val="28"/>
        </w:rPr>
        <w:lastRenderedPageBreak/>
        <w:t>210–221.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Гречаник Р. М., Гузь М. М., Олексійченко Н. О. Особливості введення в культуру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шовковиці білої (</w:t>
      </w:r>
      <w:r w:rsidRPr="00CC7883">
        <w:rPr>
          <w:rFonts w:ascii="Times New Roman" w:hAnsi="Times New Roman"/>
          <w:i/>
          <w:color w:val="000000" w:themeColor="text1"/>
          <w:sz w:val="28"/>
          <w:szCs w:val="28"/>
        </w:rPr>
        <w:t>Morus alba</w:t>
      </w:r>
      <w:r w:rsidRPr="00CC7883">
        <w:rPr>
          <w:rFonts w:ascii="Times New Roman" w:hAnsi="Times New Roman"/>
          <w:color w:val="000000" w:themeColor="text1"/>
          <w:sz w:val="28"/>
          <w:szCs w:val="28"/>
        </w:rPr>
        <w:t xml:space="preserve"> Linn.).</w:t>
      </w:r>
      <w:r w:rsidR="00591AD4"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Науковий вісник НЛТУ України</w:t>
      </w:r>
      <w:r w:rsidRPr="00CC7883">
        <w:rPr>
          <w:rFonts w:ascii="Times New Roman" w:hAnsi="Times New Roman"/>
          <w:color w:val="000000" w:themeColor="text1"/>
          <w:sz w:val="28"/>
          <w:szCs w:val="28"/>
        </w:rPr>
        <w:t>. 2011. С. 9–21.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Грицак Л. Р., Грицак В. Ю., Дробик Н. М. Вплив умов освітлення та осмотично активних сполук на водний режим рослин </w:t>
      </w:r>
      <w:r w:rsidR="00F5525C" w:rsidRPr="00CC7883">
        <w:rPr>
          <w:rFonts w:ascii="Times New Roman" w:hAnsi="Times New Roman" w:cs="Times New Roman"/>
          <w:i/>
          <w:iCs/>
          <w:color w:val="000000" w:themeColor="text1"/>
          <w:sz w:val="28"/>
          <w:szCs w:val="28"/>
        </w:rPr>
        <w:t>in vitro</w:t>
      </w:r>
      <w:r w:rsidR="00F5525C"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Gentiana lutea</w:t>
      </w:r>
      <w:r w:rsidRPr="00CC7883">
        <w:rPr>
          <w:rFonts w:ascii="Times New Roman" w:hAnsi="Times New Roman"/>
          <w:color w:val="000000" w:themeColor="text1"/>
          <w:sz w:val="28"/>
          <w:szCs w:val="28"/>
        </w:rPr>
        <w:t xml:space="preserve"> L.</w:t>
      </w:r>
      <w:r w:rsidR="00591AD4"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Сучасна біологія рослин: теоретичні та прикладні аспекти</w:t>
      </w:r>
      <w:r w:rsidRPr="00CC7883">
        <w:rPr>
          <w:rFonts w:ascii="Times New Roman" w:hAnsi="Times New Roman"/>
          <w:color w:val="000000" w:themeColor="text1"/>
          <w:sz w:val="28"/>
          <w:szCs w:val="28"/>
        </w:rPr>
        <w:t xml:space="preserve"> : тези доповідей IV Міжнар. наук. конф. Харків, 09–10 жовт. 2018 р. Харків : ХНУ ім. В. Н. Каразіна, 2018. С. 64–65.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Грицак Л. Р., Дробик Н. М. Екологічні, фізіологічні та біотехнологічні основи збереження видів роду </w:t>
      </w:r>
      <w:r w:rsidRPr="00CC7883">
        <w:rPr>
          <w:rFonts w:ascii="Times New Roman" w:hAnsi="Times New Roman"/>
          <w:i/>
          <w:color w:val="000000" w:themeColor="text1"/>
          <w:sz w:val="28"/>
          <w:szCs w:val="28"/>
        </w:rPr>
        <w:t>Gentiana</w:t>
      </w:r>
      <w:r w:rsidRPr="00CC7883">
        <w:rPr>
          <w:rFonts w:ascii="Times New Roman" w:hAnsi="Times New Roman"/>
          <w:color w:val="000000" w:themeColor="text1"/>
          <w:sz w:val="28"/>
          <w:szCs w:val="28"/>
        </w:rPr>
        <w:t xml:space="preserve"> L. в умовах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та </w:t>
      </w:r>
      <w:r w:rsidRPr="00CC7883">
        <w:rPr>
          <w:rFonts w:ascii="Times New Roman" w:hAnsi="Times New Roman"/>
          <w:i/>
          <w:color w:val="000000" w:themeColor="text1"/>
          <w:sz w:val="28"/>
          <w:szCs w:val="28"/>
        </w:rPr>
        <w:t>in</w:t>
      </w:r>
      <w:r w:rsidR="00F5525C"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situ</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Тернопільські біологічні читання – Ternopil Bioscience – 2020</w:t>
      </w:r>
      <w:r w:rsidRPr="00CC7883">
        <w:rPr>
          <w:rFonts w:ascii="Times New Roman" w:hAnsi="Times New Roman"/>
          <w:color w:val="000000" w:themeColor="text1"/>
          <w:sz w:val="28"/>
          <w:szCs w:val="28"/>
        </w:rPr>
        <w:t xml:space="preserve"> : матеріали Всеукраїнської наук.-практ. конф. Тернопіль : Вектор, 2020. С. 65–68.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Грицак Л. Р., Дробик Н. М. Розробка технології збереження високогірних видів роду </w:t>
      </w:r>
      <w:r w:rsidRPr="00CC7883">
        <w:rPr>
          <w:rFonts w:ascii="Times New Roman" w:hAnsi="Times New Roman"/>
          <w:i/>
          <w:color w:val="000000" w:themeColor="text1"/>
          <w:sz w:val="28"/>
          <w:szCs w:val="28"/>
        </w:rPr>
        <w:t>Gentiana</w:t>
      </w:r>
      <w:r w:rsidRPr="00CC7883">
        <w:rPr>
          <w:rFonts w:ascii="Times New Roman" w:hAnsi="Times New Roman"/>
          <w:color w:val="000000" w:themeColor="text1"/>
          <w:sz w:val="28"/>
          <w:szCs w:val="28"/>
        </w:rPr>
        <w:t xml:space="preserve"> L. із використанням стратегії «Quasi» </w:t>
      </w:r>
      <w:r w:rsidRPr="00CC7883">
        <w:rPr>
          <w:rFonts w:ascii="Times New Roman" w:hAnsi="Times New Roman"/>
          <w:i/>
          <w:color w:val="000000" w:themeColor="text1"/>
          <w:sz w:val="28"/>
          <w:szCs w:val="28"/>
        </w:rPr>
        <w:t>in</w:t>
      </w:r>
      <w:r w:rsidR="00F5525C"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situ</w:t>
      </w:r>
      <w:r w:rsidRPr="00CC7883">
        <w:rPr>
          <w:rFonts w:ascii="Times New Roman" w:hAnsi="Times New Roman"/>
          <w:color w:val="000000" w:themeColor="text1"/>
          <w:sz w:val="28"/>
          <w:szCs w:val="28"/>
        </w:rPr>
        <w:t xml:space="preserve"> та методів біотехнології. </w:t>
      </w:r>
      <w:r w:rsidRPr="00CC7883">
        <w:rPr>
          <w:rFonts w:ascii="Times New Roman" w:hAnsi="Times New Roman"/>
          <w:i/>
          <w:color w:val="000000" w:themeColor="text1"/>
          <w:sz w:val="28"/>
          <w:szCs w:val="28"/>
        </w:rPr>
        <w:t>Екологічні науки</w:t>
      </w:r>
      <w:r w:rsidRPr="00CC7883">
        <w:rPr>
          <w:rFonts w:ascii="Times New Roman" w:hAnsi="Times New Roman"/>
          <w:color w:val="000000" w:themeColor="text1"/>
          <w:sz w:val="28"/>
          <w:szCs w:val="28"/>
        </w:rPr>
        <w:t>. 2019. № 25. С. 169–176.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Гудзь В.</w:t>
      </w:r>
      <w:r w:rsidR="0027652E">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П., Гудзь О.</w:t>
      </w:r>
      <w:r w:rsidR="0027652E">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В., Гудзь С.</w:t>
      </w:r>
      <w:r w:rsidR="0027652E">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В. Економічна ефективність вирощування буряків.</w:t>
      </w:r>
      <w:r w:rsidR="006F411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Економіка АПК</w:t>
      </w:r>
      <w:r w:rsidRPr="00CC7883">
        <w:rPr>
          <w:rFonts w:ascii="Times New Roman" w:hAnsi="Times New Roman"/>
          <w:color w:val="000000" w:themeColor="text1"/>
          <w:sz w:val="28"/>
          <w:szCs w:val="28"/>
        </w:rPr>
        <w:t>. 2011. № 9. С. 20–23.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Іванова-Ханіна Л. В. Вплив гормонального складу живильного середовища на інтенсивність росту малини в культурі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w:t>
      </w:r>
      <w:r w:rsidR="00F552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Вісник аграрної науки Причорномор’я</w:t>
      </w:r>
      <w:r w:rsidRPr="00CC7883">
        <w:rPr>
          <w:rFonts w:ascii="Times New Roman" w:hAnsi="Times New Roman"/>
          <w:color w:val="000000" w:themeColor="text1"/>
          <w:sz w:val="28"/>
          <w:szCs w:val="28"/>
        </w:rPr>
        <w:t>. 2013. Вип. 3. С. 207.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Зеленянська Н. М. Наукове обґрунтування та розробка сучасної технології вирощування садивного матеріалу винограду: дис. … д-ра с.-г. наук : 06.01.08. Одеса, 2015. 642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Джабурія Л. В., Теслюк Н. І. Прийоми оптимізації клонального мікророзмноження винограду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Виноградарство і виноробство</w:t>
      </w:r>
      <w:r w:rsidRPr="00CC7883">
        <w:rPr>
          <w:rFonts w:ascii="Times New Roman" w:hAnsi="Times New Roman"/>
          <w:color w:val="000000" w:themeColor="text1"/>
          <w:sz w:val="28"/>
          <w:szCs w:val="28"/>
        </w:rPr>
        <w:t>. 2010. Вип. 47. С. 56–60.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Визначення основних фізіолого-біохімічних показників мікроклонів винограду. </w:t>
      </w:r>
      <w:r w:rsidRPr="00CC7883">
        <w:rPr>
          <w:rFonts w:ascii="Times New Roman" w:hAnsi="Times New Roman"/>
          <w:i/>
          <w:color w:val="000000" w:themeColor="text1"/>
          <w:sz w:val="28"/>
          <w:szCs w:val="28"/>
        </w:rPr>
        <w:t>Розвиток наукових міжгалузевих досліджень</w:t>
      </w:r>
      <w:r w:rsidRPr="00CC7883">
        <w:rPr>
          <w:rFonts w:ascii="Times New Roman" w:hAnsi="Times New Roman"/>
          <w:color w:val="000000" w:themeColor="text1"/>
          <w:sz w:val="28"/>
          <w:szCs w:val="28"/>
        </w:rPr>
        <w:t xml:space="preserve"> : матеріали наук.-практ. конф., (Вінниця, 26–27 </w:t>
      </w:r>
      <w:r w:rsidRPr="00CC7883">
        <w:rPr>
          <w:rFonts w:ascii="Times New Roman" w:hAnsi="Times New Roman"/>
          <w:color w:val="000000" w:themeColor="text1"/>
          <w:sz w:val="28"/>
          <w:szCs w:val="28"/>
        </w:rPr>
        <w:lastRenderedPageBreak/>
        <w:t>листоп</w:t>
      </w:r>
      <w:r w:rsidR="00AC1BC1">
        <w:rPr>
          <w:rFonts w:ascii="Times New Roman" w:hAnsi="Times New Roman"/>
          <w:color w:val="000000" w:themeColor="text1"/>
          <w:sz w:val="28"/>
          <w:szCs w:val="28"/>
        </w:rPr>
        <w:t>ада</w:t>
      </w:r>
      <w:r w:rsidRPr="00CC7883">
        <w:rPr>
          <w:rFonts w:ascii="Times New Roman" w:hAnsi="Times New Roman"/>
          <w:color w:val="000000" w:themeColor="text1"/>
          <w:sz w:val="28"/>
          <w:szCs w:val="28"/>
        </w:rPr>
        <w:t xml:space="preserve"> 2021 р.). Херсон, 2021. С. 32–35. URL:</w:t>
      </w:r>
      <w:r w:rsidR="00A67E8A"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http://molodyvcheny.in.ua/ua/conf/sociol/archive/1622/.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Визначення регенераційної здатності винограду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 xml:space="preserve">International scientific innovations in human life </w:t>
      </w:r>
      <w:r w:rsidRPr="00CC7883">
        <w:rPr>
          <w:rFonts w:ascii="Times New Roman" w:hAnsi="Times New Roman"/>
          <w:color w:val="000000" w:themeColor="text1"/>
          <w:sz w:val="28"/>
          <w:szCs w:val="28"/>
        </w:rPr>
        <w:t>: The 7th Int. sci.-pract. conf.</w:t>
      </w:r>
      <w:r w:rsidR="00D67B8B"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(Манчестер, 19–21 січ</w:t>
      </w:r>
      <w:r w:rsidR="00AC1BC1">
        <w:rPr>
          <w:rFonts w:ascii="Times New Roman" w:hAnsi="Times New Roman"/>
          <w:color w:val="000000" w:themeColor="text1"/>
          <w:sz w:val="28"/>
          <w:szCs w:val="28"/>
        </w:rPr>
        <w:t>ня</w:t>
      </w:r>
      <w:r w:rsidRPr="00CC7883">
        <w:rPr>
          <w:rFonts w:ascii="Times New Roman" w:hAnsi="Times New Roman"/>
          <w:color w:val="000000" w:themeColor="text1"/>
          <w:sz w:val="28"/>
          <w:szCs w:val="28"/>
        </w:rPr>
        <w:t xml:space="preserve"> 2022 р.). Манчестер, 2022. С. 20–28. URL: https://sci-conf.com.ua/wp-content/uploads/2022/01/INTERNATIONAL-SCIENTIFIC-INNOVATIONS-IN-HUMAN-LIFE-19-21.01.22.pdf.</w:t>
      </w:r>
    </w:p>
    <w:p w:rsidR="00FA2251" w:rsidRPr="00CC7883" w:rsidRDefault="00FA2251" w:rsidP="00FA225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Вплив модифікованого поживного середовища на розвиток вегетативної маси мікроклонів винограду. </w:t>
      </w:r>
      <w:r w:rsidRPr="00CC7883">
        <w:rPr>
          <w:rFonts w:ascii="Times New Roman" w:hAnsi="Times New Roman"/>
          <w:i/>
          <w:color w:val="000000" w:themeColor="text1"/>
          <w:sz w:val="28"/>
          <w:szCs w:val="28"/>
        </w:rPr>
        <w:t>Scientific Collection</w:t>
      </w:r>
      <w:r>
        <w:rPr>
          <w:rFonts w:ascii="Times New Roman" w:hAnsi="Times New Roman"/>
          <w:i/>
          <w:color w:val="000000" w:themeColor="text1"/>
          <w:sz w:val="28"/>
          <w:szCs w:val="28"/>
          <w:lang w:val="en-US"/>
        </w:rPr>
        <w:t xml:space="preserve"> </w:t>
      </w:r>
      <w:r w:rsidRPr="00F62136">
        <w:rPr>
          <w:rFonts w:ascii="Times New Roman" w:hAnsi="Times New Roman"/>
          <w:i/>
          <w:color w:val="000000" w:themeColor="text1"/>
          <w:sz w:val="28"/>
          <w:szCs w:val="28"/>
          <w:lang w:val="en-US"/>
        </w:rPr>
        <w:t>«</w:t>
      </w:r>
      <w:r w:rsidRPr="00CC7883">
        <w:rPr>
          <w:rFonts w:ascii="Times New Roman" w:hAnsi="Times New Roman"/>
          <w:i/>
          <w:color w:val="000000" w:themeColor="text1"/>
          <w:sz w:val="28"/>
          <w:szCs w:val="28"/>
        </w:rPr>
        <w:t>InterConf</w:t>
      </w:r>
      <w:r w:rsidRPr="00F62136">
        <w:rPr>
          <w:rFonts w:ascii="Times New Roman" w:hAnsi="Times New Roman"/>
          <w:i/>
          <w:color w:val="000000" w:themeColor="text1"/>
          <w:sz w:val="28"/>
          <w:szCs w:val="28"/>
          <w:lang w:val="en-US"/>
        </w:rPr>
        <w:t>»</w:t>
      </w:r>
      <w:r w:rsidRPr="00CC7883">
        <w:rPr>
          <w:rFonts w:ascii="Times New Roman" w:hAnsi="Times New Roman"/>
          <w:i/>
          <w:color w:val="000000" w:themeColor="text1"/>
          <w:sz w:val="28"/>
          <w:szCs w:val="28"/>
        </w:rPr>
        <w:t>, (10</w:t>
      </w:r>
      <w:r w:rsidRPr="00F62136">
        <w:rPr>
          <w:rFonts w:ascii="Times New Roman" w:hAnsi="Times New Roman"/>
          <w:i/>
          <w:color w:val="000000" w:themeColor="text1"/>
          <w:sz w:val="28"/>
          <w:szCs w:val="28"/>
          <w:lang w:val="en-US"/>
        </w:rPr>
        <w:t>0</w:t>
      </w:r>
      <w:r w:rsidRPr="00CC7883">
        <w:rPr>
          <w:rFonts w:ascii="Times New Roman" w:hAnsi="Times New Roman"/>
          <w:i/>
          <w:color w:val="000000" w:themeColor="text1"/>
          <w:sz w:val="28"/>
          <w:szCs w:val="28"/>
        </w:rPr>
        <w:t>)</w:t>
      </w:r>
      <w:r w:rsidRPr="00CC7883">
        <w:rPr>
          <w:rFonts w:ascii="Times New Roman" w:hAnsi="Times New Roman"/>
          <w:color w:val="000000" w:themeColor="text1"/>
          <w:sz w:val="28"/>
          <w:szCs w:val="28"/>
        </w:rPr>
        <w:t xml:space="preserve"> : </w:t>
      </w:r>
      <w:r w:rsidRPr="00FA2251">
        <w:rPr>
          <w:rFonts w:ascii="Times New Roman" w:hAnsi="Times New Roman"/>
          <w:color w:val="000000" w:themeColor="text1"/>
          <w:sz w:val="28"/>
          <w:szCs w:val="28"/>
        </w:rPr>
        <w:t>with the Proceedings of the 6th International Scientific and Practical Conference «Global and Regional Aspects of Sustainable Development»</w:t>
      </w:r>
      <w:r w:rsidRPr="00CC7883">
        <w:rPr>
          <w:rFonts w:ascii="Times New Roman" w:hAnsi="Times New Roman"/>
          <w:color w:val="000000" w:themeColor="text1"/>
          <w:sz w:val="28"/>
          <w:szCs w:val="28"/>
        </w:rPr>
        <w:t>. (Копенгаген, 26–28 лют</w:t>
      </w:r>
      <w:r>
        <w:rPr>
          <w:rFonts w:ascii="Times New Roman" w:hAnsi="Times New Roman"/>
          <w:color w:val="000000" w:themeColor="text1"/>
          <w:sz w:val="28"/>
          <w:szCs w:val="28"/>
          <w:lang w:val="ru-RU"/>
        </w:rPr>
        <w:t>ого</w:t>
      </w:r>
      <w:r w:rsidRPr="00CC7883">
        <w:rPr>
          <w:rFonts w:ascii="Times New Roman" w:hAnsi="Times New Roman"/>
          <w:color w:val="000000" w:themeColor="text1"/>
          <w:sz w:val="28"/>
          <w:szCs w:val="28"/>
        </w:rPr>
        <w:t xml:space="preserve"> 2022 р.). Копенгаген, 2022. С. 868–876. URL: https://ojs.ukrlogos.in.ua/index.php/interconf/issue/view/26-28.02.2022/720.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Вплив модифікованого поживного середовища на розвиток кореневої системи мікроклонів винограду. </w:t>
      </w:r>
      <w:r w:rsidR="00FA2251" w:rsidRPr="00CC7883">
        <w:rPr>
          <w:rFonts w:ascii="Times New Roman" w:hAnsi="Times New Roman"/>
          <w:i/>
          <w:color w:val="000000" w:themeColor="text1"/>
          <w:sz w:val="28"/>
          <w:szCs w:val="28"/>
        </w:rPr>
        <w:t>Scientific Collection</w:t>
      </w:r>
      <w:r w:rsidR="00FA2251">
        <w:rPr>
          <w:rFonts w:ascii="Times New Roman" w:hAnsi="Times New Roman"/>
          <w:i/>
          <w:color w:val="000000" w:themeColor="text1"/>
          <w:sz w:val="28"/>
          <w:szCs w:val="28"/>
          <w:lang w:val="en-US"/>
        </w:rPr>
        <w:t xml:space="preserve"> </w:t>
      </w:r>
      <w:r w:rsidR="00FA2251" w:rsidRPr="00F62136">
        <w:rPr>
          <w:rFonts w:ascii="Times New Roman" w:hAnsi="Times New Roman"/>
          <w:i/>
          <w:color w:val="000000" w:themeColor="text1"/>
          <w:sz w:val="28"/>
          <w:szCs w:val="28"/>
          <w:lang w:val="en-US"/>
        </w:rPr>
        <w:t>«</w:t>
      </w:r>
      <w:r w:rsidR="00FA2251" w:rsidRPr="00CC7883">
        <w:rPr>
          <w:rFonts w:ascii="Times New Roman" w:hAnsi="Times New Roman"/>
          <w:i/>
          <w:color w:val="000000" w:themeColor="text1"/>
          <w:sz w:val="28"/>
          <w:szCs w:val="28"/>
        </w:rPr>
        <w:t>InterConf</w:t>
      </w:r>
      <w:r w:rsidR="00FA2251" w:rsidRPr="00F62136">
        <w:rPr>
          <w:rFonts w:ascii="Times New Roman" w:hAnsi="Times New Roman"/>
          <w:i/>
          <w:color w:val="000000" w:themeColor="text1"/>
          <w:sz w:val="28"/>
          <w:szCs w:val="28"/>
          <w:lang w:val="en-US"/>
        </w:rPr>
        <w:t>»</w:t>
      </w:r>
      <w:r w:rsidRPr="00CC7883">
        <w:rPr>
          <w:rFonts w:ascii="Times New Roman" w:hAnsi="Times New Roman"/>
          <w:i/>
          <w:color w:val="000000" w:themeColor="text1"/>
          <w:sz w:val="28"/>
          <w:szCs w:val="28"/>
        </w:rPr>
        <w:t>, (101)</w:t>
      </w:r>
      <w:r w:rsidRPr="00CC7883">
        <w:rPr>
          <w:rFonts w:ascii="Times New Roman" w:hAnsi="Times New Roman"/>
          <w:color w:val="000000" w:themeColor="text1"/>
          <w:sz w:val="28"/>
          <w:szCs w:val="28"/>
        </w:rPr>
        <w:t xml:space="preserve"> : with the Proceedings of the 11th Int. sci.-pract. conf. «Scientific Research in XXI Century».</w:t>
      </w:r>
      <w:r w:rsidR="00AC1BC1">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(Оттава, 6–8 берез</w:t>
      </w:r>
      <w:r w:rsidR="00AC1BC1">
        <w:rPr>
          <w:rFonts w:ascii="Times New Roman" w:hAnsi="Times New Roman"/>
          <w:color w:val="000000" w:themeColor="text1"/>
          <w:sz w:val="28"/>
          <w:szCs w:val="28"/>
        </w:rPr>
        <w:t>ня</w:t>
      </w:r>
      <w:r w:rsidRPr="00CC7883">
        <w:rPr>
          <w:rFonts w:ascii="Times New Roman" w:hAnsi="Times New Roman"/>
          <w:color w:val="000000" w:themeColor="text1"/>
          <w:sz w:val="28"/>
          <w:szCs w:val="28"/>
        </w:rPr>
        <w:t xml:space="preserve"> 2022 р.). Оттава, 2022. С. 330–338. URL: https://ojs.ukrlogos.in.ua/index.php/interconf/article/view/18816.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Зеленянська</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Н. М., Самофалов</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 О. Вплив</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умов</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культивування</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мікроклонів</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винограду</w:t>
      </w:r>
      <w:r w:rsidR="001221F9" w:rsidRPr="00CC7883">
        <w:rPr>
          <w:rFonts w:ascii="Times New Roman" w:hAnsi="Times New Roman" w:cs="Times New Roman"/>
          <w:i/>
          <w:iCs/>
          <w:color w:val="000000" w:themeColor="text1"/>
          <w:sz w:val="28"/>
          <w:szCs w:val="28"/>
        </w:rPr>
        <w:t xml:space="preserve"> in vitro</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на</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їх</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приживлюваність</w:t>
      </w:r>
      <w:r w:rsidR="001221F9"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w:t>
      </w:r>
      <w:r w:rsidR="001221F9"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vivo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Таврійський науковий вісник</w:t>
      </w:r>
      <w:r w:rsidRPr="00CC7883">
        <w:rPr>
          <w:rFonts w:ascii="Times New Roman" w:hAnsi="Times New Roman"/>
          <w:color w:val="000000" w:themeColor="text1"/>
          <w:sz w:val="28"/>
          <w:szCs w:val="28"/>
        </w:rPr>
        <w:t>. 2022. Вип. 127. С. 64–71. DOI: https://doi.org/10.32851/2226-0099.2022.127.8.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Вплив умов культивування на фізіолого-біохімічні показники мікроклонів винограду. </w:t>
      </w:r>
      <w:r w:rsidRPr="00CC7883">
        <w:rPr>
          <w:rFonts w:ascii="Times New Roman" w:hAnsi="Times New Roman"/>
          <w:i/>
          <w:color w:val="000000" w:themeColor="text1"/>
          <w:sz w:val="28"/>
          <w:szCs w:val="28"/>
        </w:rPr>
        <w:t xml:space="preserve">Modern research in world science </w:t>
      </w:r>
      <w:r w:rsidRPr="00CC7883">
        <w:rPr>
          <w:rFonts w:ascii="Times New Roman" w:hAnsi="Times New Roman"/>
          <w:color w:val="000000" w:themeColor="text1"/>
          <w:sz w:val="28"/>
          <w:szCs w:val="28"/>
        </w:rPr>
        <w:t>: Proceedings of the 5th International scientific and practical conference.</w:t>
      </w:r>
      <w:r w:rsidR="00CC369A"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(Львів, 7–9 серп</w:t>
      </w:r>
      <w:r w:rsidR="00AC1BC1">
        <w:rPr>
          <w:rFonts w:ascii="Times New Roman" w:hAnsi="Times New Roman"/>
          <w:color w:val="000000" w:themeColor="text1"/>
          <w:sz w:val="28"/>
          <w:szCs w:val="28"/>
        </w:rPr>
        <w:t>ня</w:t>
      </w:r>
      <w:r w:rsidRPr="00CC7883">
        <w:rPr>
          <w:rFonts w:ascii="Times New Roman" w:hAnsi="Times New Roman"/>
          <w:color w:val="000000" w:themeColor="text1"/>
          <w:sz w:val="28"/>
          <w:szCs w:val="28"/>
        </w:rPr>
        <w:t xml:space="preserve"> 2022 р.). Львів, 2022. С. 24–28. URL: https://sci-conf.com.ua/v-mizhnarodna-naukovo-praktichna-konferentsiya-modern-research-</w:t>
      </w:r>
      <w:r w:rsidRPr="00CC7883">
        <w:rPr>
          <w:rFonts w:ascii="Times New Roman" w:hAnsi="Times New Roman"/>
          <w:color w:val="000000" w:themeColor="text1"/>
          <w:sz w:val="28"/>
          <w:szCs w:val="28"/>
        </w:rPr>
        <w:lastRenderedPageBreak/>
        <w:t>in-world-science-7-9-08-2022-lviv-ukrayina-arhiv.</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Особливості росту та розвитку мікроклонів винограду на модифікованих поживних середовищах. </w:t>
      </w:r>
      <w:r w:rsidRPr="00CC7883">
        <w:rPr>
          <w:rFonts w:ascii="Times New Roman" w:hAnsi="Times New Roman"/>
          <w:i/>
          <w:color w:val="000000" w:themeColor="text1"/>
          <w:sz w:val="28"/>
          <w:szCs w:val="28"/>
        </w:rPr>
        <w:t>The Globalization of Scientific Knowledge : Theoretical and Practical Research</w:t>
      </w:r>
      <w:r w:rsidRPr="00CC7883">
        <w:rPr>
          <w:rFonts w:ascii="Times New Roman" w:hAnsi="Times New Roman"/>
          <w:color w:val="000000" w:themeColor="text1"/>
          <w:sz w:val="28"/>
          <w:szCs w:val="28"/>
        </w:rPr>
        <w:t xml:space="preserve"> : conf. proceedings. (Рига, 17–18 груд</w:t>
      </w:r>
      <w:r w:rsidR="00AC1BC1">
        <w:rPr>
          <w:rFonts w:ascii="Times New Roman" w:hAnsi="Times New Roman"/>
          <w:color w:val="000000" w:themeColor="text1"/>
          <w:sz w:val="28"/>
          <w:szCs w:val="28"/>
        </w:rPr>
        <w:t>ня</w:t>
      </w:r>
      <w:r w:rsidRPr="00CC7883">
        <w:rPr>
          <w:rFonts w:ascii="Times New Roman" w:hAnsi="Times New Roman"/>
          <w:color w:val="000000" w:themeColor="text1"/>
          <w:sz w:val="28"/>
          <w:szCs w:val="28"/>
        </w:rPr>
        <w:t xml:space="preserve"> 2021 р.). Рига, 2021. С. 15–19. DOI: https://doi.org/10.30525/978-9934-26-164-0-5.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Зеленянська</w:t>
      </w:r>
      <w:r w:rsidR="00591AD4"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Н. М., Самофалов</w:t>
      </w:r>
      <w:r w:rsidR="00543F8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 О. Підвищення</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адаптивності</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мікроклонів</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винограду</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в</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умовах</w:t>
      </w:r>
      <w:r w:rsidR="001221F9"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w:t>
      </w:r>
      <w:r w:rsidR="001221F9"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Аграрні інновації</w:t>
      </w:r>
      <w:r w:rsidRPr="00CC7883">
        <w:rPr>
          <w:rFonts w:ascii="Times New Roman" w:hAnsi="Times New Roman"/>
          <w:color w:val="000000" w:themeColor="text1"/>
          <w:sz w:val="28"/>
          <w:szCs w:val="28"/>
        </w:rPr>
        <w:t>. 2022. Вип. 11. С. 25–31. DOI: https://doi.org/10.32848/agrar.innov.2022.11.3.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Регенераційна здатність підщепних і технічних сортів винограду в культурі тканин і органів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Таврійський науковий вісник</w:t>
      </w:r>
      <w:r w:rsidRPr="00CC7883">
        <w:rPr>
          <w:rFonts w:ascii="Times New Roman" w:hAnsi="Times New Roman"/>
          <w:color w:val="000000" w:themeColor="text1"/>
          <w:sz w:val="28"/>
          <w:szCs w:val="28"/>
        </w:rPr>
        <w:t>. 2022. Вип. 123. С. 67–76. DOI: https://doi.org/10.32851/2226-0099.2022.123.10.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Регенераційний потенціал різних сортів винограду в культурі тканин і органів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The latest scientific achievements in the modern agro-industrial complex</w:t>
      </w:r>
      <w:r w:rsidRPr="00CC7883">
        <w:rPr>
          <w:rFonts w:ascii="Times New Roman" w:hAnsi="Times New Roman"/>
          <w:color w:val="000000" w:themeColor="text1"/>
          <w:sz w:val="28"/>
          <w:szCs w:val="28"/>
        </w:rPr>
        <w:t xml:space="preserve"> : conf. proceedings.</w:t>
      </w:r>
      <w:r w:rsidR="00116124">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(Люблін, 28–29 груд</w:t>
      </w:r>
      <w:r w:rsidR="00AC1BC1">
        <w:rPr>
          <w:rFonts w:ascii="Times New Roman" w:hAnsi="Times New Roman"/>
          <w:color w:val="000000" w:themeColor="text1"/>
          <w:sz w:val="28"/>
          <w:szCs w:val="28"/>
        </w:rPr>
        <w:t>ня</w:t>
      </w:r>
      <w:r w:rsidRPr="00CC7883">
        <w:rPr>
          <w:rFonts w:ascii="Times New Roman" w:hAnsi="Times New Roman"/>
          <w:color w:val="000000" w:themeColor="text1"/>
          <w:sz w:val="28"/>
          <w:szCs w:val="28"/>
        </w:rPr>
        <w:t xml:space="preserve"> 2021 р.). Рига, 2021. С. 52–56. DOI: https://doi.org/10.30525/978-9934-26-184-8-12.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Розвиток вегетативної маси мікроклонів винограду на поживних середовищах та мінеральних субстратах. </w:t>
      </w:r>
      <w:r w:rsidRPr="00CC7883">
        <w:rPr>
          <w:rFonts w:ascii="Times New Roman" w:hAnsi="Times New Roman"/>
          <w:i/>
          <w:color w:val="000000" w:themeColor="text1"/>
          <w:sz w:val="28"/>
          <w:szCs w:val="28"/>
        </w:rPr>
        <w:t>Forecasts and prospects of scientific discoveries in agricultural sciences and food</w:t>
      </w:r>
      <w:r w:rsidRPr="00CC7883">
        <w:rPr>
          <w:rFonts w:ascii="Times New Roman" w:hAnsi="Times New Roman"/>
          <w:color w:val="000000" w:themeColor="text1"/>
          <w:sz w:val="28"/>
          <w:szCs w:val="28"/>
        </w:rPr>
        <w:t xml:space="preserve"> : conf. proceedings. (Рига, 30–31 серп</w:t>
      </w:r>
      <w:r w:rsidR="00AC1BC1">
        <w:rPr>
          <w:rFonts w:ascii="Times New Roman" w:hAnsi="Times New Roman"/>
          <w:color w:val="000000" w:themeColor="text1"/>
          <w:sz w:val="28"/>
          <w:szCs w:val="28"/>
        </w:rPr>
        <w:t>ня</w:t>
      </w:r>
      <w:r w:rsidRPr="00CC7883">
        <w:rPr>
          <w:rFonts w:ascii="Times New Roman" w:hAnsi="Times New Roman"/>
          <w:color w:val="000000" w:themeColor="text1"/>
          <w:sz w:val="28"/>
          <w:szCs w:val="28"/>
        </w:rPr>
        <w:t xml:space="preserve"> 2022 р.). Рига, 2022. С. 26–29. URL: http://baltijapublishing.lv/omp/index.php/bp/catalog/view/252/7079/14745-1.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Способи адаптації мікроклонів винограду. </w:t>
      </w:r>
      <w:r w:rsidRPr="00CC7883">
        <w:rPr>
          <w:rFonts w:ascii="Times New Roman" w:hAnsi="Times New Roman"/>
          <w:i/>
          <w:color w:val="000000" w:themeColor="text1"/>
          <w:sz w:val="28"/>
          <w:szCs w:val="28"/>
        </w:rPr>
        <w:t xml:space="preserve">Modern research in world science </w:t>
      </w:r>
      <w:r w:rsidRPr="00CC7883">
        <w:rPr>
          <w:rFonts w:ascii="Times New Roman" w:hAnsi="Times New Roman"/>
          <w:color w:val="000000" w:themeColor="text1"/>
          <w:sz w:val="28"/>
          <w:szCs w:val="28"/>
        </w:rPr>
        <w:t>: The 2nd Int. sci.-pract. conf. (Львів, 15–17 трав</w:t>
      </w:r>
      <w:r w:rsidR="00AC1BC1">
        <w:rPr>
          <w:rFonts w:ascii="Times New Roman" w:hAnsi="Times New Roman"/>
          <w:color w:val="000000" w:themeColor="text1"/>
          <w:sz w:val="28"/>
          <w:szCs w:val="28"/>
        </w:rPr>
        <w:t>ня</w:t>
      </w:r>
      <w:r w:rsidRPr="00CC7883">
        <w:rPr>
          <w:rFonts w:ascii="Times New Roman" w:hAnsi="Times New Roman"/>
          <w:color w:val="000000" w:themeColor="text1"/>
          <w:sz w:val="28"/>
          <w:szCs w:val="28"/>
        </w:rPr>
        <w:t xml:space="preserve"> 2022 р.). Львів, 2022. С. 39–43. URL: https://sci-conf.com.ua/wp-content/uploads/2022/05/MODERN-RESEARCH-IN-WORLD-SCIENCE-15-17.05.22.pdf.</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Зеленянська</w:t>
      </w:r>
      <w:r w:rsidR="00FB6E24"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Н. М., Самофалов</w:t>
      </w:r>
      <w:r w:rsidR="00543F8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 О. Спосіб</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підвищення</w:t>
      </w:r>
      <w:r w:rsidR="001221F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приживлюваності</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мікроклонів</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винограду</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в</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умовах</w:t>
      </w:r>
      <w:r w:rsidR="001221F9" w:rsidRPr="00CC7883">
        <w:rPr>
          <w:rFonts w:ascii="Times New Roman" w:hAnsi="Times New Roman" w:cs="Times New Roman"/>
          <w:i/>
          <w:color w:val="000000" w:themeColor="text1"/>
          <w:sz w:val="28"/>
          <w:szCs w:val="28"/>
        </w:rPr>
        <w:t xml:space="preserve"> in vivo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 xml:space="preserve">Сучасні проблеми </w:t>
      </w:r>
      <w:r w:rsidRPr="00CC7883">
        <w:rPr>
          <w:rFonts w:ascii="Times New Roman" w:hAnsi="Times New Roman"/>
          <w:i/>
          <w:color w:val="000000" w:themeColor="text1"/>
          <w:sz w:val="28"/>
          <w:szCs w:val="28"/>
        </w:rPr>
        <w:lastRenderedPageBreak/>
        <w:t>біології в умовах змін клімату</w:t>
      </w:r>
      <w:r w:rsidRPr="00CC7883">
        <w:rPr>
          <w:rFonts w:ascii="Times New Roman" w:hAnsi="Times New Roman"/>
          <w:color w:val="000000" w:themeColor="text1"/>
          <w:sz w:val="28"/>
          <w:szCs w:val="28"/>
        </w:rPr>
        <w:t xml:space="preserve"> : матеріали Всеукр. наук. інтернет-конф.</w:t>
      </w:r>
      <w:r w:rsidR="00AC1BC1">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(Умань, 22 черв</w:t>
      </w:r>
      <w:r w:rsidR="00AC1BC1">
        <w:rPr>
          <w:rFonts w:ascii="Times New Roman" w:hAnsi="Times New Roman"/>
          <w:color w:val="000000" w:themeColor="text1"/>
          <w:sz w:val="28"/>
          <w:szCs w:val="28"/>
        </w:rPr>
        <w:t>ня</w:t>
      </w:r>
      <w:r w:rsidRPr="00CC7883">
        <w:rPr>
          <w:rFonts w:ascii="Times New Roman" w:hAnsi="Times New Roman"/>
          <w:color w:val="000000" w:themeColor="text1"/>
          <w:sz w:val="28"/>
          <w:szCs w:val="28"/>
        </w:rPr>
        <w:t xml:space="preserve"> 2022 р.). Умань, 2022. С. 26–29. URL: https://biology.udau.edu.ua/assets/files/praci/zbirnik-konferencii-22.06.2022.pdf.</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Зеленянська</w:t>
      </w:r>
      <w:r w:rsidR="00FB6E24"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Н. М., Самофалов</w:t>
      </w:r>
      <w:r w:rsidR="00543F8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 О. Спосіб</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підвищення</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приживлюваності</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ініціальних</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експлантів</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та</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мікроклонів</w:t>
      </w:r>
      <w:r w:rsidR="00BB279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 xml:space="preserve">винограду. </w:t>
      </w:r>
      <w:r w:rsidRPr="00CC7883">
        <w:rPr>
          <w:rFonts w:ascii="Times New Roman" w:hAnsi="Times New Roman"/>
          <w:i/>
          <w:color w:val="000000" w:themeColor="text1"/>
          <w:sz w:val="28"/>
          <w:szCs w:val="28"/>
        </w:rPr>
        <w:t xml:space="preserve">Recent Advances in Scientific World </w:t>
      </w:r>
      <w:r w:rsidRPr="00CC7883">
        <w:rPr>
          <w:rFonts w:ascii="Times New Roman" w:hAnsi="Times New Roman"/>
          <w:color w:val="000000" w:themeColor="text1"/>
          <w:sz w:val="28"/>
          <w:szCs w:val="28"/>
        </w:rPr>
        <w:t>: Proceedings of the 2nd Int. sci.-pract. conf.</w:t>
      </w:r>
      <w:r w:rsidR="00116124">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(Монтрерр</w:t>
      </w:r>
      <w:r w:rsidR="008535E6">
        <w:rPr>
          <w:rFonts w:ascii="Times New Roman" w:hAnsi="Times New Roman"/>
          <w:color w:val="000000" w:themeColor="text1"/>
          <w:sz w:val="28"/>
          <w:szCs w:val="28"/>
        </w:rPr>
        <w:t>ей</w:t>
      </w:r>
      <w:r w:rsidRPr="00CC7883">
        <w:rPr>
          <w:rFonts w:ascii="Times New Roman" w:hAnsi="Times New Roman"/>
          <w:color w:val="000000" w:themeColor="text1"/>
          <w:sz w:val="28"/>
          <w:szCs w:val="28"/>
        </w:rPr>
        <w:t>, 6–8 серп</w:t>
      </w:r>
      <w:r w:rsidR="00AC1BC1">
        <w:rPr>
          <w:rFonts w:ascii="Times New Roman" w:hAnsi="Times New Roman"/>
          <w:color w:val="000000" w:themeColor="text1"/>
          <w:sz w:val="28"/>
          <w:szCs w:val="28"/>
        </w:rPr>
        <w:t>ня</w:t>
      </w:r>
      <w:r w:rsidRPr="00CC7883">
        <w:rPr>
          <w:rFonts w:ascii="Times New Roman" w:hAnsi="Times New Roman"/>
          <w:color w:val="000000" w:themeColor="text1"/>
          <w:sz w:val="28"/>
          <w:szCs w:val="28"/>
        </w:rPr>
        <w:t xml:space="preserve"> 2022 р.). Монтрерр</w:t>
      </w:r>
      <w:r w:rsidR="008535E6">
        <w:rPr>
          <w:rFonts w:ascii="Times New Roman" w:hAnsi="Times New Roman"/>
          <w:color w:val="000000" w:themeColor="text1"/>
          <w:sz w:val="28"/>
          <w:szCs w:val="28"/>
        </w:rPr>
        <w:t>ей</w:t>
      </w:r>
      <w:r w:rsidRPr="00CC7883">
        <w:rPr>
          <w:rFonts w:ascii="Times New Roman" w:hAnsi="Times New Roman"/>
          <w:color w:val="000000" w:themeColor="text1"/>
          <w:sz w:val="28"/>
          <w:szCs w:val="28"/>
        </w:rPr>
        <w:t>, 2022. С. 189–194. URL: https://archive.interconf.center/index.php/conference-proceeding/article/view/1088/1114.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Удосконалення окремих технологічних етапів розмноження винограду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Селекція, генетика та технології вирощування сільськогосподарських культур</w:t>
      </w:r>
      <w:r w:rsidRPr="00CC7883">
        <w:rPr>
          <w:rFonts w:ascii="Times New Roman" w:hAnsi="Times New Roman"/>
          <w:color w:val="000000" w:themeColor="text1"/>
          <w:sz w:val="28"/>
          <w:szCs w:val="28"/>
        </w:rPr>
        <w:t xml:space="preserve"> : матеріали X Міжнар. наук.-практ. конф. молодих вчених і спеціалістів. (Центральне, 29 квіт</w:t>
      </w:r>
      <w:r w:rsidR="00AC1BC1">
        <w:rPr>
          <w:rFonts w:ascii="Times New Roman" w:hAnsi="Times New Roman"/>
          <w:color w:val="000000" w:themeColor="text1"/>
          <w:sz w:val="28"/>
          <w:szCs w:val="28"/>
        </w:rPr>
        <w:t>ня</w:t>
      </w:r>
      <w:r w:rsidRPr="00CC7883">
        <w:rPr>
          <w:rFonts w:ascii="Times New Roman" w:hAnsi="Times New Roman"/>
          <w:color w:val="000000" w:themeColor="text1"/>
          <w:sz w:val="28"/>
          <w:szCs w:val="28"/>
        </w:rPr>
        <w:t xml:space="preserve"> 2022 р.). Київ, 2022. С. 95. URL: http://confer.uiesr.sops.gov.ua/miron2022/paper/viewFile/26209/14883.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Колчанова О. В., Обозний О. І. Особливості введення в культуру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представників роду </w:t>
      </w:r>
      <w:r w:rsidRPr="00CC7883">
        <w:rPr>
          <w:rFonts w:ascii="Times New Roman" w:hAnsi="Times New Roman"/>
          <w:i/>
          <w:color w:val="000000" w:themeColor="text1"/>
          <w:sz w:val="28"/>
          <w:szCs w:val="28"/>
        </w:rPr>
        <w:t>Corylus</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Вісник Харківського національного аграрного університету. Серія Біологія</w:t>
      </w:r>
      <w:r w:rsidRPr="00CC7883">
        <w:rPr>
          <w:rFonts w:ascii="Times New Roman" w:hAnsi="Times New Roman"/>
          <w:color w:val="000000" w:themeColor="text1"/>
          <w:sz w:val="28"/>
          <w:szCs w:val="28"/>
        </w:rPr>
        <w:t>. 2015. Вип. 3 (36). С. 91–97.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Колісник Х. М. Розробка біотехнологічних підходів до підвищення адаптивного потенціалу рідкісних видів роду </w:t>
      </w:r>
      <w:r w:rsidRPr="00CC7883">
        <w:rPr>
          <w:rFonts w:ascii="Times New Roman" w:hAnsi="Times New Roman"/>
          <w:i/>
          <w:color w:val="000000" w:themeColor="text1"/>
          <w:sz w:val="28"/>
          <w:szCs w:val="28"/>
        </w:rPr>
        <w:t>Carlina</w:t>
      </w:r>
      <w:r w:rsidRPr="00CC7883">
        <w:rPr>
          <w:rFonts w:ascii="Times New Roman" w:hAnsi="Times New Roman"/>
          <w:color w:val="000000" w:themeColor="text1"/>
          <w:sz w:val="28"/>
          <w:szCs w:val="28"/>
        </w:rPr>
        <w:t xml:space="preserve"> L.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 дис. … д-ра філософії : 091. Тернопіль, 2025. 176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Кравець Н. Б., Пантелеймін М. І., Дробик Н. М. Водний режим рослин </w:t>
      </w:r>
      <w:r w:rsidRPr="00CC7883">
        <w:rPr>
          <w:rFonts w:ascii="Times New Roman" w:hAnsi="Times New Roman"/>
          <w:i/>
          <w:color w:val="000000" w:themeColor="text1"/>
          <w:sz w:val="28"/>
          <w:szCs w:val="28"/>
        </w:rPr>
        <w:t>Carlina onopordifolia</w:t>
      </w:r>
      <w:r w:rsidRPr="00CC7883">
        <w:rPr>
          <w:rFonts w:ascii="Times New Roman" w:hAnsi="Times New Roman"/>
          <w:color w:val="000000" w:themeColor="text1"/>
          <w:sz w:val="28"/>
          <w:szCs w:val="28"/>
        </w:rPr>
        <w:t xml:space="preserve"> Besser ex Szafer, Kulcz. et Pawl. у природі та в умовах </w:t>
      </w:r>
      <w:r w:rsidR="00F5525C"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w:t>
      </w:r>
      <w:r w:rsidR="00F552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Сучасна біологія рослин: теоретичні та прикладні аспекти</w:t>
      </w:r>
      <w:r w:rsidRPr="00CC7883">
        <w:rPr>
          <w:rFonts w:ascii="Times New Roman" w:hAnsi="Times New Roman"/>
          <w:color w:val="000000" w:themeColor="text1"/>
          <w:sz w:val="28"/>
          <w:szCs w:val="28"/>
        </w:rPr>
        <w:t xml:space="preserve"> : тези доповідей IV Міжнар. наук. конф. (Харків, 09–10 жовт. 2018 р.). Харків, 2018. С. 65–66.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Лисак Ю. С. Особливості технології клонального розмноження фундука шляхом живцювання в умовах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та шляхи підвищення її ефективності. </w:t>
      </w:r>
      <w:r w:rsidRPr="00CC7883">
        <w:rPr>
          <w:rFonts w:ascii="Times New Roman" w:hAnsi="Times New Roman"/>
          <w:i/>
          <w:color w:val="000000" w:themeColor="text1"/>
          <w:sz w:val="28"/>
          <w:szCs w:val="28"/>
        </w:rPr>
        <w:t>Науковий вісник НЛТУ України. Лісове та садово-паркове господарство</w:t>
      </w:r>
      <w:r w:rsidRPr="00CC7883">
        <w:rPr>
          <w:rFonts w:ascii="Times New Roman" w:hAnsi="Times New Roman"/>
          <w:color w:val="000000" w:themeColor="text1"/>
          <w:sz w:val="28"/>
          <w:szCs w:val="28"/>
        </w:rPr>
        <w:t xml:space="preserve">. 2023. Т. 33, № 6. </w:t>
      </w:r>
      <w:r w:rsidR="00116124">
        <w:rPr>
          <w:rFonts w:ascii="Times New Roman" w:hAnsi="Times New Roman"/>
          <w:color w:val="000000" w:themeColor="text1"/>
          <w:sz w:val="28"/>
          <w:szCs w:val="28"/>
          <w:lang w:val="en-US"/>
        </w:rPr>
        <w:t>DOI</w:t>
      </w:r>
      <w:r w:rsidRPr="00CC7883">
        <w:rPr>
          <w:rFonts w:ascii="Times New Roman" w:hAnsi="Times New Roman"/>
          <w:color w:val="000000" w:themeColor="text1"/>
          <w:sz w:val="28"/>
          <w:szCs w:val="28"/>
        </w:rPr>
        <w:t>:</w:t>
      </w:r>
      <w:r w:rsidR="00A67E8A" w:rsidRPr="00CC7883">
        <w:rPr>
          <w:rFonts w:ascii="Times New Roman" w:hAnsi="Times New Roman"/>
          <w:color w:val="000000" w:themeColor="text1"/>
          <w:sz w:val="28"/>
          <w:szCs w:val="28"/>
        </w:rPr>
        <w:t xml:space="preserve"> </w:t>
      </w:r>
      <w:r w:rsidR="00116124" w:rsidRPr="00116124">
        <w:rPr>
          <w:rFonts w:ascii="Times New Roman" w:hAnsi="Times New Roman"/>
          <w:color w:val="000000" w:themeColor="text1"/>
          <w:sz w:val="28"/>
          <w:szCs w:val="28"/>
        </w:rPr>
        <w:t>https://doi.org/10.36930/40330605</w:t>
      </w:r>
      <w:r w:rsidRPr="00CC7883">
        <w:rPr>
          <w:rFonts w:ascii="Times New Roman" w:hAnsi="Times New Roman"/>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lastRenderedPageBreak/>
        <w:t>Макрушин М. М., Макрушина Є. М., Петерсон Н. В., Мельников М. М. Фізіологія рослин : підручник / за ред. М. М. Макрушина. Вінниця : Нова Книга, 2006. 416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Мацкевич В. В. Мікроклональне розмноження видів рослин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та їх постасептична адаптація : дис. … д-ра с.-г. наук :</w:t>
      </w:r>
      <w:r w:rsidR="00AC1BC1">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06.01.05</w:t>
      </w:r>
      <w:r w:rsidR="00AC1BC1">
        <w:rPr>
          <w:rFonts w:ascii="Times New Roman" w:hAnsi="Times New Roman"/>
          <w:color w:val="000000" w:themeColor="text1"/>
          <w:sz w:val="28"/>
          <w:szCs w:val="28"/>
        </w:rPr>
        <w:t>.</w:t>
      </w:r>
      <w:r w:rsidRPr="00CC7883">
        <w:rPr>
          <w:rFonts w:ascii="Times New Roman" w:hAnsi="Times New Roman"/>
          <w:color w:val="000000" w:themeColor="text1"/>
          <w:sz w:val="28"/>
          <w:szCs w:val="28"/>
        </w:rPr>
        <w:t xml:space="preserve"> Суми, 2020. 466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Машевська А. С., Єрмейчук Т. М. Фізіологія та біохімія рослин : матеріали для опрацювання теми «Водний режим рослин» з курсу «Фізіологія та біохімія рослин» для студентів ІІ та ІІІ курсів денної та заочної форми навчання спеціальності «Біологія» біологічного факультету. Луцьк : Вежа-Друк, 2015. 38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Медведєва Т. В. Проблеми акліматизації культивованих </w:t>
      </w:r>
      <w:r w:rsidR="001221F9"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рослин. </w:t>
      </w:r>
      <w:r w:rsidRPr="00CC7883">
        <w:rPr>
          <w:rFonts w:ascii="Times New Roman" w:hAnsi="Times New Roman"/>
          <w:i/>
          <w:color w:val="000000" w:themeColor="text1"/>
          <w:sz w:val="28"/>
          <w:szCs w:val="28"/>
        </w:rPr>
        <w:t>Физиология и биохимия культурных растений</w:t>
      </w:r>
      <w:r w:rsidRPr="00CC7883">
        <w:rPr>
          <w:rFonts w:ascii="Times New Roman" w:hAnsi="Times New Roman"/>
          <w:color w:val="000000" w:themeColor="text1"/>
          <w:sz w:val="28"/>
          <w:szCs w:val="28"/>
        </w:rPr>
        <w:t>. 2008. Т. 40, № 4. С. 299–309.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Style w:val="af2"/>
          <w:rFonts w:ascii="Times New Roman" w:hAnsi="Times New Roman"/>
          <w:b w:val="0"/>
          <w:bCs w:val="0"/>
          <w:color w:val="000000" w:themeColor="text1"/>
          <w:sz w:val="28"/>
          <w:szCs w:val="28"/>
        </w:rPr>
        <w:t>Мусієнко В.</w:t>
      </w:r>
      <w:r w:rsidR="00591AD4" w:rsidRPr="00CC7883">
        <w:rPr>
          <w:rStyle w:val="af2"/>
          <w:rFonts w:ascii="Times New Roman" w:hAnsi="Times New Roman"/>
          <w:b w:val="0"/>
          <w:bCs w:val="0"/>
          <w:color w:val="000000" w:themeColor="text1"/>
          <w:sz w:val="28"/>
          <w:szCs w:val="28"/>
        </w:rPr>
        <w:t xml:space="preserve"> </w:t>
      </w:r>
      <w:r w:rsidRPr="00CC7883">
        <w:rPr>
          <w:rStyle w:val="af2"/>
          <w:rFonts w:ascii="Times New Roman" w:hAnsi="Times New Roman"/>
          <w:b w:val="0"/>
          <w:bCs w:val="0"/>
          <w:color w:val="000000" w:themeColor="text1"/>
          <w:sz w:val="28"/>
          <w:szCs w:val="28"/>
        </w:rPr>
        <w:t>І., Галайчук І.</w:t>
      </w:r>
      <w:r w:rsidR="0002391B" w:rsidRPr="00CC7883">
        <w:rPr>
          <w:rStyle w:val="af2"/>
          <w:rFonts w:ascii="Times New Roman" w:hAnsi="Times New Roman"/>
          <w:b w:val="0"/>
          <w:bCs w:val="0"/>
          <w:color w:val="000000" w:themeColor="text1"/>
          <w:sz w:val="28"/>
          <w:szCs w:val="28"/>
        </w:rPr>
        <w:t xml:space="preserve"> </w:t>
      </w:r>
      <w:r w:rsidRPr="00CC7883">
        <w:rPr>
          <w:rStyle w:val="af2"/>
          <w:rFonts w:ascii="Times New Roman" w:hAnsi="Times New Roman"/>
          <w:b w:val="0"/>
          <w:bCs w:val="0"/>
          <w:color w:val="000000" w:themeColor="text1"/>
          <w:sz w:val="28"/>
          <w:szCs w:val="28"/>
        </w:rPr>
        <w:t>П.</w:t>
      </w:r>
      <w:r w:rsidRPr="00CC7883">
        <w:rPr>
          <w:rFonts w:ascii="Times New Roman" w:hAnsi="Times New Roman"/>
          <w:color w:val="000000" w:themeColor="text1"/>
          <w:sz w:val="28"/>
          <w:szCs w:val="28"/>
        </w:rPr>
        <w:t xml:space="preserve"> Регенерація рослин у культурі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меліси лікарської (</w:t>
      </w:r>
      <w:r w:rsidRPr="00CC7883">
        <w:rPr>
          <w:rStyle w:val="af1"/>
          <w:rFonts w:ascii="Times New Roman" w:hAnsi="Times New Roman"/>
          <w:color w:val="000000" w:themeColor="text1"/>
          <w:sz w:val="28"/>
          <w:szCs w:val="28"/>
        </w:rPr>
        <w:t>Melissa officinalis</w:t>
      </w:r>
      <w:r w:rsidRPr="00CC7883">
        <w:rPr>
          <w:rFonts w:ascii="Times New Roman" w:hAnsi="Times New Roman"/>
          <w:color w:val="000000" w:themeColor="text1"/>
          <w:sz w:val="28"/>
          <w:szCs w:val="28"/>
        </w:rPr>
        <w:t xml:space="preserve"> L.) залежно від типу експланта і концентрації фітогормонів. </w:t>
      </w:r>
      <w:r w:rsidRPr="00CC7883">
        <w:rPr>
          <w:rStyle w:val="af1"/>
          <w:rFonts w:ascii="Times New Roman" w:hAnsi="Times New Roman"/>
          <w:color w:val="000000" w:themeColor="text1"/>
          <w:sz w:val="28"/>
          <w:szCs w:val="28"/>
        </w:rPr>
        <w:t>Біотехнологія, стерильність, якість продукції рослинництва</w:t>
      </w:r>
      <w:r w:rsidRPr="00CC7883">
        <w:rPr>
          <w:rFonts w:ascii="Times New Roman" w:hAnsi="Times New Roman"/>
          <w:color w:val="000000" w:themeColor="text1"/>
          <w:sz w:val="28"/>
          <w:szCs w:val="28"/>
        </w:rPr>
        <w:t>. 2008. Т. 1, № 1. C. 43–49.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Оксантюк В. М. Особливості введення експлантів </w:t>
      </w:r>
      <w:r w:rsidRPr="00CC7883">
        <w:rPr>
          <w:rFonts w:ascii="Times New Roman" w:hAnsi="Times New Roman"/>
          <w:i/>
          <w:color w:val="000000" w:themeColor="text1"/>
          <w:sz w:val="28"/>
          <w:szCs w:val="28"/>
        </w:rPr>
        <w:t>Cotinus coggygria</w:t>
      </w:r>
      <w:r w:rsidRPr="00CC7883">
        <w:rPr>
          <w:rFonts w:ascii="Times New Roman" w:hAnsi="Times New Roman"/>
          <w:color w:val="000000" w:themeColor="text1"/>
          <w:sz w:val="28"/>
          <w:szCs w:val="28"/>
        </w:rPr>
        <w:t xml:space="preserve"> </w:t>
      </w:r>
      <w:r w:rsidR="0033331F">
        <w:rPr>
          <w:rFonts w:ascii="Times New Roman" w:hAnsi="Times New Roman"/>
          <w:color w:val="000000" w:themeColor="text1"/>
          <w:sz w:val="28"/>
          <w:szCs w:val="28"/>
        </w:rPr>
        <w:t>«Royal Purple»</w:t>
      </w:r>
      <w:r w:rsidRPr="00CC7883">
        <w:rPr>
          <w:rFonts w:ascii="Times New Roman" w:hAnsi="Times New Roman"/>
          <w:color w:val="000000" w:themeColor="text1"/>
          <w:sz w:val="28"/>
          <w:szCs w:val="28"/>
        </w:rPr>
        <w:t xml:space="preserve"> у культуру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Автохтонні та інтродуковані рослини</w:t>
      </w:r>
      <w:r w:rsidRPr="00CC7883">
        <w:rPr>
          <w:rFonts w:ascii="Times New Roman" w:hAnsi="Times New Roman"/>
          <w:color w:val="000000" w:themeColor="text1"/>
          <w:sz w:val="28"/>
          <w:szCs w:val="28"/>
        </w:rPr>
        <w:t>. 2013. Вип. 9. С. 108–112.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Олійник О. О., Клюваденко А. А., Мельничук М. Д. Покращення складу живильних середовищ для пришвидшення росту і розвитку троянди ефіроолійної в культурі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Збірник науково-технічних праць</w:t>
      </w:r>
      <w:r w:rsidRPr="00CC7883">
        <w:rPr>
          <w:rFonts w:ascii="Times New Roman" w:hAnsi="Times New Roman"/>
          <w:color w:val="000000" w:themeColor="text1"/>
          <w:sz w:val="28"/>
          <w:szCs w:val="28"/>
        </w:rPr>
        <w:t>. 2024. С. 134–138.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Підручник «Фізіологія рослин». Український ботанічний журнал. 2008. Т. 65, № 5. С. 775–780.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Подгаєцький А. А., Мацкевич В. В., Філіпова Л. М., Кравченко Н. В., Гнітецький М. О. Адаптивність рослин на етапі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 </w:t>
      </w:r>
      <w:r w:rsidRPr="00CC7883">
        <w:rPr>
          <w:rFonts w:ascii="Times New Roman" w:hAnsi="Times New Roman"/>
          <w:i/>
          <w:color w:val="000000" w:themeColor="text1"/>
          <w:sz w:val="28"/>
          <w:szCs w:val="28"/>
        </w:rPr>
        <w:t>ex</w:t>
      </w:r>
      <w:r w:rsidR="00FA1FC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Wschodnioeuropejskie Czasopismo Naukowe (East European Scientific Journal)</w:t>
      </w:r>
      <w:r w:rsidRPr="00CC7883">
        <w:rPr>
          <w:rFonts w:ascii="Times New Roman" w:hAnsi="Times New Roman"/>
          <w:color w:val="000000" w:themeColor="text1"/>
          <w:sz w:val="28"/>
          <w:szCs w:val="28"/>
        </w:rPr>
        <w:t>. 2020. Т. 4, № 56. С. 25–33.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lastRenderedPageBreak/>
        <w:t>Подгаєцький А.</w:t>
      </w:r>
      <w:r w:rsidR="00F11BE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А. Особливості мікроклонального розмноження видів рослин : монографія / А.</w:t>
      </w:r>
      <w:r w:rsidR="00FF36D8" w:rsidRPr="00F62136">
        <w:rPr>
          <w:rFonts w:ascii="Times New Roman" w:hAnsi="Times New Roman"/>
          <w:color w:val="000000" w:themeColor="text1"/>
          <w:sz w:val="28"/>
          <w:szCs w:val="28"/>
          <w:lang w:val="ru-RU"/>
        </w:rPr>
        <w:t xml:space="preserve"> </w:t>
      </w:r>
      <w:r w:rsidRPr="00CC7883">
        <w:rPr>
          <w:rFonts w:ascii="Times New Roman" w:hAnsi="Times New Roman"/>
          <w:color w:val="000000" w:themeColor="text1"/>
          <w:sz w:val="28"/>
          <w:szCs w:val="28"/>
        </w:rPr>
        <w:t>А. Подгаєцький, В. В. Мацкевич. Біла Церква : БНАУ, 2018. 209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Поліщук В. В. Підбір експлантів та умов вирощування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компонентів гібридів буряку цукрового. </w:t>
      </w:r>
      <w:r w:rsidRPr="00CC7883">
        <w:rPr>
          <w:rFonts w:ascii="Times New Roman" w:hAnsi="Times New Roman"/>
          <w:i/>
          <w:color w:val="000000" w:themeColor="text1"/>
          <w:sz w:val="28"/>
          <w:szCs w:val="28"/>
        </w:rPr>
        <w:t>Автохтонні та інтродуковані рослини</w:t>
      </w:r>
      <w:r w:rsidRPr="00CC7883">
        <w:rPr>
          <w:rFonts w:ascii="Times New Roman" w:hAnsi="Times New Roman"/>
          <w:color w:val="000000" w:themeColor="text1"/>
          <w:sz w:val="28"/>
          <w:szCs w:val="28"/>
        </w:rPr>
        <w:t>. 2012. Вип. 8. С. 128–132.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Потрохов А. О., Матвєєва Н. А. Оптимізація умов регенерації рослин цикорію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Физиология растений и генетика</w:t>
      </w:r>
      <w:r w:rsidRPr="00CC7883">
        <w:rPr>
          <w:rFonts w:ascii="Times New Roman" w:hAnsi="Times New Roman"/>
          <w:color w:val="000000" w:themeColor="text1"/>
          <w:sz w:val="28"/>
          <w:szCs w:val="28"/>
        </w:rPr>
        <w:t>. 2013. Т. 45, № 4. С. 340–348. URL:</w:t>
      </w:r>
      <w:r w:rsidR="00A67E8A"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http://dspace.nbuv.gov.ua/handle/123456789/159329.</w:t>
      </w:r>
    </w:p>
    <w:p w:rsidR="00B50852"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Починок Х. Н. Методы биохимического анализа растений. Київ : Вид-во «Наук. думка», 1976.</w:t>
      </w:r>
      <w:r w:rsidR="00B5085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 xml:space="preserve">336 с. </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Ратошнюк</w:t>
      </w:r>
      <w:r w:rsidR="00B5085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Т.</w:t>
      </w:r>
      <w:r w:rsidR="00B5085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М., Ратошнюк</w:t>
      </w:r>
      <w:r w:rsidR="00B5085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В.</w:t>
      </w:r>
      <w:r w:rsidR="006F4117"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І. Економічна</w:t>
      </w:r>
      <w:r w:rsidR="00B5085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ефективність</w:t>
      </w:r>
      <w:r w:rsidR="00B5085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вирощування</w:t>
      </w:r>
      <w:r w:rsidR="00B5085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гороху</w:t>
      </w:r>
      <w:r w:rsidR="00B5085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польового</w:t>
      </w:r>
      <w:r w:rsidR="00B5085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на</w:t>
      </w:r>
      <w:r w:rsidR="00AC1BC1">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насіння.</w:t>
      </w:r>
      <w:r w:rsidR="00B50852"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Економіка</w:t>
      </w:r>
      <w:r w:rsidR="00B50852"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АПК</w:t>
      </w:r>
      <w:r w:rsidRPr="00CC7883">
        <w:rPr>
          <w:rFonts w:ascii="Times New Roman" w:hAnsi="Times New Roman"/>
          <w:color w:val="000000" w:themeColor="text1"/>
          <w:sz w:val="28"/>
          <w:szCs w:val="28"/>
        </w:rPr>
        <w:t>. 2010. № 6. С. 42–45.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Рябовол Л. О., Рябовол Я. С. Мікроклональне розмноження рослинного матеріалу : метод. вказівки для лабораторних занять студентів з дисципліни «Основи біотехнології в рослинництві» зі спец. 201 «Агрономія», 202 «Захист і карантин рослин», 203</w:t>
      </w:r>
      <w:r w:rsidR="0033331F">
        <w:rPr>
          <w:rFonts w:ascii="Times New Roman" w:hAnsi="Times New Roman"/>
          <w:color w:val="000000" w:themeColor="text1"/>
          <w:sz w:val="28"/>
          <w:szCs w:val="28"/>
        </w:rPr>
        <w:t> </w:t>
      </w:r>
      <w:r w:rsidRPr="00CC7883">
        <w:rPr>
          <w:rFonts w:ascii="Times New Roman" w:hAnsi="Times New Roman"/>
          <w:color w:val="000000" w:themeColor="text1"/>
          <w:sz w:val="28"/>
          <w:szCs w:val="28"/>
        </w:rPr>
        <w:t>«Садівництво та виноградарство» вищих аграрних закладів освіти ІІІ–IV рівнів акредитації. Умань : Уманський НУС, 2019. 16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Сафронова Т. В. Вплив препаратів гормонального походження на продуктивність та морфологічні показники сортів-диференціаторів раку картоплі в культурі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Фітосанітарна безпека</w:t>
      </w:r>
      <w:r w:rsidRPr="00CC7883">
        <w:rPr>
          <w:rFonts w:ascii="Times New Roman" w:hAnsi="Times New Roman"/>
          <w:color w:val="000000" w:themeColor="text1"/>
          <w:sz w:val="28"/>
          <w:szCs w:val="28"/>
        </w:rPr>
        <w:t xml:space="preserve">. 2024. Вип. 70. С. 267–276. DOI: </w:t>
      </w:r>
      <w:hyperlink r:id="rId200" w:history="1">
        <w:r w:rsidRPr="009F213C">
          <w:rPr>
            <w:rStyle w:val="af3"/>
            <w:rFonts w:ascii="Times New Roman" w:hAnsi="Times New Roman"/>
            <w:color w:val="000000" w:themeColor="text1"/>
            <w:sz w:val="28"/>
            <w:szCs w:val="28"/>
            <w:u w:val="none"/>
          </w:rPr>
          <w:t>https://doi.org/10.36495/PHSS.2024.70.267-276</w:t>
        </w:r>
      </w:hyperlink>
      <w:r w:rsidRPr="00CC7883">
        <w:rPr>
          <w:rFonts w:ascii="Times New Roman" w:hAnsi="Times New Roman"/>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Статистика сільського господарства : навч. посіб. / Мармоза</w:t>
      </w:r>
      <w:r w:rsidR="006F4117"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А. Т. Київ, КНТ, 2007. 696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Стицько С. А., Черевата Т. М. Технологія розмноження винограду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Промислова біотехнологія клонального мікророзмноження плодових і винограду</w:t>
      </w:r>
      <w:r w:rsidRPr="00CC7883">
        <w:rPr>
          <w:rFonts w:ascii="Times New Roman" w:hAnsi="Times New Roman"/>
          <w:color w:val="000000" w:themeColor="text1"/>
          <w:sz w:val="28"/>
          <w:szCs w:val="28"/>
        </w:rPr>
        <w:t xml:space="preserve"> : тези доповідей наук.-практ. конф. Херсон, 1995. С. 43.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Стогодюк О. В. Робочий зошит з фізіології рослин : навч.-метод. посіб. для студентів 3 курсу денної форми навчання напряму підготовки 6.040102 «Біологія». Черкаси : ФОП Белінська О. Б., 2013. 100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lastRenderedPageBreak/>
        <w:t xml:space="preserve">Страшнюк Н. М., Кравець Н. Б., Конвалюк І. І., Твардовська М. О., Мельник В. М., Голубенко А. В. Введення в культуру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рідкісного виду українських Карпат </w:t>
      </w:r>
      <w:r w:rsidRPr="00CC7883">
        <w:rPr>
          <w:rFonts w:ascii="Times New Roman" w:hAnsi="Times New Roman"/>
          <w:i/>
          <w:color w:val="000000" w:themeColor="text1"/>
          <w:sz w:val="28"/>
          <w:szCs w:val="28"/>
        </w:rPr>
        <w:t>Gentiana verna</w:t>
      </w:r>
      <w:r w:rsidRPr="00CC7883">
        <w:rPr>
          <w:rFonts w:ascii="Times New Roman" w:hAnsi="Times New Roman"/>
          <w:color w:val="000000" w:themeColor="text1"/>
          <w:sz w:val="28"/>
          <w:szCs w:val="28"/>
        </w:rPr>
        <w:t xml:space="preserve"> L. </w:t>
      </w:r>
      <w:r w:rsidRPr="00CC7883">
        <w:rPr>
          <w:rFonts w:ascii="Times New Roman" w:hAnsi="Times New Roman"/>
          <w:i/>
          <w:color w:val="000000" w:themeColor="text1"/>
          <w:sz w:val="28"/>
          <w:szCs w:val="28"/>
        </w:rPr>
        <w:t>Науковий вісник Ужгородського університету. Серія Біологія</w:t>
      </w:r>
      <w:r w:rsidRPr="00CC7883">
        <w:rPr>
          <w:rFonts w:ascii="Times New Roman" w:hAnsi="Times New Roman"/>
          <w:color w:val="000000" w:themeColor="text1"/>
          <w:sz w:val="28"/>
          <w:szCs w:val="28"/>
        </w:rPr>
        <w:t>. 2008. Вип. 22. С. 49–53.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Таланкова-Середа Т. Є., Коломієць Ю. В., Григорюк І. П. Клональне мікророзмноження сортів м’яти перцевої (</w:t>
      </w:r>
      <w:r w:rsidRPr="00CC7883">
        <w:rPr>
          <w:rFonts w:ascii="Times New Roman" w:hAnsi="Times New Roman"/>
          <w:i/>
          <w:color w:val="000000" w:themeColor="text1"/>
          <w:sz w:val="28"/>
          <w:szCs w:val="28"/>
        </w:rPr>
        <w:t>Mentha piperita</w:t>
      </w:r>
      <w:r w:rsidRPr="00CC7883">
        <w:rPr>
          <w:rFonts w:ascii="Times New Roman" w:hAnsi="Times New Roman"/>
          <w:color w:val="000000" w:themeColor="text1"/>
          <w:sz w:val="28"/>
          <w:szCs w:val="28"/>
        </w:rPr>
        <w:t>) української селекції.</w:t>
      </w:r>
      <w:r w:rsidR="006F411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Біотехнологія та безпека</w:t>
      </w:r>
      <w:r w:rsidRPr="00CC7883">
        <w:rPr>
          <w:rFonts w:ascii="Times New Roman" w:hAnsi="Times New Roman"/>
          <w:color w:val="000000" w:themeColor="text1"/>
          <w:sz w:val="28"/>
          <w:szCs w:val="28"/>
        </w:rPr>
        <w:t>. 2016. № 2(31). С. 50–56.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i/>
          <w:color w:val="000000" w:themeColor="text1"/>
          <w:sz w:val="28"/>
          <w:szCs w:val="28"/>
        </w:rPr>
      </w:pPr>
      <w:r w:rsidRPr="00CC7883">
        <w:rPr>
          <w:rStyle w:val="af2"/>
          <w:rFonts w:ascii="Times New Roman" w:hAnsi="Times New Roman"/>
          <w:b w:val="0"/>
          <w:bCs w:val="0"/>
          <w:color w:val="000000" w:themeColor="text1"/>
          <w:sz w:val="28"/>
          <w:szCs w:val="28"/>
        </w:rPr>
        <w:t>Теслюк Н. І.</w:t>
      </w:r>
      <w:r w:rsidR="006F4117" w:rsidRPr="00CC7883">
        <w:rPr>
          <w:rStyle w:val="af2"/>
          <w:rFonts w:ascii="Times New Roman" w:hAnsi="Times New Roman"/>
          <w:b w:val="0"/>
          <w:bCs w:val="0"/>
          <w:color w:val="000000" w:themeColor="text1"/>
          <w:sz w:val="28"/>
          <w:szCs w:val="28"/>
        </w:rPr>
        <w:t xml:space="preserve"> </w:t>
      </w:r>
      <w:r w:rsidRPr="00CC7883">
        <w:rPr>
          <w:rStyle w:val="af1"/>
          <w:rFonts w:ascii="Times New Roman" w:hAnsi="Times New Roman"/>
          <w:i w:val="0"/>
          <w:color w:val="000000" w:themeColor="text1"/>
          <w:sz w:val="28"/>
          <w:szCs w:val="28"/>
        </w:rPr>
        <w:t>Оптимізація живильного середовища для мікроклонального розмноження волоського горіха</w:t>
      </w:r>
      <w:r w:rsidRPr="00CC7883">
        <w:rPr>
          <w:rStyle w:val="af1"/>
          <w:rFonts w:ascii="Times New Roman" w:hAnsi="Times New Roman"/>
          <w:color w:val="000000" w:themeColor="text1"/>
          <w:sz w:val="28"/>
          <w:szCs w:val="28"/>
        </w:rPr>
        <w:t xml:space="preserve"> (Juglans regia)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i/>
          <w:color w:val="000000" w:themeColor="text1"/>
          <w:sz w:val="28"/>
          <w:szCs w:val="28"/>
        </w:rPr>
        <w:t>.</w:t>
      </w:r>
      <w:r w:rsidR="00FA1FCB"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 xml:space="preserve">Мікробіологія та біотехнологія. </w:t>
      </w:r>
      <w:r w:rsidRPr="00CC7883">
        <w:rPr>
          <w:rFonts w:ascii="Times New Roman" w:hAnsi="Times New Roman"/>
          <w:color w:val="000000" w:themeColor="text1"/>
          <w:sz w:val="28"/>
          <w:szCs w:val="28"/>
        </w:rPr>
        <w:t>2022. Т. 3, № 4. С. 24–33. DOI: http://dx.doi.org/10.18524/2307-4663.2022.3(56).265806.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Теслюк Н. І. Удосконалення методів культури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для селекції та розмноження винограду : автореф. дис. … канд. с.-г. наук : 06.01.08. Одеса, 2009. 20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Теслюк Н. І. Утворення множинних пагонів винограду в культурі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на різних живильних середовищах. </w:t>
      </w:r>
      <w:r w:rsidRPr="00CC7883">
        <w:rPr>
          <w:rFonts w:ascii="Times New Roman" w:hAnsi="Times New Roman"/>
          <w:i/>
          <w:color w:val="000000" w:themeColor="text1"/>
          <w:sz w:val="28"/>
          <w:szCs w:val="28"/>
        </w:rPr>
        <w:t>Мікробіологія і біотехнологія</w:t>
      </w:r>
      <w:r w:rsidRPr="00CC7883">
        <w:rPr>
          <w:rFonts w:ascii="Times New Roman" w:hAnsi="Times New Roman"/>
          <w:color w:val="000000" w:themeColor="text1"/>
          <w:sz w:val="28"/>
          <w:szCs w:val="28"/>
        </w:rPr>
        <w:t>. 2018. № 1. С. 66–75. DOI: https://doi.org/10.18524/2307-4663.2018.1(41).119109.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Теслюк Н. І., Барабаш В. Б., Клачун А. А. Використання культури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у виноградарстві. </w:t>
      </w:r>
      <w:r w:rsidRPr="00CC7883">
        <w:rPr>
          <w:rFonts w:ascii="Times New Roman" w:hAnsi="Times New Roman"/>
          <w:i/>
          <w:color w:val="000000" w:themeColor="text1"/>
          <w:sz w:val="28"/>
          <w:szCs w:val="28"/>
        </w:rPr>
        <w:t>Виноградарство і виноробство</w:t>
      </w:r>
      <w:r w:rsidRPr="00CC7883">
        <w:rPr>
          <w:rFonts w:ascii="Times New Roman" w:hAnsi="Times New Roman"/>
          <w:color w:val="000000" w:themeColor="text1"/>
          <w:sz w:val="28"/>
          <w:szCs w:val="28"/>
        </w:rPr>
        <w:t xml:space="preserve"> : міжвідомчий тематичний науковий збірник. Одеса : ННЦ «ІВіВ ім. В.</w:t>
      </w:r>
      <w:r w:rsidR="00396E12">
        <w:rPr>
          <w:rFonts w:ascii="Times New Roman" w:hAnsi="Times New Roman"/>
          <w:color w:val="000000" w:themeColor="text1"/>
          <w:sz w:val="28"/>
          <w:szCs w:val="28"/>
        </w:rPr>
        <w:t> </w:t>
      </w:r>
      <w:r w:rsidRPr="00CC7883">
        <w:rPr>
          <w:rFonts w:ascii="Times New Roman" w:hAnsi="Times New Roman"/>
          <w:color w:val="000000" w:themeColor="text1"/>
          <w:sz w:val="28"/>
          <w:szCs w:val="28"/>
        </w:rPr>
        <w:t>Є.</w:t>
      </w:r>
      <w:r w:rsidR="00396E12">
        <w:rPr>
          <w:rFonts w:ascii="Times New Roman" w:hAnsi="Times New Roman"/>
          <w:color w:val="000000" w:themeColor="text1"/>
          <w:sz w:val="28"/>
          <w:szCs w:val="28"/>
        </w:rPr>
        <w:t> </w:t>
      </w:r>
      <w:r w:rsidRPr="00CC7883">
        <w:rPr>
          <w:rFonts w:ascii="Times New Roman" w:hAnsi="Times New Roman"/>
          <w:color w:val="000000" w:themeColor="text1"/>
          <w:sz w:val="28"/>
          <w:szCs w:val="28"/>
        </w:rPr>
        <w:t>Таїрова», 2016. Вип. 53. С. 209–217.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Титаренко Н. В., Теслюк Н. І. Удосконалення процесів мікроклонального розмноження ожини звичайної </w:t>
      </w:r>
      <w:r w:rsidRPr="00CC7883">
        <w:rPr>
          <w:rFonts w:ascii="Times New Roman" w:hAnsi="Times New Roman"/>
          <w:i/>
          <w:color w:val="000000" w:themeColor="text1"/>
          <w:sz w:val="28"/>
          <w:szCs w:val="28"/>
        </w:rPr>
        <w:t>Rubus caesius</w:t>
      </w:r>
      <w:r w:rsidRPr="00CC7883">
        <w:rPr>
          <w:rFonts w:ascii="Times New Roman" w:hAnsi="Times New Roman"/>
          <w:color w:val="000000" w:themeColor="text1"/>
          <w:sz w:val="28"/>
          <w:szCs w:val="28"/>
        </w:rPr>
        <w:t xml:space="preserve"> L. сорту Торнфрі. </w:t>
      </w:r>
      <w:r w:rsidRPr="00CC7883">
        <w:rPr>
          <w:rFonts w:ascii="Times New Roman" w:hAnsi="Times New Roman"/>
          <w:i/>
          <w:color w:val="000000" w:themeColor="text1"/>
          <w:sz w:val="28"/>
          <w:szCs w:val="28"/>
        </w:rPr>
        <w:t>Мікробіологія і біотехнологія</w:t>
      </w:r>
      <w:r w:rsidRPr="00CC7883">
        <w:rPr>
          <w:rFonts w:ascii="Times New Roman" w:hAnsi="Times New Roman"/>
          <w:color w:val="000000" w:themeColor="text1"/>
          <w:sz w:val="28"/>
          <w:szCs w:val="28"/>
        </w:rPr>
        <w:t>. 2020. № 2. С. 72–84. DOI: https://doi.org/10.18524/2307-4663.2020.2(49).209806.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Титаренко Н. В., Теслюк Н. І., Іваниця В. О. Вплив актинобактерій на адаптацію до умов </w:t>
      </w:r>
      <w:r w:rsidRPr="00CC7883">
        <w:rPr>
          <w:rFonts w:ascii="Times New Roman" w:hAnsi="Times New Roman"/>
          <w:i/>
          <w:color w:val="000000" w:themeColor="text1"/>
          <w:sz w:val="28"/>
          <w:szCs w:val="28"/>
        </w:rPr>
        <w:t>ex</w:t>
      </w:r>
      <w:r w:rsidR="00745ADB" w:rsidRPr="00CC7883">
        <w:rPr>
          <w:color w:val="000000" w:themeColor="text1"/>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та ріст мікроклонованих рослин </w:t>
      </w:r>
      <w:r w:rsidRPr="00CC7883">
        <w:rPr>
          <w:rFonts w:ascii="Times New Roman" w:hAnsi="Times New Roman"/>
          <w:i/>
          <w:color w:val="000000" w:themeColor="text1"/>
          <w:sz w:val="28"/>
          <w:szCs w:val="28"/>
        </w:rPr>
        <w:t>Rubus fruticosus</w:t>
      </w:r>
      <w:r w:rsidRPr="00CC7883">
        <w:rPr>
          <w:rFonts w:ascii="Times New Roman" w:hAnsi="Times New Roman"/>
          <w:color w:val="000000" w:themeColor="text1"/>
          <w:sz w:val="28"/>
          <w:szCs w:val="28"/>
        </w:rPr>
        <w:t xml:space="preserve"> L.</w:t>
      </w:r>
      <w:r w:rsidR="00224082"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Мікробіологія і біотехнологія</w:t>
      </w:r>
      <w:r w:rsidRPr="00CC7883">
        <w:rPr>
          <w:rFonts w:ascii="Times New Roman" w:hAnsi="Times New Roman"/>
          <w:color w:val="000000" w:themeColor="text1"/>
          <w:sz w:val="28"/>
          <w:szCs w:val="28"/>
        </w:rPr>
        <w:t xml:space="preserve">. 2023. Т. 1, № 57. С. 24–33. DOI: </w:t>
      </w:r>
      <w:hyperlink r:id="rId201" w:history="1">
        <w:r w:rsidRPr="009F213C">
          <w:rPr>
            <w:rStyle w:val="af3"/>
            <w:rFonts w:ascii="Times New Roman" w:hAnsi="Times New Roman"/>
            <w:color w:val="000000" w:themeColor="text1"/>
            <w:sz w:val="28"/>
            <w:szCs w:val="28"/>
            <w:u w:val="none"/>
          </w:rPr>
          <w:t>https://doi.org/10.18524/2307-4663.2023.1(57).276078</w:t>
        </w:r>
      </w:hyperlink>
      <w:r w:rsidRPr="00CC7883">
        <w:rPr>
          <w:rFonts w:ascii="Times New Roman" w:hAnsi="Times New Roman"/>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lastRenderedPageBreak/>
        <w:t>Тихоненко О.</w:t>
      </w:r>
      <w:r w:rsidR="00F11BE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В. Економічні аспекти використання іноземної зернозбиральної техніки в Україні.</w:t>
      </w:r>
      <w:r w:rsidR="00224082"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Економіка АПК</w:t>
      </w:r>
      <w:r w:rsidRPr="00CC7883">
        <w:rPr>
          <w:rFonts w:ascii="Times New Roman" w:hAnsi="Times New Roman"/>
          <w:color w:val="000000" w:themeColor="text1"/>
          <w:sz w:val="28"/>
          <w:szCs w:val="28"/>
        </w:rPr>
        <w:t>. 2009. № 5. С. 61–64.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Фекета І.</w:t>
      </w:r>
      <w:r w:rsidR="00F11BE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Ю. Фізіологія рослин. Методичні вказівки з дисципліни «Фізіологія рослин» для студентів спеціальності 6.130400 «Лісове господарство». Ужгород: Видавництво УжНУ «Говерла», 2011. 56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Фізіологія та біохімія рослин : комплекс навчально-методичних матеріалів. Харків : ХНУ ім. В. Н. Каразіна, 2013. 96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Черевата Т. М. Розробка методу попередньої підготовки і відбору вихідного матеріалу для культури винограду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Вісник Причорномор’я</w:t>
      </w:r>
      <w:r w:rsidRPr="00CC7883">
        <w:rPr>
          <w:rFonts w:ascii="Times New Roman" w:hAnsi="Times New Roman"/>
          <w:color w:val="000000" w:themeColor="text1"/>
          <w:sz w:val="28"/>
          <w:szCs w:val="28"/>
        </w:rPr>
        <w:t>. 2004. Вип. 29. С. 155–158.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Черевата Т. М. Розробка і оптимізація прийомів клонального мікророзмноження для виробництва садивного матеріалу винограду: автореф. дис. … канд. с.-г. наук : 06.01.08. Одеса, 2006. 22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Шерер В. А., Зеленянская Н. Н. Особенности виноградного растения и методы оценки показателей органов и тканей: научно-методическое пособие. Одеса: ННЦ «ІВіВ ім. В. Е. Таїрова». 2011. 114 с.</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Aasim M., Karatas M., Khawar K. M., Dogan M. Optimization of sterilization and micropropagation of water lettuce (</w:t>
      </w:r>
      <w:r w:rsidRPr="00CC7883">
        <w:rPr>
          <w:rFonts w:ascii="Times New Roman" w:hAnsi="Times New Roman"/>
          <w:i/>
          <w:color w:val="000000" w:themeColor="text1"/>
          <w:sz w:val="28"/>
          <w:szCs w:val="28"/>
        </w:rPr>
        <w:t>Pistia stratiotes</w:t>
      </w:r>
      <w:r w:rsidRPr="00CC7883">
        <w:rPr>
          <w:rFonts w:ascii="Times New Roman" w:hAnsi="Times New Roman"/>
          <w:color w:val="000000" w:themeColor="text1"/>
          <w:sz w:val="28"/>
          <w:szCs w:val="28"/>
        </w:rPr>
        <w:t xml:space="preserve"> L.).</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Applied Biological Sciences</w:t>
      </w:r>
      <w:r w:rsidRPr="00CC7883">
        <w:rPr>
          <w:rFonts w:ascii="Times New Roman" w:hAnsi="Times New Roman"/>
          <w:color w:val="000000" w:themeColor="text1"/>
          <w:sz w:val="28"/>
          <w:szCs w:val="28"/>
        </w:rPr>
        <w:t>. 2013. Vol. 7, No. 3. P. 71–74.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Aazami M. A. Effect of some growth regulators on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culture of two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cultivars.</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Romanian Biotechnological Letters</w:t>
      </w:r>
      <w:r w:rsidRPr="00CC7883">
        <w:rPr>
          <w:rFonts w:ascii="Times New Roman" w:hAnsi="Times New Roman"/>
          <w:color w:val="000000" w:themeColor="text1"/>
          <w:sz w:val="28"/>
          <w:szCs w:val="28"/>
        </w:rPr>
        <w:t>. 2010. Vol. 15,</w:t>
      </w:r>
      <w:r w:rsidR="005D150D"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3. P. 5229–5232.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Abdella B., Belay Z., Tsegaw T. Optimization of hormonal compositions of media for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propagation of apple (</w:t>
      </w:r>
      <w:r w:rsidRPr="00CC7883">
        <w:rPr>
          <w:rFonts w:ascii="Times New Roman" w:hAnsi="Times New Roman"/>
          <w:i/>
          <w:color w:val="000000" w:themeColor="text1"/>
          <w:sz w:val="28"/>
          <w:szCs w:val="28"/>
        </w:rPr>
        <w:t>Malus × domestica</w:t>
      </w:r>
      <w:r w:rsidRPr="00CC7883">
        <w:rPr>
          <w:rFonts w:ascii="Times New Roman" w:hAnsi="Times New Roman"/>
          <w:color w:val="000000" w:themeColor="text1"/>
          <w:sz w:val="28"/>
          <w:szCs w:val="28"/>
        </w:rPr>
        <w:t>).</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The Open Biotechnology Journal</w:t>
      </w:r>
      <w:r w:rsidRPr="00CC7883">
        <w:rPr>
          <w:rFonts w:ascii="Times New Roman" w:hAnsi="Times New Roman"/>
          <w:color w:val="000000" w:themeColor="text1"/>
          <w:sz w:val="28"/>
          <w:szCs w:val="28"/>
        </w:rPr>
        <w:t>. 2023. Vol. 17. DOI: https://doi.org/10.2174/1874070723666230712105143.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Abdelwahd R., Hakam N., Labhilili M., Udupa S. M. Effect of activated charcoal and plant growth regulators on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shoot proliferation and rooting of jojoba (</w:t>
      </w:r>
      <w:r w:rsidRPr="00CC7883">
        <w:rPr>
          <w:rFonts w:ascii="Times New Roman" w:hAnsi="Times New Roman"/>
          <w:i/>
          <w:color w:val="000000" w:themeColor="text1"/>
          <w:sz w:val="28"/>
          <w:szCs w:val="28"/>
        </w:rPr>
        <w:t>Simmondsia chinensis</w:t>
      </w:r>
      <w:r w:rsidRPr="00CC7883">
        <w:rPr>
          <w:rFonts w:ascii="Times New Roman" w:hAnsi="Times New Roman"/>
          <w:color w:val="000000" w:themeColor="text1"/>
          <w:sz w:val="28"/>
          <w:szCs w:val="28"/>
        </w:rPr>
        <w:t>).</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African Journal of Biotechnology</w:t>
      </w:r>
      <w:r w:rsidRPr="00CC7883">
        <w:rPr>
          <w:rFonts w:ascii="Times New Roman" w:hAnsi="Times New Roman"/>
          <w:color w:val="000000" w:themeColor="text1"/>
          <w:sz w:val="28"/>
          <w:szCs w:val="28"/>
        </w:rPr>
        <w:t>. 2010. Vol. 9, No. 46. P. 7788–7793. DOI: https://doi.org/10.5897/AJB10.1158.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lastRenderedPageBreak/>
        <w:t xml:space="preserve">Abido A. I. A., Aly M. A. M., Hassanen S., Abou El-Dis G. </w:t>
      </w:r>
      <w:r w:rsidRPr="00CC7883">
        <w:rPr>
          <w:rFonts w:ascii="Times New Roman" w:hAnsi="Times New Roman"/>
          <w:i/>
          <w:color w:val="000000" w:themeColor="text1"/>
          <w:sz w:val="28"/>
          <w:szCs w:val="28"/>
        </w:rPr>
        <w:t>In</w:t>
      </w:r>
      <w:r w:rsidR="00FA1FC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propagation of grapevine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‘Muscat of Alexandria’ for conservation of endangerment.</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Middle East Journal of Scientific Research</w:t>
      </w:r>
      <w:r w:rsidRPr="00CC7883">
        <w:rPr>
          <w:rFonts w:ascii="Times New Roman" w:hAnsi="Times New Roman"/>
          <w:color w:val="000000" w:themeColor="text1"/>
          <w:sz w:val="28"/>
          <w:szCs w:val="28"/>
        </w:rPr>
        <w:t>. 2013. Vol. 13. P. 328–337. DOI: https://doi.org/10.5829/idosi.mejsr.2013.13.3.1926.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Ahmad A., Zhong H., Wang W., Sticklen M. Shoot apical meristem: </w:t>
      </w:r>
      <w:r w:rsidRPr="00CC7883">
        <w:rPr>
          <w:rFonts w:ascii="Times New Roman" w:hAnsi="Times New Roman"/>
          <w:i/>
          <w:color w:val="000000" w:themeColor="text1"/>
          <w:sz w:val="28"/>
          <w:szCs w:val="28"/>
        </w:rPr>
        <w:t>In</w:t>
      </w:r>
      <w:r w:rsidR="00FA1FC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regeneration and morphogenesis in wheat (</w:t>
      </w:r>
      <w:r w:rsidRPr="00CC7883">
        <w:rPr>
          <w:rFonts w:ascii="Times New Roman" w:hAnsi="Times New Roman"/>
          <w:i/>
          <w:color w:val="000000" w:themeColor="text1"/>
          <w:sz w:val="28"/>
          <w:szCs w:val="28"/>
        </w:rPr>
        <w:t>Triticum aestivum</w:t>
      </w:r>
      <w:r w:rsidRPr="00CC7883">
        <w:rPr>
          <w:rFonts w:ascii="Times New Roman" w:hAnsi="Times New Roman"/>
          <w:color w:val="000000" w:themeColor="text1"/>
          <w:sz w:val="28"/>
          <w:szCs w:val="28"/>
        </w:rPr>
        <w:t xml:space="preserve"> L.).</w:t>
      </w:r>
      <w:r w:rsidR="00FA1FCB"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w:t>
      </w:r>
      <w:r w:rsidR="00FA1FC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00FA1FCB"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Cellular &amp; Developmental Biology – Plant</w:t>
      </w:r>
      <w:r w:rsidRPr="00CC7883">
        <w:rPr>
          <w:rFonts w:ascii="Times New Roman" w:hAnsi="Times New Roman"/>
          <w:color w:val="000000" w:themeColor="text1"/>
          <w:sz w:val="28"/>
          <w:szCs w:val="28"/>
        </w:rPr>
        <w:t>. 2002. Vol. 38, No. 2. P. 163–167. DOI: https://doi.org/10.1079/IVP2001267.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Akita K., Hasezawa S., Higaki T. Breaking of plant stomatal one-cell-spacing rule by sugar solution immersion.</w:t>
      </w:r>
      <w:r w:rsidR="005D150D" w:rsidRPr="00CC7883">
        <w:rPr>
          <w:rFonts w:ascii="Times New Roman" w:hAnsi="Times New Roman"/>
          <w:color w:val="000000" w:themeColor="text1"/>
          <w:sz w:val="28"/>
          <w:szCs w:val="28"/>
        </w:rPr>
        <w:t xml:space="preserve"> </w:t>
      </w:r>
      <w:r w:rsidR="00FB6C54" w:rsidRPr="00CC7883">
        <w:rPr>
          <w:rFonts w:ascii="Times New Roman" w:hAnsi="Times New Roman"/>
          <w:i/>
          <w:color w:val="000000" w:themeColor="text1"/>
          <w:sz w:val="28"/>
          <w:szCs w:val="28"/>
        </w:rPr>
        <w:t>PLoS One</w:t>
      </w:r>
      <w:r w:rsidRPr="00CC7883">
        <w:rPr>
          <w:rFonts w:ascii="Times New Roman" w:hAnsi="Times New Roman"/>
          <w:color w:val="000000" w:themeColor="text1"/>
          <w:sz w:val="28"/>
          <w:szCs w:val="28"/>
        </w:rPr>
        <w:t>. 2013. Vol. 8, No. 9. e72456. DOI: https://doi.org/10.1371/journal.pone.0072456.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Akter N., Hoque M. I., Sarker R. H. </w:t>
      </w:r>
      <w:r w:rsidRPr="00CC7883">
        <w:rPr>
          <w:rFonts w:ascii="Times New Roman" w:hAnsi="Times New Roman"/>
          <w:i/>
          <w:color w:val="000000" w:themeColor="text1"/>
          <w:sz w:val="28"/>
          <w:szCs w:val="28"/>
        </w:rPr>
        <w:t>In</w:t>
      </w:r>
      <w:r w:rsidR="00FA1FC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propagation in three varieties of Gerbera (</w:t>
      </w:r>
      <w:r w:rsidRPr="00CC7883">
        <w:rPr>
          <w:rFonts w:ascii="Times New Roman" w:hAnsi="Times New Roman"/>
          <w:i/>
          <w:color w:val="000000" w:themeColor="text1"/>
          <w:sz w:val="28"/>
          <w:szCs w:val="28"/>
        </w:rPr>
        <w:t>Gerbera jamesonii</w:t>
      </w:r>
      <w:r w:rsidRPr="00CC7883">
        <w:rPr>
          <w:rFonts w:ascii="Times New Roman" w:hAnsi="Times New Roman"/>
          <w:color w:val="000000" w:themeColor="text1"/>
          <w:sz w:val="28"/>
          <w:szCs w:val="28"/>
        </w:rPr>
        <w:t xml:space="preserve"> Bolus.) from flower bud and flower stalk explants.</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Tissue Culture &amp; Biotechnology</w:t>
      </w:r>
      <w:r w:rsidRPr="00CC7883">
        <w:rPr>
          <w:rFonts w:ascii="Times New Roman" w:hAnsi="Times New Roman"/>
          <w:color w:val="000000" w:themeColor="text1"/>
          <w:sz w:val="28"/>
          <w:szCs w:val="28"/>
        </w:rPr>
        <w:t>. 2012. Vol. 22,</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2. P. 143–152.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Aké A., Maust B., Orozco-Segovia A., Oropeza C. The effect of gibberellic acid on the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germination of coconut zygotic embryos and their conversion into plantlets.</w:t>
      </w:r>
      <w:r w:rsidR="00FA1FCB"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w:t>
      </w:r>
      <w:r w:rsidR="00FA1FC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00FA1FCB"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Cellular &amp; Developmental Biology – Plant</w:t>
      </w:r>
      <w:r w:rsidRPr="00CC7883">
        <w:rPr>
          <w:rFonts w:ascii="Times New Roman" w:hAnsi="Times New Roman"/>
          <w:color w:val="000000" w:themeColor="text1"/>
          <w:sz w:val="28"/>
          <w:szCs w:val="28"/>
        </w:rPr>
        <w:t>. 2007. Vol. 43. P. 247–253. DOI: https://doi.org/10.1007/s11627-006-9018-1.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Ali A., Sajid A., Naveed N. H., Majid A., Saleem A., Khan U. A., Jafery F. I., Naz S. Initiation, proliferation and development of micropropagation system for mass scale production of banana through meristem culture.</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African Journal of Biotechnology</w:t>
      </w:r>
      <w:r w:rsidRPr="00CC7883">
        <w:rPr>
          <w:rFonts w:ascii="Times New Roman" w:hAnsi="Times New Roman"/>
          <w:color w:val="000000" w:themeColor="text1"/>
          <w:sz w:val="28"/>
          <w:szCs w:val="28"/>
        </w:rPr>
        <w:t>. 2011. Vol. 10, No. 70. P. 15731–15738. DOI: https://doi.org/10.5897/AJB11.2079.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Antonić D., Milošević S., Cingel A., Lojić M., Trifunović-Momčilov M., Petrić M., Subotić A., Simonović A. Effects of exogenous salicylic acid on </w:t>
      </w:r>
      <w:r w:rsidRPr="00CC7883">
        <w:rPr>
          <w:rFonts w:ascii="Times New Roman" w:hAnsi="Times New Roman"/>
          <w:i/>
          <w:color w:val="000000" w:themeColor="text1"/>
          <w:sz w:val="28"/>
          <w:szCs w:val="28"/>
        </w:rPr>
        <w:t>Impatiens walleriana</w:t>
      </w:r>
      <w:r w:rsidRPr="00CC7883">
        <w:rPr>
          <w:rFonts w:ascii="Times New Roman" w:hAnsi="Times New Roman"/>
          <w:color w:val="000000" w:themeColor="text1"/>
          <w:sz w:val="28"/>
          <w:szCs w:val="28"/>
        </w:rPr>
        <w:t xml:space="preserve"> L. grown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under polyethylene glycol-imposed drought.</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South African Journal of Botany</w:t>
      </w:r>
      <w:r w:rsidRPr="00CC7883">
        <w:rPr>
          <w:rFonts w:ascii="Times New Roman" w:hAnsi="Times New Roman"/>
          <w:color w:val="000000" w:themeColor="text1"/>
          <w:sz w:val="28"/>
          <w:szCs w:val="28"/>
        </w:rPr>
        <w:t>. 2016. Vol. 105. P. 226–233.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Arab M. M., Yadollahi A., Eftekhari M., Ahmadi H., Akbari M., Khorami S. S. Modeling and optimizing a new culture medium for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of G×N15 </w:t>
      </w:r>
      <w:r w:rsidRPr="00CC7883">
        <w:rPr>
          <w:rFonts w:ascii="Times New Roman" w:hAnsi="Times New Roman"/>
          <w:i/>
          <w:color w:val="000000" w:themeColor="text1"/>
          <w:sz w:val="28"/>
          <w:szCs w:val="28"/>
        </w:rPr>
        <w:t>Prunus</w:t>
      </w:r>
      <w:r w:rsidRPr="00CC7883">
        <w:rPr>
          <w:rFonts w:ascii="Times New Roman" w:hAnsi="Times New Roman"/>
          <w:color w:val="000000" w:themeColor="text1"/>
          <w:sz w:val="28"/>
          <w:szCs w:val="28"/>
        </w:rPr>
        <w:t xml:space="preserve"> rootstock using artificial neural network–genetic algorithm.</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 xml:space="preserve">Scientific </w:t>
      </w:r>
      <w:r w:rsidRPr="00CC7883">
        <w:rPr>
          <w:rFonts w:ascii="Times New Roman" w:hAnsi="Times New Roman"/>
          <w:i/>
          <w:color w:val="000000" w:themeColor="text1"/>
          <w:sz w:val="28"/>
          <w:szCs w:val="28"/>
        </w:rPr>
        <w:lastRenderedPageBreak/>
        <w:t>Reports</w:t>
      </w:r>
      <w:r w:rsidRPr="00CC7883">
        <w:rPr>
          <w:rFonts w:ascii="Times New Roman" w:hAnsi="Times New Roman"/>
          <w:color w:val="000000" w:themeColor="text1"/>
          <w:sz w:val="28"/>
          <w:szCs w:val="28"/>
        </w:rPr>
        <w:t>. 2018. Vol. 8. DOI: https://doi.org/10.1038/s41598-018-27858-4.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Asadi A. A., Vedadi C., Rahimi M., Khiabani B. N. Effect of plant growth hormones on root and shoot regeneration in rose (Morrasia) under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conditions.</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Bioscience Research</w:t>
      </w:r>
      <w:r w:rsidRPr="00CC7883">
        <w:rPr>
          <w:rFonts w:ascii="Times New Roman" w:hAnsi="Times New Roman"/>
          <w:color w:val="000000" w:themeColor="text1"/>
          <w:sz w:val="28"/>
          <w:szCs w:val="28"/>
        </w:rPr>
        <w:t>. 2009. Vol. 6,</w:t>
      </w:r>
      <w:r w:rsidR="00F56FF7"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 P. 40–45.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Avksentiieva О.</w:t>
      </w:r>
      <w:r w:rsidR="00224082"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 xml:space="preserve">О. Characterization of research objects in modern phytophysiology. In: Materials of the scientific-methodical seminar: </w:t>
      </w:r>
      <w:r w:rsidRPr="00CC7883">
        <w:rPr>
          <w:rStyle w:val="af1"/>
          <w:rFonts w:ascii="Times New Roman" w:hAnsi="Times New Roman"/>
          <w:color w:val="000000" w:themeColor="text1"/>
          <w:sz w:val="28"/>
          <w:szCs w:val="28"/>
        </w:rPr>
        <w:t>Plant physiology in the system of modern biological knowledge and sciences</w:t>
      </w:r>
      <w:r w:rsidRPr="00CC7883">
        <w:rPr>
          <w:rFonts w:ascii="Times New Roman" w:hAnsi="Times New Roman"/>
          <w:i/>
          <w:color w:val="000000" w:themeColor="text1"/>
          <w:sz w:val="28"/>
          <w:szCs w:val="28"/>
        </w:rPr>
        <w:t>.</w:t>
      </w:r>
      <w:r w:rsidR="00F56FF7" w:rsidRPr="00CC7883">
        <w:rPr>
          <w:rFonts w:ascii="Times New Roman" w:hAnsi="Times New Roman"/>
          <w:i/>
          <w:color w:val="000000" w:themeColor="text1"/>
          <w:sz w:val="28"/>
          <w:szCs w:val="28"/>
        </w:rPr>
        <w:t xml:space="preserve"> </w:t>
      </w:r>
      <w:r w:rsidRPr="00CC7883">
        <w:rPr>
          <w:rFonts w:ascii="Times New Roman" w:hAnsi="Times New Roman"/>
          <w:color w:val="000000" w:themeColor="text1"/>
          <w:sz w:val="28"/>
          <w:szCs w:val="28"/>
        </w:rPr>
        <w:t>Kharkiv: 2013. P. 8</w:t>
      </w:r>
      <w:r w:rsidR="00F56FF7" w:rsidRPr="00CC7883">
        <w:rPr>
          <w:rFonts w:ascii="Times New Roman" w:hAnsi="Times New Roman"/>
          <w:color w:val="000000" w:themeColor="text1"/>
          <w:sz w:val="28"/>
          <w:szCs w:val="28"/>
        </w:rPr>
        <w:t>–</w:t>
      </w:r>
      <w:r w:rsidRPr="00CC7883">
        <w:rPr>
          <w:rFonts w:ascii="Times New Roman" w:hAnsi="Times New Roman"/>
          <w:color w:val="000000" w:themeColor="text1"/>
          <w:sz w:val="28"/>
          <w:szCs w:val="28"/>
        </w:rPr>
        <w:t>10.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Badoni A., Chauhan J. S.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sterilization protocol for micropropagation of </w:t>
      </w:r>
      <w:r w:rsidRPr="00CC7883">
        <w:rPr>
          <w:rFonts w:ascii="Times New Roman" w:hAnsi="Times New Roman"/>
          <w:i/>
          <w:color w:val="000000" w:themeColor="text1"/>
          <w:sz w:val="28"/>
          <w:szCs w:val="28"/>
        </w:rPr>
        <w:t>Solanum tuberosum</w:t>
      </w:r>
      <w:r w:rsidRPr="00CC7883">
        <w:rPr>
          <w:rFonts w:ascii="Times New Roman" w:hAnsi="Times New Roman"/>
          <w:color w:val="000000" w:themeColor="text1"/>
          <w:sz w:val="28"/>
          <w:szCs w:val="28"/>
        </w:rPr>
        <w:t xml:space="preserve"> cv. ‘Kufri Himalini’.</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Academia Arena</w:t>
      </w:r>
      <w:r w:rsidRPr="00CC7883">
        <w:rPr>
          <w:rFonts w:ascii="Times New Roman" w:hAnsi="Times New Roman"/>
          <w:color w:val="000000" w:themeColor="text1"/>
          <w:sz w:val="28"/>
          <w:szCs w:val="28"/>
        </w:rPr>
        <w:t>. 2010. Vol. 2,</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4. P. 24–27.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Baghel S., Bansal Y. K. Synergistic effect of BAP and GA₃ on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flowering of </w:t>
      </w:r>
      <w:r w:rsidRPr="00CC7883">
        <w:rPr>
          <w:rFonts w:ascii="Times New Roman" w:hAnsi="Times New Roman"/>
          <w:i/>
          <w:color w:val="000000" w:themeColor="text1"/>
          <w:sz w:val="28"/>
          <w:szCs w:val="28"/>
        </w:rPr>
        <w:t>Guizotia abyssinica</w:t>
      </w:r>
      <w:r w:rsidRPr="00CC7883">
        <w:rPr>
          <w:rFonts w:ascii="Times New Roman" w:hAnsi="Times New Roman"/>
          <w:color w:val="000000" w:themeColor="text1"/>
          <w:sz w:val="28"/>
          <w:szCs w:val="28"/>
        </w:rPr>
        <w:t xml:space="preserve"> Cass. – a multipurpose oil crop.</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Physiology and Molecular Biology of Plants</w:t>
      </w:r>
      <w:r w:rsidRPr="00CC7883">
        <w:rPr>
          <w:rFonts w:ascii="Times New Roman" w:hAnsi="Times New Roman"/>
          <w:color w:val="000000" w:themeColor="text1"/>
          <w:sz w:val="28"/>
          <w:szCs w:val="28"/>
        </w:rPr>
        <w:t>. 2014. Vol. 20, No. 2. P. 241–247. DOI: https://doi.org/10.1007/s12298-014-0229-3.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Banilas G., Korkas E. Rapid micropropagation of grapevine (cv. Agiorgitiko) through lateral bud development.</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E-Journal of Science and Technology</w:t>
      </w:r>
      <w:r w:rsidRPr="00CC7883">
        <w:rPr>
          <w:rFonts w:ascii="Times New Roman" w:hAnsi="Times New Roman"/>
          <w:color w:val="000000" w:themeColor="text1"/>
          <w:sz w:val="28"/>
          <w:szCs w:val="28"/>
        </w:rPr>
        <w:t>. 2007. Issue 6. P. 31–38.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Barreto M. S., Nookaraju A. Effect of auxin types on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and </w:t>
      </w:r>
      <w:r w:rsidRPr="00CC7883">
        <w:rPr>
          <w:rFonts w:ascii="Times New Roman" w:hAnsi="Times New Roman"/>
          <w:i/>
          <w:color w:val="000000" w:themeColor="text1"/>
          <w:sz w:val="28"/>
          <w:szCs w:val="28"/>
        </w:rPr>
        <w:t>ex</w:t>
      </w:r>
      <w:r w:rsidR="00FA1FC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rooting and acclimatization of grapevine as influenced by substrates.</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Indian Journal of Horticulture</w:t>
      </w:r>
      <w:r w:rsidRPr="00CC7883">
        <w:rPr>
          <w:rFonts w:ascii="Times New Roman" w:hAnsi="Times New Roman"/>
          <w:color w:val="000000" w:themeColor="text1"/>
          <w:sz w:val="28"/>
          <w:szCs w:val="28"/>
        </w:rPr>
        <w:t>. 2007. Vol. 64,</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 P. 5–11.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Barseghyan A., Melyan G., Sahakyan A. J., Dangyan K., Sahakyan N., Zadayan M., Martirosyan Y. T. Effect of the culture liquid of Antarctic yeast </w:t>
      </w:r>
      <w:r w:rsidRPr="00CC7883">
        <w:rPr>
          <w:rFonts w:ascii="Times New Roman" w:hAnsi="Times New Roman"/>
          <w:i/>
          <w:color w:val="000000" w:themeColor="text1"/>
          <w:sz w:val="28"/>
          <w:szCs w:val="28"/>
        </w:rPr>
        <w:t>Nadsoniella nigra</w:t>
      </w:r>
      <w:r w:rsidRPr="00CC7883">
        <w:rPr>
          <w:rFonts w:ascii="Times New Roman" w:hAnsi="Times New Roman"/>
          <w:color w:val="000000" w:themeColor="text1"/>
          <w:sz w:val="28"/>
          <w:szCs w:val="28"/>
        </w:rPr>
        <w:t xml:space="preserve"> on rooting, growth, and biochemical composition of </w:t>
      </w:r>
      <w:r w:rsidR="00FA1FC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grapevine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cultivar ‘Karmrahyut’.</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Functional Foods in Health and Disease</w:t>
      </w:r>
      <w:r w:rsidRPr="00CC7883">
        <w:rPr>
          <w:rFonts w:ascii="Times New Roman" w:hAnsi="Times New Roman"/>
          <w:color w:val="000000" w:themeColor="text1"/>
          <w:sz w:val="28"/>
          <w:szCs w:val="28"/>
        </w:rPr>
        <w:t>. 2024. Vol. 14, No. 10. DOI: https://doi.org/10.31989/ffhd.v14i10.1474.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Baskaran P., Jayabalan N. </w:t>
      </w:r>
      <w:r w:rsidRPr="00CC7883">
        <w:rPr>
          <w:rFonts w:ascii="Times New Roman" w:hAnsi="Times New Roman"/>
          <w:i/>
          <w:color w:val="000000" w:themeColor="text1"/>
          <w:sz w:val="28"/>
          <w:szCs w:val="28"/>
        </w:rPr>
        <w:t>In</w:t>
      </w:r>
      <w:r w:rsidR="00FA1FC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plant regeneration and mass propagation system for </w:t>
      </w:r>
      <w:r w:rsidRPr="00CC7883">
        <w:rPr>
          <w:rFonts w:ascii="Times New Roman" w:hAnsi="Times New Roman"/>
          <w:i/>
          <w:color w:val="000000" w:themeColor="text1"/>
          <w:sz w:val="28"/>
          <w:szCs w:val="28"/>
        </w:rPr>
        <w:t>Sorghum bicolor</w:t>
      </w:r>
      <w:r w:rsidRPr="00CC7883">
        <w:rPr>
          <w:rFonts w:ascii="Times New Roman" w:hAnsi="Times New Roman"/>
          <w:color w:val="000000" w:themeColor="text1"/>
          <w:sz w:val="28"/>
          <w:szCs w:val="28"/>
        </w:rPr>
        <w:t xml:space="preserve"> – a valuable major cereal crop.</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Agricultural Technology</w:t>
      </w:r>
      <w:r w:rsidRPr="00CC7883">
        <w:rPr>
          <w:rFonts w:ascii="Times New Roman" w:hAnsi="Times New Roman"/>
          <w:color w:val="000000" w:themeColor="text1"/>
          <w:sz w:val="28"/>
          <w:szCs w:val="28"/>
        </w:rPr>
        <w:t>. 2005. P. 345–363.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lastRenderedPageBreak/>
        <w:t>Bauri F. K., Dey K., Ghosh A., Chakraborti K., Misra D. K. Effects of indole butyric acid on rooting in cuttings of Burmese grape (</w:t>
      </w:r>
      <w:r w:rsidRPr="00CC7883">
        <w:rPr>
          <w:rFonts w:ascii="Times New Roman" w:hAnsi="Times New Roman"/>
          <w:i/>
          <w:color w:val="000000" w:themeColor="text1"/>
          <w:sz w:val="28"/>
          <w:szCs w:val="28"/>
        </w:rPr>
        <w:t>Baccaurea sapida</w:t>
      </w:r>
      <w:r w:rsidRPr="00CC7883">
        <w:rPr>
          <w:rFonts w:ascii="Times New Roman" w:hAnsi="Times New Roman"/>
          <w:color w:val="000000" w:themeColor="text1"/>
          <w:sz w:val="28"/>
          <w:szCs w:val="28"/>
        </w:rPr>
        <w:t>).</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Food and Nutrition Journal</w:t>
      </w:r>
      <w:r w:rsidRPr="00CC7883">
        <w:rPr>
          <w:rFonts w:ascii="Times New Roman" w:hAnsi="Times New Roman"/>
          <w:color w:val="000000" w:themeColor="text1"/>
          <w:sz w:val="28"/>
          <w:szCs w:val="28"/>
        </w:rPr>
        <w:t>. 2017. Vol. 2. DOI: https://doi.org/10.29011/2575-7091.100051.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Bettoni J. C., Costa M. D., Gardin J. P. P., Kretzchmar A. A., Souza J. A. </w:t>
      </w:r>
      <w:r w:rsidRPr="00CC7883">
        <w:rPr>
          <w:rFonts w:ascii="Times New Roman" w:hAnsi="Times New Roman"/>
          <w:i/>
          <w:color w:val="000000" w:themeColor="text1"/>
          <w:sz w:val="28"/>
          <w:szCs w:val="28"/>
        </w:rPr>
        <w:t>In</w:t>
      </w:r>
      <w:r w:rsidR="00FA1FC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propagation of grapevine cultivars with potential for South of Brazil.</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American Journal of Plant Sciences</w:t>
      </w:r>
      <w:r w:rsidRPr="00CC7883">
        <w:rPr>
          <w:rFonts w:ascii="Times New Roman" w:hAnsi="Times New Roman"/>
          <w:color w:val="000000" w:themeColor="text1"/>
          <w:sz w:val="28"/>
          <w:szCs w:val="28"/>
        </w:rPr>
        <w:t>. 2015. Vol. 6. P. 1806–1815. DOI: https://doi.org/10.4236/ajps.2015.611181.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Bettoni J. C., Costa M. D., Gardin J. P. P., Kretzschmar A. A., Souza J. A., Passos J. F. M. Free culture media of growth regulators on micropropagation of grapevine (</w:t>
      </w:r>
      <w:r w:rsidRPr="00CC7883">
        <w:rPr>
          <w:rFonts w:ascii="Times New Roman" w:hAnsi="Times New Roman"/>
          <w:i/>
          <w:color w:val="000000" w:themeColor="text1"/>
          <w:sz w:val="28"/>
          <w:szCs w:val="28"/>
        </w:rPr>
        <w:t>Vitis labrusca</w:t>
      </w:r>
      <w:r w:rsidRPr="00CC7883">
        <w:rPr>
          <w:rFonts w:ascii="Times New Roman" w:hAnsi="Times New Roman"/>
          <w:color w:val="000000" w:themeColor="text1"/>
          <w:sz w:val="28"/>
          <w:szCs w:val="28"/>
        </w:rPr>
        <w:t xml:space="preserve"> L.) ‘Bordô’ cultivar through nodal segments.</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Evidência (Joaçaba)</w:t>
      </w:r>
      <w:r w:rsidRPr="00CC7883">
        <w:rPr>
          <w:rFonts w:ascii="Times New Roman" w:hAnsi="Times New Roman"/>
          <w:color w:val="000000" w:themeColor="text1"/>
          <w:sz w:val="28"/>
          <w:szCs w:val="28"/>
        </w:rPr>
        <w:t>. 2016. Vol. 16, No. 1. P. 59–70.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bCs/>
          <w:color w:val="000000" w:themeColor="text1"/>
          <w:sz w:val="28"/>
          <w:szCs w:val="28"/>
        </w:rPr>
        <w:t>Beza K., Feyssa T. &amp; Bedada G.</w:t>
      </w:r>
      <w:r w:rsidR="002100FE" w:rsidRPr="00CC7883">
        <w:rPr>
          <w:rFonts w:ascii="Times New Roman" w:hAnsi="Times New Roman"/>
          <w:bCs/>
          <w:color w:val="000000" w:themeColor="text1"/>
          <w:sz w:val="28"/>
          <w:szCs w:val="28"/>
        </w:rPr>
        <w:t xml:space="preserve"> </w:t>
      </w:r>
      <w:r w:rsidRPr="00CC7883">
        <w:rPr>
          <w:rFonts w:ascii="Times New Roman" w:hAnsi="Times New Roman"/>
          <w:i/>
          <w:iCs/>
          <w:color w:val="000000" w:themeColor="text1"/>
          <w:sz w:val="28"/>
          <w:szCs w:val="28"/>
        </w:rPr>
        <w:t>In</w:t>
      </w:r>
      <w:r w:rsidR="002100FE" w:rsidRPr="00CC7883">
        <w:rPr>
          <w:rFonts w:ascii="Times New Roman" w:hAnsi="Times New Roman"/>
          <w:i/>
          <w:iCs/>
          <w:color w:val="000000" w:themeColor="text1"/>
          <w:sz w:val="28"/>
          <w:szCs w:val="28"/>
        </w:rPr>
        <w:t> </w:t>
      </w:r>
      <w:r w:rsidRPr="00CC7883">
        <w:rPr>
          <w:rFonts w:ascii="Times New Roman" w:hAnsi="Times New Roman"/>
          <w:i/>
          <w:iCs/>
          <w:color w:val="000000" w:themeColor="text1"/>
          <w:sz w:val="28"/>
          <w:szCs w:val="28"/>
        </w:rPr>
        <w:t>vitro</w:t>
      </w:r>
      <w:r w:rsidRPr="00CC7883">
        <w:rPr>
          <w:rFonts w:ascii="Times New Roman" w:hAnsi="Times New Roman"/>
          <w:iCs/>
          <w:color w:val="000000" w:themeColor="text1"/>
          <w:sz w:val="28"/>
          <w:szCs w:val="28"/>
        </w:rPr>
        <w:t xml:space="preserve"> micropropagation of grapevine (</w:t>
      </w:r>
      <w:r w:rsidRPr="00CC7883">
        <w:rPr>
          <w:rFonts w:ascii="Times New Roman" w:hAnsi="Times New Roman"/>
          <w:i/>
          <w:iCs/>
          <w:color w:val="000000" w:themeColor="text1"/>
          <w:sz w:val="28"/>
          <w:szCs w:val="28"/>
        </w:rPr>
        <w:t>Vitis vinifera</w:t>
      </w:r>
      <w:r w:rsidRPr="00CC7883">
        <w:rPr>
          <w:rFonts w:ascii="Times New Roman" w:hAnsi="Times New Roman"/>
          <w:iCs/>
          <w:color w:val="000000" w:themeColor="text1"/>
          <w:sz w:val="28"/>
          <w:szCs w:val="28"/>
        </w:rPr>
        <w:t xml:space="preserve"> L.) from nodal culture.</w:t>
      </w:r>
      <w:r w:rsidR="00F56FF7" w:rsidRPr="00CC7883">
        <w:rPr>
          <w:rFonts w:ascii="Times New Roman" w:hAnsi="Times New Roman"/>
          <w:iCs/>
          <w:color w:val="000000" w:themeColor="text1"/>
          <w:sz w:val="28"/>
          <w:szCs w:val="28"/>
        </w:rPr>
        <w:t xml:space="preserve"> </w:t>
      </w:r>
      <w:r w:rsidRPr="00CC7883">
        <w:rPr>
          <w:rFonts w:ascii="Times New Roman" w:hAnsi="Times New Roman"/>
          <w:bCs/>
          <w:i/>
          <w:color w:val="000000" w:themeColor="text1"/>
          <w:sz w:val="28"/>
          <w:szCs w:val="28"/>
        </w:rPr>
        <w:t>African Journal of Biotechnology</w:t>
      </w:r>
      <w:r w:rsidRPr="00CC7883">
        <w:rPr>
          <w:rFonts w:ascii="Times New Roman" w:hAnsi="Times New Roman"/>
          <w:color w:val="000000" w:themeColor="text1"/>
          <w:sz w:val="28"/>
          <w:szCs w:val="28"/>
        </w:rPr>
        <w:t>. 2017. Vol.</w:t>
      </w:r>
      <w:r w:rsidRPr="00CC7883">
        <w:rPr>
          <w:rFonts w:ascii="Times New Roman" w:hAnsi="Times New Roman"/>
          <w:bCs/>
          <w:color w:val="000000" w:themeColor="text1"/>
          <w:sz w:val="28"/>
          <w:szCs w:val="28"/>
        </w:rPr>
        <w:t>16, No. 43.</w:t>
      </w:r>
      <w:r w:rsidR="00224082" w:rsidRPr="00CC7883">
        <w:rPr>
          <w:rFonts w:ascii="Times New Roman" w:hAnsi="Times New Roman"/>
          <w:bCs/>
          <w:color w:val="000000" w:themeColor="text1"/>
          <w:sz w:val="28"/>
          <w:szCs w:val="28"/>
        </w:rPr>
        <w:t xml:space="preserve"> </w:t>
      </w:r>
      <w:r w:rsidRPr="00CC7883">
        <w:rPr>
          <w:rFonts w:ascii="Times New Roman" w:hAnsi="Times New Roman"/>
          <w:color w:val="000000" w:themeColor="text1"/>
          <w:sz w:val="28"/>
          <w:szCs w:val="28"/>
        </w:rPr>
        <w:t xml:space="preserve">P. 2083–2091. </w:t>
      </w:r>
      <w:r w:rsidRPr="00CC7883">
        <w:rPr>
          <w:rFonts w:ascii="Times New Roman" w:hAnsi="Times New Roman"/>
          <w:bCs/>
          <w:color w:val="000000" w:themeColor="text1"/>
          <w:sz w:val="28"/>
          <w:szCs w:val="28"/>
        </w:rPr>
        <w:t>DOI:</w:t>
      </w:r>
      <w:r w:rsidRPr="00CC7883">
        <w:rPr>
          <w:rFonts w:ascii="Times New Roman" w:hAnsi="Times New Roman"/>
          <w:color w:val="000000" w:themeColor="text1"/>
          <w:sz w:val="28"/>
          <w:szCs w:val="28"/>
        </w:rPr>
        <w:t xml:space="preserve"> 10.5897/AJB2016.15803.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Style w:val="af2"/>
          <w:rFonts w:ascii="Times New Roman" w:hAnsi="Times New Roman"/>
          <w:b w:val="0"/>
          <w:color w:val="000000" w:themeColor="text1"/>
          <w:sz w:val="28"/>
          <w:szCs w:val="28"/>
        </w:rPr>
        <w:t>Bhor R. P., Ahire D. B., Ban Y. G., Borse S. N.</w:t>
      </w:r>
      <w:r w:rsidRPr="00CC7883">
        <w:rPr>
          <w:rFonts w:ascii="Times New Roman" w:hAnsi="Times New Roman"/>
          <w:color w:val="000000" w:themeColor="text1"/>
          <w:sz w:val="28"/>
          <w:szCs w:val="28"/>
        </w:rPr>
        <w:t xml:space="preserve"> Study on micropropagation in grape (</w:t>
      </w:r>
      <w:r w:rsidRPr="00CC7883">
        <w:rPr>
          <w:rStyle w:val="af1"/>
          <w:rFonts w:ascii="Times New Roman" w:hAnsi="Times New Roman"/>
          <w:color w:val="000000" w:themeColor="text1"/>
          <w:sz w:val="28"/>
          <w:szCs w:val="28"/>
        </w:rPr>
        <w:t>Vitis champini</w:t>
      </w:r>
      <w:r w:rsidRPr="00CC7883">
        <w:rPr>
          <w:rFonts w:ascii="Times New Roman" w:hAnsi="Times New Roman"/>
          <w:color w:val="000000" w:themeColor="text1"/>
          <w:sz w:val="28"/>
          <w:szCs w:val="28"/>
        </w:rPr>
        <w:t xml:space="preserve">). </w:t>
      </w:r>
      <w:r w:rsidRPr="00CC7883">
        <w:rPr>
          <w:rStyle w:val="af1"/>
          <w:rFonts w:ascii="Times New Roman" w:hAnsi="Times New Roman"/>
          <w:color w:val="000000" w:themeColor="text1"/>
          <w:sz w:val="28"/>
          <w:szCs w:val="28"/>
        </w:rPr>
        <w:t>Ecology, Environment and Conservation</w:t>
      </w:r>
      <w:r w:rsidRPr="00CC7883">
        <w:rPr>
          <w:rFonts w:ascii="Times New Roman" w:hAnsi="Times New Roman"/>
          <w:color w:val="000000" w:themeColor="text1"/>
          <w:sz w:val="28"/>
          <w:szCs w:val="28"/>
        </w:rPr>
        <w:t>. 2009. Vol. 15, No. 1. P. 41–44.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Style w:val="af2"/>
          <w:rFonts w:ascii="Times New Roman" w:hAnsi="Times New Roman"/>
          <w:b w:val="0"/>
          <w:color w:val="000000" w:themeColor="text1"/>
          <w:sz w:val="28"/>
          <w:szCs w:val="28"/>
        </w:rPr>
        <w:t>Bigger B. B.</w:t>
      </w:r>
      <w:r w:rsidRPr="00CC7883">
        <w:rPr>
          <w:rFonts w:ascii="Times New Roman" w:hAnsi="Times New Roman"/>
          <w:color w:val="000000" w:themeColor="text1"/>
          <w:sz w:val="28"/>
          <w:szCs w:val="28"/>
        </w:rPr>
        <w:t xml:space="preserve"> Micropropagation and acclimatization of ‘Norton’ grapevine (</w:t>
      </w:r>
      <w:r w:rsidRPr="00CC7883">
        <w:rPr>
          <w:rStyle w:val="af1"/>
          <w:rFonts w:ascii="Times New Roman" w:hAnsi="Times New Roman"/>
          <w:color w:val="000000" w:themeColor="text1"/>
          <w:sz w:val="28"/>
          <w:szCs w:val="28"/>
        </w:rPr>
        <w:t>Vitis aestivalis</w:t>
      </w:r>
      <w:r w:rsidRPr="00CC7883">
        <w:rPr>
          <w:rFonts w:ascii="Times New Roman" w:hAnsi="Times New Roman"/>
          <w:color w:val="000000" w:themeColor="text1"/>
          <w:sz w:val="28"/>
          <w:szCs w:val="28"/>
        </w:rPr>
        <w:t>) : thesis (Master of Science). Lincoln : University of Nebraska, 2010. 78 p.</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Bodhipadmaa K., Noichindaa S., Yadbuntunga I., Buaeiama W., Leung D. W. M. Comparison of </w:t>
      </w:r>
      <w:r w:rsidRPr="00CC7883">
        <w:rPr>
          <w:rFonts w:ascii="Times New Roman" w:hAnsi="Times New Roman"/>
          <w:i/>
          <w:color w:val="000000" w:themeColor="text1"/>
          <w:sz w:val="28"/>
          <w:szCs w:val="28"/>
        </w:rPr>
        <w:t>in</w:t>
      </w:r>
      <w:r w:rsidR="00F5525C"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and </w:t>
      </w:r>
      <w:r w:rsidR="005C6027"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olor w:val="000000" w:themeColor="text1"/>
          <w:sz w:val="28"/>
          <w:szCs w:val="28"/>
        </w:rPr>
        <w:t xml:space="preserve"> inflorescence of common cockscomb (</w:t>
      </w:r>
      <w:r w:rsidRPr="00CC7883">
        <w:rPr>
          <w:rFonts w:ascii="Times New Roman" w:hAnsi="Times New Roman"/>
          <w:i/>
          <w:color w:val="000000" w:themeColor="text1"/>
          <w:sz w:val="28"/>
          <w:szCs w:val="28"/>
        </w:rPr>
        <w:t>Celosia argentea</w:t>
      </w:r>
      <w:r w:rsidRPr="00CC7883">
        <w:rPr>
          <w:rFonts w:ascii="Times New Roman" w:hAnsi="Times New Roman"/>
          <w:color w:val="000000" w:themeColor="text1"/>
          <w:sz w:val="28"/>
          <w:szCs w:val="28"/>
        </w:rPr>
        <w:t xml:space="preserve"> var. </w:t>
      </w:r>
      <w:r w:rsidRPr="00CC7883">
        <w:rPr>
          <w:rFonts w:ascii="Times New Roman" w:hAnsi="Times New Roman"/>
          <w:i/>
          <w:color w:val="000000" w:themeColor="text1"/>
          <w:sz w:val="28"/>
          <w:szCs w:val="28"/>
        </w:rPr>
        <w:t>cristata</w:t>
      </w:r>
      <w:r w:rsidRPr="00CC7883">
        <w:rPr>
          <w:rFonts w:ascii="Times New Roman" w:hAnsi="Times New Roman"/>
          <w:color w:val="000000" w:themeColor="text1"/>
          <w:sz w:val="28"/>
          <w:szCs w:val="28"/>
        </w:rPr>
        <w:t>).</w:t>
      </w:r>
      <w:r w:rsidR="00F56FF7"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Science</w:t>
      </w:r>
      <w:r w:rsidR="00304881"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Asia</w:t>
      </w:r>
      <w:r w:rsidRPr="00CC7883">
        <w:rPr>
          <w:rFonts w:ascii="Times New Roman" w:hAnsi="Times New Roman"/>
          <w:color w:val="000000" w:themeColor="text1"/>
          <w:sz w:val="28"/>
          <w:szCs w:val="28"/>
        </w:rPr>
        <w:t>. 2010. Vol. 36. P. 68–71. DOI: https://doi.org/10.2306/scienceasia1513-1874.2010.36.068.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Buckseth T., Singh R. K., Sharma A. K., Sharma S., Moudgil V., Saraswati A. Optimization of activated charcoal on </w:t>
      </w:r>
      <w:r w:rsidR="002100F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growth and development of potato (</w:t>
      </w:r>
      <w:r w:rsidRPr="00CC7883">
        <w:rPr>
          <w:rFonts w:ascii="Times New Roman" w:hAnsi="Times New Roman"/>
          <w:i/>
          <w:color w:val="000000" w:themeColor="text1"/>
          <w:sz w:val="28"/>
          <w:szCs w:val="28"/>
        </w:rPr>
        <w:t>Solanum tuberosum</w:t>
      </w:r>
      <w:r w:rsidRPr="00CC7883">
        <w:rPr>
          <w:rFonts w:ascii="Times New Roman" w:hAnsi="Times New Roman"/>
          <w:color w:val="000000" w:themeColor="text1"/>
          <w:sz w:val="28"/>
          <w:szCs w:val="28"/>
        </w:rPr>
        <w:t xml:space="preserve"> L.).</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International Journal of Current Microbiology and Applied Sciences</w:t>
      </w:r>
      <w:r w:rsidRPr="00CC7883">
        <w:rPr>
          <w:rFonts w:ascii="Times New Roman" w:hAnsi="Times New Roman"/>
          <w:color w:val="000000" w:themeColor="text1"/>
          <w:sz w:val="28"/>
          <w:szCs w:val="28"/>
        </w:rPr>
        <w:t>. 2018. Vol. 7, No. 10.</w:t>
      </w:r>
    </w:p>
    <w:p w:rsidR="00DC052E" w:rsidRPr="00CC7883" w:rsidRDefault="0089009D"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Style w:val="af2"/>
          <w:rFonts w:ascii="Times New Roman" w:hAnsi="Times New Roman"/>
          <w:b w:val="0"/>
          <w:color w:val="000000" w:themeColor="text1"/>
          <w:sz w:val="28"/>
          <w:szCs w:val="28"/>
        </w:rPr>
        <w:t>Cavallaro V., Avola G., Fascella G., Pellegrino A. &amp; Ierna</w:t>
      </w:r>
      <w:r w:rsidR="00DC052E" w:rsidRPr="00CC7883">
        <w:rPr>
          <w:rStyle w:val="af2"/>
          <w:rFonts w:ascii="Times New Roman" w:hAnsi="Times New Roman"/>
          <w:b w:val="0"/>
          <w:color w:val="000000" w:themeColor="text1"/>
          <w:sz w:val="28"/>
          <w:szCs w:val="28"/>
        </w:rPr>
        <w:t xml:space="preserve"> A.</w:t>
      </w:r>
      <w:r w:rsidRPr="00CC7883">
        <w:rPr>
          <w:rStyle w:val="af2"/>
          <w:rFonts w:ascii="Times New Roman" w:hAnsi="Times New Roman"/>
          <w:b w:val="0"/>
          <w:color w:val="000000" w:themeColor="text1"/>
          <w:sz w:val="28"/>
          <w:szCs w:val="28"/>
        </w:rPr>
        <w:t xml:space="preserve"> </w:t>
      </w:r>
      <w:r w:rsidR="00DC052E" w:rsidRPr="00CC7883">
        <w:rPr>
          <w:rStyle w:val="af1"/>
          <w:rFonts w:ascii="Times New Roman" w:hAnsi="Times New Roman"/>
          <w:i w:val="0"/>
          <w:color w:val="000000" w:themeColor="text1"/>
          <w:sz w:val="28"/>
          <w:szCs w:val="28"/>
        </w:rPr>
        <w:t xml:space="preserve">Effects of </w:t>
      </w:r>
      <w:r w:rsidR="00DC052E" w:rsidRPr="00CC7883">
        <w:rPr>
          <w:rStyle w:val="af1"/>
          <w:rFonts w:ascii="Times New Roman" w:hAnsi="Times New Roman"/>
          <w:i w:val="0"/>
          <w:color w:val="000000" w:themeColor="text1"/>
          <w:sz w:val="28"/>
          <w:szCs w:val="28"/>
        </w:rPr>
        <w:lastRenderedPageBreak/>
        <w:t xml:space="preserve">spectral quality and light quantity of LEDs on </w:t>
      </w:r>
      <w:r w:rsidR="002100FE" w:rsidRPr="00CC7883">
        <w:rPr>
          <w:rFonts w:ascii="Times New Roman" w:hAnsi="Times New Roman" w:cs="Times New Roman"/>
          <w:i/>
          <w:iCs/>
          <w:color w:val="000000" w:themeColor="text1"/>
          <w:sz w:val="28"/>
          <w:szCs w:val="28"/>
        </w:rPr>
        <w:t>in vitro</w:t>
      </w:r>
      <w:r w:rsidR="00DC052E" w:rsidRPr="00CC7883">
        <w:rPr>
          <w:rStyle w:val="af1"/>
          <w:rFonts w:ascii="Times New Roman" w:hAnsi="Times New Roman"/>
          <w:i w:val="0"/>
          <w:color w:val="000000" w:themeColor="text1"/>
          <w:sz w:val="28"/>
          <w:szCs w:val="28"/>
        </w:rPr>
        <w:t xml:space="preserve"> shoot development and proliferation of </w:t>
      </w:r>
      <w:r w:rsidR="00DC052E" w:rsidRPr="00CC7883">
        <w:rPr>
          <w:rStyle w:val="af1"/>
          <w:rFonts w:ascii="Times New Roman" w:hAnsi="Times New Roman"/>
          <w:color w:val="000000" w:themeColor="text1"/>
          <w:sz w:val="28"/>
          <w:szCs w:val="28"/>
        </w:rPr>
        <w:t>Ananas comosus</w:t>
      </w:r>
      <w:r w:rsidR="00DC052E" w:rsidRPr="00CC7883">
        <w:rPr>
          <w:rStyle w:val="af1"/>
          <w:rFonts w:ascii="Times New Roman" w:hAnsi="Times New Roman"/>
          <w:i w:val="0"/>
          <w:color w:val="000000" w:themeColor="text1"/>
          <w:sz w:val="28"/>
          <w:szCs w:val="28"/>
        </w:rPr>
        <w:t xml:space="preserve"> L. Merr</w:t>
      </w:r>
      <w:r w:rsidR="00DC052E" w:rsidRPr="00CC7883">
        <w:rPr>
          <w:rFonts w:ascii="Times New Roman" w:hAnsi="Times New Roman"/>
          <w:i/>
          <w:color w:val="000000" w:themeColor="text1"/>
          <w:sz w:val="28"/>
          <w:szCs w:val="28"/>
        </w:rPr>
        <w:t xml:space="preserve">. </w:t>
      </w:r>
      <w:r w:rsidR="00DC052E" w:rsidRPr="00CC7883">
        <w:rPr>
          <w:rStyle w:val="af1"/>
          <w:rFonts w:ascii="Times New Roman" w:hAnsi="Times New Roman"/>
          <w:color w:val="000000" w:themeColor="text1"/>
          <w:sz w:val="28"/>
          <w:szCs w:val="28"/>
        </w:rPr>
        <w:t>Agronomy</w:t>
      </w:r>
      <w:r w:rsidR="00DC052E" w:rsidRPr="00CC7883">
        <w:rPr>
          <w:rFonts w:ascii="Times New Roman" w:hAnsi="Times New Roman"/>
          <w:i/>
          <w:color w:val="000000" w:themeColor="text1"/>
          <w:sz w:val="28"/>
          <w:szCs w:val="28"/>
        </w:rPr>
        <w:t xml:space="preserve">. </w:t>
      </w:r>
      <w:r w:rsidR="00DC052E" w:rsidRPr="00CC7883">
        <w:rPr>
          <w:rFonts w:ascii="Times New Roman" w:hAnsi="Times New Roman"/>
          <w:color w:val="000000" w:themeColor="text1"/>
          <w:sz w:val="28"/>
          <w:szCs w:val="28"/>
        </w:rPr>
        <w:t>2023. Vol. 13, No. 4, Article 1072. DOI: https://doi.org/10.3390/agronomy13041072.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Cha-um S., Ulziibat B., Kirdmanee C. Effects of temperature and relative humidity during </w:t>
      </w:r>
      <w:r w:rsidR="002100F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acclimatization on physiological changes and growth characters of </w:t>
      </w:r>
      <w:r w:rsidRPr="00CC7883">
        <w:rPr>
          <w:rFonts w:ascii="Times New Roman" w:hAnsi="Times New Roman"/>
          <w:i/>
          <w:color w:val="000000" w:themeColor="text1"/>
          <w:sz w:val="28"/>
          <w:szCs w:val="28"/>
        </w:rPr>
        <w:t>Phalaenopsis</w:t>
      </w:r>
      <w:r w:rsidRPr="00CC7883">
        <w:rPr>
          <w:rFonts w:ascii="Times New Roman" w:hAnsi="Times New Roman"/>
          <w:color w:val="000000" w:themeColor="text1"/>
          <w:sz w:val="28"/>
          <w:szCs w:val="28"/>
        </w:rPr>
        <w:t xml:space="preserve"> adapted to </w:t>
      </w:r>
      <w:r w:rsidR="00F5525C"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olor w:val="000000" w:themeColor="text1"/>
          <w:sz w:val="28"/>
          <w:szCs w:val="28"/>
        </w:rPr>
        <w:t>.</w:t>
      </w:r>
      <w:r w:rsidR="00F552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Australian Journal of Crop Science</w:t>
      </w:r>
      <w:r w:rsidRPr="00CC7883">
        <w:rPr>
          <w:rFonts w:ascii="Times New Roman" w:hAnsi="Times New Roman"/>
          <w:color w:val="000000" w:themeColor="text1"/>
          <w:sz w:val="28"/>
          <w:szCs w:val="28"/>
        </w:rPr>
        <w:t>. 2010. Vol. 4, No. 9. P. 750–756.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Chée R., Pool R. M. </w:t>
      </w:r>
      <w:r w:rsidR="002100FE" w:rsidRPr="00CC7883">
        <w:rPr>
          <w:rFonts w:ascii="Times New Roman" w:hAnsi="Times New Roman"/>
          <w:i/>
          <w:color w:val="000000" w:themeColor="text1"/>
          <w:sz w:val="28"/>
          <w:szCs w:val="28"/>
        </w:rPr>
        <w:t>I</w:t>
      </w:r>
      <w:r w:rsidRPr="00CC7883">
        <w:rPr>
          <w:rFonts w:ascii="Times New Roman" w:hAnsi="Times New Roman"/>
          <w:i/>
          <w:color w:val="000000" w:themeColor="text1"/>
          <w:sz w:val="28"/>
          <w:szCs w:val="28"/>
        </w:rPr>
        <w:t>n</w:t>
      </w:r>
      <w:r w:rsidR="002100FE"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vegetative propagation of </w:t>
      </w:r>
      <w:r w:rsidRPr="00CC7883">
        <w:rPr>
          <w:rFonts w:ascii="Times New Roman" w:hAnsi="Times New Roman"/>
          <w:i/>
          <w:color w:val="000000" w:themeColor="text1"/>
          <w:sz w:val="28"/>
          <w:szCs w:val="28"/>
        </w:rPr>
        <w:t>Vitis</w:t>
      </w:r>
      <w:r w:rsidRPr="00CC7883">
        <w:rPr>
          <w:rFonts w:ascii="Times New Roman" w:hAnsi="Times New Roman"/>
          <w:color w:val="000000" w:themeColor="text1"/>
          <w:sz w:val="28"/>
          <w:szCs w:val="28"/>
        </w:rPr>
        <w:t>: Application of previously defined culture conditions to a selection of genotypes.</w:t>
      </w:r>
      <w:r w:rsidR="00F552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Vitis</w:t>
      </w:r>
      <w:r w:rsidRPr="00CC7883">
        <w:rPr>
          <w:rFonts w:ascii="Times New Roman" w:hAnsi="Times New Roman"/>
          <w:color w:val="000000" w:themeColor="text1"/>
          <w:sz w:val="28"/>
          <w:szCs w:val="28"/>
        </w:rPr>
        <w:t>. 1983. Vol. 22. P. 363–374.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Chen C., Hsu C., Chang W. Effect of different LED spectra on </w:t>
      </w:r>
      <w:r w:rsidR="002100F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shoot proliferation of </w:t>
      </w:r>
      <w:r w:rsidRPr="00CC7883">
        <w:rPr>
          <w:rFonts w:ascii="Times New Roman" w:hAnsi="Times New Roman"/>
          <w:i/>
          <w:color w:val="000000" w:themeColor="text1"/>
          <w:sz w:val="28"/>
          <w:szCs w:val="28"/>
        </w:rPr>
        <w:t>Ficus microcarpa</w:t>
      </w:r>
      <w:r w:rsidRPr="00CC7883">
        <w:rPr>
          <w:rFonts w:ascii="Times New Roman" w:hAnsi="Times New Roman"/>
          <w:color w:val="000000" w:themeColor="text1"/>
          <w:sz w:val="28"/>
          <w:szCs w:val="28"/>
        </w:rPr>
        <w:t xml:space="preserve"> L. f. </w:t>
      </w:r>
      <w:r w:rsidRPr="00CC7883">
        <w:rPr>
          <w:rFonts w:ascii="Times New Roman" w:hAnsi="Times New Roman"/>
          <w:i/>
          <w:color w:val="000000" w:themeColor="text1"/>
          <w:sz w:val="28"/>
          <w:szCs w:val="28"/>
        </w:rPr>
        <w:t>Plant Methods</w:t>
      </w:r>
      <w:r w:rsidRPr="00CC7883">
        <w:rPr>
          <w:rFonts w:ascii="Times New Roman" w:hAnsi="Times New Roman"/>
          <w:color w:val="000000" w:themeColor="text1"/>
          <w:sz w:val="28"/>
          <w:szCs w:val="28"/>
        </w:rPr>
        <w:t>. 2022. Vol. 18. DOI: https://doi.org/10.1186/s13007-022-00892-2.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Chintakovid N., Tisarum R., Samphumphuang T., Sotesaritkul T., Cha-um S. </w:t>
      </w:r>
      <w:r w:rsidRPr="00CC7883">
        <w:rPr>
          <w:rFonts w:ascii="Times New Roman" w:hAnsi="Times New Roman"/>
          <w:i/>
          <w:color w:val="000000" w:themeColor="text1"/>
          <w:sz w:val="28"/>
          <w:szCs w:val="28"/>
        </w:rPr>
        <w:t>In</w:t>
      </w:r>
      <w:r w:rsidR="002100FE"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acclimatization of </w:t>
      </w:r>
      <w:r w:rsidRPr="00CC7883">
        <w:rPr>
          <w:rFonts w:ascii="Times New Roman" w:hAnsi="Times New Roman"/>
          <w:i/>
          <w:color w:val="000000" w:themeColor="text1"/>
          <w:sz w:val="28"/>
          <w:szCs w:val="28"/>
        </w:rPr>
        <w:t>Curcuma longa</w:t>
      </w:r>
      <w:r w:rsidRPr="00CC7883">
        <w:rPr>
          <w:rFonts w:ascii="Times New Roman" w:hAnsi="Times New Roman"/>
          <w:color w:val="000000" w:themeColor="text1"/>
          <w:sz w:val="28"/>
          <w:szCs w:val="28"/>
        </w:rPr>
        <w:t xml:space="preserve"> under controlled iso-osmotic conditions.</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Biotechnology</w:t>
      </w:r>
      <w:r w:rsidRPr="00CC7883">
        <w:rPr>
          <w:rFonts w:ascii="Times New Roman" w:hAnsi="Times New Roman"/>
          <w:color w:val="000000" w:themeColor="text1"/>
          <w:sz w:val="28"/>
          <w:szCs w:val="28"/>
        </w:rPr>
        <w:t>. 2021. Vol. 38. P. 1–10. DOI: https://doi.org/10.5511/plantbiotechnology.20.1021a.</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Choi P.-S., Lee S.-Y., Chung H.-J., In D.-S., Choi D.-W., Liu J. R. Assessing competence for adventitious shoot formation in hypocotyl explant cultures from </w:t>
      </w:r>
      <w:r w:rsidRPr="00CC7883">
        <w:rPr>
          <w:rFonts w:ascii="Times New Roman" w:hAnsi="Times New Roman"/>
          <w:i/>
          <w:color w:val="000000" w:themeColor="text1"/>
          <w:sz w:val="28"/>
          <w:szCs w:val="28"/>
        </w:rPr>
        <w:t>Catharanthus roseus</w:t>
      </w:r>
      <w:r w:rsidRPr="00CC7883">
        <w:rPr>
          <w:rFonts w:ascii="Times New Roman" w:hAnsi="Times New Roman"/>
          <w:color w:val="000000" w:themeColor="text1"/>
          <w:sz w:val="28"/>
          <w:szCs w:val="28"/>
        </w:rPr>
        <w:t xml:space="preserve"> cultivars.</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Plant Biology</w:t>
      </w:r>
      <w:r w:rsidRPr="00CC7883">
        <w:rPr>
          <w:rFonts w:ascii="Times New Roman" w:hAnsi="Times New Roman"/>
          <w:color w:val="000000" w:themeColor="text1"/>
          <w:sz w:val="28"/>
          <w:szCs w:val="28"/>
        </w:rPr>
        <w:t>. 2003. Vol. 46,</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2. P. 90–94.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Clonex gel – гель</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для</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клонування (Growth Technology). Режим доступу: https://growershouse.com.ua/clonex-50ml-gel-dlya-klonuvannya-growth-technology-ukr. Дата звернення: 27.11.2025.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Dancheva D. Rooting and acclimatization of micropropagated shoots of </w:t>
      </w:r>
      <w:r w:rsidRPr="00CC7883">
        <w:rPr>
          <w:rFonts w:ascii="Times New Roman" w:hAnsi="Times New Roman"/>
          <w:i/>
          <w:color w:val="000000" w:themeColor="text1"/>
          <w:sz w:val="28"/>
          <w:szCs w:val="28"/>
        </w:rPr>
        <w:t>Fraxinus excelsior</w:t>
      </w:r>
      <w:r w:rsidRPr="00CC7883">
        <w:rPr>
          <w:rFonts w:ascii="Times New Roman" w:hAnsi="Times New Roman"/>
          <w:color w:val="000000" w:themeColor="text1"/>
          <w:sz w:val="28"/>
          <w:szCs w:val="28"/>
        </w:rPr>
        <w:t xml:space="preserve"> L. Muzeul Olteniei Craiova. Oltenia. </w:t>
      </w:r>
      <w:r w:rsidRPr="00CC7883">
        <w:rPr>
          <w:rFonts w:ascii="Times New Roman" w:hAnsi="Times New Roman"/>
          <w:i/>
          <w:color w:val="000000" w:themeColor="text1"/>
          <w:sz w:val="28"/>
          <w:szCs w:val="28"/>
        </w:rPr>
        <w:t>Studii şi comunicări. Ştiinţele Naturii</w:t>
      </w:r>
      <w:r w:rsidRPr="00CC7883">
        <w:rPr>
          <w:rFonts w:ascii="Times New Roman" w:hAnsi="Times New Roman"/>
          <w:color w:val="000000" w:themeColor="text1"/>
          <w:sz w:val="28"/>
          <w:szCs w:val="28"/>
        </w:rPr>
        <w:t>. 2014. Vol. 30, No. 1. P. 75–80.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Dev R., Singh S. K., Dayal V., Kumar K., Singh T. Standardization of </w:t>
      </w:r>
      <w:r w:rsidR="002100F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hardening strategies for tissue cultured wine grape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genotypes.</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International Journal of Current Microbiology and Applied Sciences</w:t>
      </w:r>
      <w:r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lastRenderedPageBreak/>
        <w:t>2019. Vol. 8, No. 2. P. 2108–2117. DOI:</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https://doi.org/10.20546/ijcmas.2019.802.244.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Di Vaio C., Villano C., Lisanti M. T., Marallo N. Application of anti-transpirant to control sugar accumulation in grape berries and alcohol degree in wines obtained from thinned and unthinned vines of cv. Falanghina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Agronomy</w:t>
      </w:r>
      <w:r w:rsidRPr="00CC7883">
        <w:rPr>
          <w:rFonts w:ascii="Times New Roman" w:hAnsi="Times New Roman"/>
          <w:color w:val="000000" w:themeColor="text1"/>
          <w:sz w:val="28"/>
          <w:szCs w:val="28"/>
        </w:rPr>
        <w:t>. 2020. Vol. 10, No. 3. DOI: https://doi.org/10.3390/agronomy10030345.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Diab A., Khalil S., Ismail R. Regeneration and micropropagation of grapevine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through shoot tips and axillary buds.</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International Journal of Advanced Biotechnology and Research</w:t>
      </w:r>
      <w:r w:rsidRPr="00CC7883">
        <w:rPr>
          <w:rFonts w:ascii="Times New Roman" w:hAnsi="Times New Roman"/>
          <w:color w:val="000000" w:themeColor="text1"/>
          <w:sz w:val="28"/>
          <w:szCs w:val="28"/>
        </w:rPr>
        <w:t>. 2012. Vol. 2. P. 484–491.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Dönmez D., Erol M. H., Biçen B., Şimşek Ö., Aka Kaçar Y. The effects of different strength of MS media on </w:t>
      </w:r>
      <w:r w:rsidR="002100F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propagation and rooting of Spathiphyllum.</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ANAJAS</w:t>
      </w:r>
      <w:r w:rsidRPr="00CC7883">
        <w:rPr>
          <w:rFonts w:ascii="Times New Roman" w:hAnsi="Times New Roman"/>
          <w:color w:val="000000" w:themeColor="text1"/>
          <w:sz w:val="28"/>
          <w:szCs w:val="28"/>
        </w:rPr>
        <w:t>. 2022. Vol. 37, No. 3. P. 583–592.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Eray N., Dalar A., Turker M. The effects of abiotic stressors and signal molecules on phenolic composition and antioxidant activities of </w:t>
      </w:r>
      <w:r w:rsidR="002100F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regenerated </w:t>
      </w:r>
      <w:r w:rsidRPr="00CC7883">
        <w:rPr>
          <w:rFonts w:ascii="Times New Roman" w:hAnsi="Times New Roman"/>
          <w:i/>
          <w:color w:val="000000" w:themeColor="text1"/>
          <w:sz w:val="28"/>
          <w:szCs w:val="28"/>
        </w:rPr>
        <w:t>Hypericum perforatum</w:t>
      </w:r>
      <w:r w:rsidRPr="00CC7883">
        <w:rPr>
          <w:rFonts w:ascii="Times New Roman" w:hAnsi="Times New Roman"/>
          <w:color w:val="000000" w:themeColor="text1"/>
          <w:sz w:val="28"/>
          <w:szCs w:val="28"/>
        </w:rPr>
        <w:t xml:space="preserve"> (St. John’s Wort).</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South African Journal of Botany</w:t>
      </w:r>
      <w:r w:rsidRPr="00CC7883">
        <w:rPr>
          <w:rFonts w:ascii="Times New Roman" w:hAnsi="Times New Roman"/>
          <w:color w:val="000000" w:themeColor="text1"/>
          <w:sz w:val="28"/>
          <w:szCs w:val="28"/>
        </w:rPr>
        <w:t>. 2020. Vol. 133. P. 253–263. DOI: https://doi.org/10.1016/j.sajb.2020.07.037.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Eziashi E. I., Asemota O., Okwuagwu C. O., Eke C. R., Chidi N. I., Oruade-Dimaro E. A. Screening sterilizing agents and antibiotics for the elimination of bacterial contaminants from oil palm explants for plant tissue culture.</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European Journal of Experimental Biology</w:t>
      </w:r>
      <w:r w:rsidRPr="00CC7883">
        <w:rPr>
          <w:rFonts w:ascii="Times New Roman" w:hAnsi="Times New Roman"/>
          <w:color w:val="000000" w:themeColor="text1"/>
          <w:sz w:val="28"/>
          <w:szCs w:val="28"/>
        </w:rPr>
        <w:t>. 2014. Vol. 4,</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4. P. 111–115.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Fallah F., Kahrizi D. Effect of light spectrum and intensity on growth of grape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under </w:t>
      </w:r>
      <w:r w:rsidR="002100F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conditions.</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Applied Biotechnology Reports</w:t>
      </w:r>
      <w:r w:rsidRPr="00CC7883">
        <w:rPr>
          <w:rFonts w:ascii="Times New Roman" w:hAnsi="Times New Roman"/>
          <w:color w:val="000000" w:themeColor="text1"/>
          <w:sz w:val="28"/>
          <w:szCs w:val="28"/>
        </w:rPr>
        <w:t>. 2016. Vol. 3,</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4. P. 495–499.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Fan Q.-J., Zheng S.-C., Yan F.-X., Zhang B.-X. Efficient regeneration of dragon fruit (</w:t>
      </w:r>
      <w:r w:rsidRPr="00CC7883">
        <w:rPr>
          <w:rFonts w:ascii="Times New Roman" w:hAnsi="Times New Roman"/>
          <w:i/>
          <w:color w:val="000000" w:themeColor="text1"/>
          <w:sz w:val="28"/>
          <w:szCs w:val="28"/>
        </w:rPr>
        <w:t>Hylocereus undatus</w:t>
      </w:r>
      <w:r w:rsidRPr="00CC7883">
        <w:rPr>
          <w:rFonts w:ascii="Times New Roman" w:hAnsi="Times New Roman"/>
          <w:color w:val="000000" w:themeColor="text1"/>
          <w:sz w:val="28"/>
          <w:szCs w:val="28"/>
        </w:rPr>
        <w:t xml:space="preserve">) and an assessment of the genetic fidelity of </w:t>
      </w:r>
      <w:r w:rsidR="002100FE" w:rsidRPr="00CC7883">
        <w:rPr>
          <w:rFonts w:ascii="Times New Roman" w:hAnsi="Times New Roman" w:cs="Times New Roman"/>
          <w:i/>
          <w:iCs/>
          <w:color w:val="000000" w:themeColor="text1"/>
          <w:sz w:val="28"/>
          <w:szCs w:val="28"/>
        </w:rPr>
        <w:t>in vitro</w:t>
      </w:r>
      <w:r w:rsidR="002100FE"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derived plants using ISSR markers.</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The Journal of Horticultural Science and Biotechnology</w:t>
      </w:r>
      <w:r w:rsidRPr="00CC7883">
        <w:rPr>
          <w:rFonts w:ascii="Times New Roman" w:hAnsi="Times New Roman"/>
          <w:color w:val="000000" w:themeColor="text1"/>
          <w:sz w:val="28"/>
          <w:szCs w:val="28"/>
        </w:rPr>
        <w:t>. 2013. Vol. 88, No. 5. P. 631–637. DOI: https://doi.org/10.1080/14620316.2013.11513017.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lastRenderedPageBreak/>
        <w:t>Farahat E. M. M., Belopukhov S. L. Effect of the different concentrations of protective-stimulation complex (HFC) on the growth and development of grape seedlings in tissue culture at different nutrient levels.</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Indian Journal of Agricultural Research</w:t>
      </w:r>
      <w:r w:rsidRPr="00CC7883">
        <w:rPr>
          <w:rFonts w:ascii="Times New Roman" w:hAnsi="Times New Roman"/>
          <w:color w:val="000000" w:themeColor="text1"/>
          <w:sz w:val="28"/>
          <w:szCs w:val="28"/>
        </w:rPr>
        <w:t>. 2021. Vol. 55, No. 4. P. 493–496. DOI: https://doi.org/10.18805/IJARe.A-613.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Fekry W. A., Wahdan H. M. Influence of substrates on </w:t>
      </w:r>
      <w:r w:rsidR="001A64E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and acclimatization of micropropagated strawberry (</w:t>
      </w:r>
      <w:r w:rsidRPr="00CC7883">
        <w:rPr>
          <w:rFonts w:ascii="Times New Roman" w:hAnsi="Times New Roman"/>
          <w:i/>
          <w:color w:val="000000" w:themeColor="text1"/>
          <w:sz w:val="28"/>
          <w:szCs w:val="28"/>
        </w:rPr>
        <w:t>Fragaria ananassa</w:t>
      </w:r>
      <w:r w:rsidRPr="00CC7883">
        <w:rPr>
          <w:rFonts w:ascii="Times New Roman" w:hAnsi="Times New Roman"/>
          <w:color w:val="000000" w:themeColor="text1"/>
          <w:sz w:val="28"/>
          <w:szCs w:val="28"/>
        </w:rPr>
        <w:t xml:space="preserve"> Duch.).</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Middle East Journal of Agriculture Research</w:t>
      </w:r>
      <w:r w:rsidRPr="00CC7883">
        <w:rPr>
          <w:rFonts w:ascii="Times New Roman" w:hAnsi="Times New Roman"/>
          <w:color w:val="000000" w:themeColor="text1"/>
          <w:sz w:val="28"/>
          <w:szCs w:val="28"/>
        </w:rPr>
        <w:t>. 2017. Vol. 6,</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3. P. 682–691.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Franks P. J., Farquhar G. D. The effect of exogenous abscisic acid on stomatal development, stomatal mechanics, and leaf gas exchange in </w:t>
      </w:r>
      <w:r w:rsidRPr="00CC7883">
        <w:rPr>
          <w:rFonts w:ascii="Times New Roman" w:hAnsi="Times New Roman"/>
          <w:i/>
          <w:color w:val="000000" w:themeColor="text1"/>
          <w:sz w:val="28"/>
          <w:szCs w:val="28"/>
        </w:rPr>
        <w:t>Tradescantia virginiana</w:t>
      </w:r>
      <w:r w:rsidRPr="00CC7883">
        <w:rPr>
          <w:rFonts w:ascii="Times New Roman" w:hAnsi="Times New Roman"/>
          <w:color w:val="000000" w:themeColor="text1"/>
          <w:sz w:val="28"/>
          <w:szCs w:val="28"/>
        </w:rPr>
        <w:t>.</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Physiology</w:t>
      </w:r>
      <w:r w:rsidRPr="00CC7883">
        <w:rPr>
          <w:rFonts w:ascii="Times New Roman" w:hAnsi="Times New Roman"/>
          <w:color w:val="000000" w:themeColor="text1"/>
          <w:sz w:val="28"/>
          <w:szCs w:val="28"/>
        </w:rPr>
        <w:t>. 2001. Vol. 125, No. 2. P. 935–942. DOI: https://doi.org/10.1104/pp.125.2.935.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Franks P. J., Farquhar G. D. The mechanical diversity of stomata and its significance in gas-exchange control.</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Physiology</w:t>
      </w:r>
      <w:r w:rsidRPr="00CC7883">
        <w:rPr>
          <w:rFonts w:ascii="Times New Roman" w:hAnsi="Times New Roman"/>
          <w:color w:val="000000" w:themeColor="text1"/>
          <w:sz w:val="28"/>
          <w:szCs w:val="28"/>
        </w:rPr>
        <w:t>. 2007. Vol. 143, No. 1. P. 78–87. DOI: https://doi.org/10.1104/pp.106.089367</w:t>
      </w:r>
      <w:r w:rsidR="00FF36D8" w:rsidRPr="00F62136">
        <w:rPr>
          <w:rFonts w:ascii="Times New Roman" w:hAnsi="Times New Roman"/>
          <w:color w:val="000000" w:themeColor="text1"/>
          <w:sz w:val="28"/>
          <w:szCs w:val="28"/>
          <w:lang w:val="en-US"/>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Gago J., Martínez-Núñez L., Landín M., Flexas J., Gallego P. P. Modeling the effects of light and sucrose on </w:t>
      </w:r>
      <w:r w:rsidR="001A64E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propagated plants: a multiscale system analysis using artificial intelligence technology.</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PLoS One</w:t>
      </w:r>
      <w:r w:rsidRPr="00CC7883">
        <w:rPr>
          <w:rFonts w:ascii="Times New Roman" w:hAnsi="Times New Roman"/>
          <w:color w:val="000000" w:themeColor="text1"/>
          <w:sz w:val="28"/>
          <w:szCs w:val="28"/>
        </w:rPr>
        <w:t>. 2014. Vol. 9, No. 1. e85989. DOI: https://doi.org/10.1371/journal.pone.0085989.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Gallo L. A., Faria J. M. R., de Almeida C. V., Pires M. L. L., González E. M. </w:t>
      </w:r>
      <w:r w:rsidR="001A64EB"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of </w:t>
      </w:r>
      <w:r w:rsidRPr="00CC7883">
        <w:rPr>
          <w:rFonts w:ascii="Times New Roman" w:hAnsi="Times New Roman"/>
          <w:i/>
          <w:color w:val="000000" w:themeColor="text1"/>
          <w:sz w:val="28"/>
          <w:szCs w:val="28"/>
        </w:rPr>
        <w:t>Eucalyptus grandis</w:t>
      </w:r>
      <w:r w:rsidRPr="00CC7883">
        <w:rPr>
          <w:rFonts w:ascii="Times New Roman" w:hAnsi="Times New Roman"/>
          <w:color w:val="000000" w:themeColor="text1"/>
          <w:sz w:val="28"/>
          <w:szCs w:val="28"/>
        </w:rPr>
        <w:t xml:space="preserve"> × </w:t>
      </w:r>
      <w:r w:rsidRPr="00CC7883">
        <w:rPr>
          <w:rFonts w:ascii="Times New Roman" w:hAnsi="Times New Roman"/>
          <w:i/>
          <w:color w:val="000000" w:themeColor="text1"/>
          <w:sz w:val="28"/>
          <w:szCs w:val="28"/>
        </w:rPr>
        <w:t>E. urophylla</w:t>
      </w:r>
      <w:r w:rsidRPr="00CC7883">
        <w:rPr>
          <w:rFonts w:ascii="Times New Roman" w:hAnsi="Times New Roman"/>
          <w:color w:val="000000" w:themeColor="text1"/>
          <w:sz w:val="28"/>
          <w:szCs w:val="28"/>
        </w:rPr>
        <w:t xml:space="preserve"> microcuttings in different substrates.</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Australian Forestry</w:t>
      </w:r>
      <w:r w:rsidRPr="00CC7883">
        <w:rPr>
          <w:rFonts w:ascii="Times New Roman" w:hAnsi="Times New Roman"/>
          <w:color w:val="000000" w:themeColor="text1"/>
          <w:sz w:val="28"/>
          <w:szCs w:val="28"/>
        </w:rPr>
        <w:t>. 2017. Vol. 80, No. 1. P. 46–52. DOI: https://doi.org/10.21475/ajcs.17.11.10.pne607.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Galzy R., Haffner V., Compan D. Influence of three factors on the growth and nutrition of grapevine microcuttings</w:t>
      </w:r>
      <w:r w:rsidRPr="00CC7883">
        <w:rPr>
          <w:rFonts w:ascii="Times New Roman" w:hAnsi="Times New Roman"/>
          <w:i/>
          <w:color w:val="000000" w:themeColor="text1"/>
          <w:sz w:val="28"/>
          <w:szCs w:val="28"/>
        </w:rPr>
        <w:t>. Journal of Experimental Botany</w:t>
      </w:r>
      <w:r w:rsidRPr="00CC7883">
        <w:rPr>
          <w:rFonts w:ascii="Times New Roman" w:hAnsi="Times New Roman"/>
          <w:color w:val="000000" w:themeColor="text1"/>
          <w:sz w:val="28"/>
          <w:szCs w:val="28"/>
        </w:rPr>
        <w:t>. 1990. Vol. 41. P. 295–301. DOI: https://doi.org/10.1093/jxb/41.3.295.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Gamborg O. L., Miller R. A., Ojima K. Nutrient requirements of suspension cultures of soybean root cells.</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Experimental Cell Research</w:t>
      </w:r>
      <w:r w:rsidRPr="00CC7883">
        <w:rPr>
          <w:rFonts w:ascii="Times New Roman" w:hAnsi="Times New Roman"/>
          <w:color w:val="000000" w:themeColor="text1"/>
          <w:sz w:val="28"/>
          <w:szCs w:val="28"/>
        </w:rPr>
        <w:t>. 1968. Vol. 50. P. 151–158.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García-Ramírez Y., Barrera G., Freire-Seijo M., Barbón R. Effect of sucrose </w:t>
      </w:r>
      <w:r w:rsidRPr="00CC7883">
        <w:rPr>
          <w:rFonts w:ascii="Times New Roman" w:hAnsi="Times New Roman"/>
          <w:color w:val="000000" w:themeColor="text1"/>
          <w:sz w:val="28"/>
          <w:szCs w:val="28"/>
        </w:rPr>
        <w:lastRenderedPageBreak/>
        <w:t xml:space="preserve">on physiological and biochemical changes of proliferated shoots of </w:t>
      </w:r>
      <w:r w:rsidRPr="00CC7883">
        <w:rPr>
          <w:rFonts w:ascii="Times New Roman" w:hAnsi="Times New Roman"/>
          <w:i/>
          <w:color w:val="000000" w:themeColor="text1"/>
          <w:sz w:val="28"/>
          <w:szCs w:val="28"/>
        </w:rPr>
        <w:t>Bambusa vulgaris</w:t>
      </w:r>
      <w:r w:rsidRPr="00CC7883">
        <w:rPr>
          <w:rFonts w:ascii="Times New Roman" w:hAnsi="Times New Roman"/>
          <w:color w:val="000000" w:themeColor="text1"/>
          <w:sz w:val="28"/>
          <w:szCs w:val="28"/>
        </w:rPr>
        <w:t xml:space="preserve"> Schrad. ex Wendl in temporary immersion.</w:t>
      </w:r>
      <w:r w:rsidR="0030488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Cell, Tissue and Organ Culture</w:t>
      </w:r>
      <w:r w:rsidRPr="00CC7883">
        <w:rPr>
          <w:rFonts w:ascii="Times New Roman" w:hAnsi="Times New Roman"/>
          <w:color w:val="000000" w:themeColor="text1"/>
          <w:sz w:val="28"/>
          <w:szCs w:val="28"/>
        </w:rPr>
        <w:t>. 2019. Vol. 137, No. 4. DOI: https://doi.org/10.1007/s11240-019-01564-z.</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García-Ramírez Y., Freire-Seijo M., Pérez B. Effect of IAA on </w:t>
      </w:r>
      <w:r w:rsidR="00FE0BC9"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of </w:t>
      </w:r>
      <w:r w:rsidRPr="00CC7883">
        <w:rPr>
          <w:rFonts w:ascii="Times New Roman" w:hAnsi="Times New Roman"/>
          <w:i/>
          <w:color w:val="000000" w:themeColor="text1"/>
          <w:sz w:val="28"/>
          <w:szCs w:val="28"/>
        </w:rPr>
        <w:t>Gigantochloa atter</w:t>
      </w:r>
      <w:r w:rsidRPr="00CC7883">
        <w:rPr>
          <w:rFonts w:ascii="Times New Roman" w:hAnsi="Times New Roman"/>
          <w:color w:val="000000" w:themeColor="text1"/>
          <w:sz w:val="28"/>
          <w:szCs w:val="28"/>
        </w:rPr>
        <w:t xml:space="preserve"> (Hassk.) Kurz.</w:t>
      </w:r>
      <w:r w:rsidR="00FE0BC9"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Biotecnología Vegetal</w:t>
      </w:r>
      <w:r w:rsidRPr="00CC7883">
        <w:rPr>
          <w:rFonts w:ascii="Times New Roman" w:hAnsi="Times New Roman"/>
          <w:color w:val="000000" w:themeColor="text1"/>
          <w:sz w:val="28"/>
          <w:szCs w:val="28"/>
        </w:rPr>
        <w:t>. 2015. Vol. 15,</w:t>
      </w:r>
      <w:r w:rsidR="005D150D"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3. P. 163–167.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George E. F., Hall M. A., de Klerk G. J. The anatomy and morphology of tissue cultured plants. In: George E. F., Hall M. A., de Klerk G. J. (eds.). </w:t>
      </w:r>
      <w:r w:rsidRPr="00CC7883">
        <w:rPr>
          <w:rFonts w:ascii="Times New Roman" w:hAnsi="Times New Roman"/>
          <w:i/>
          <w:color w:val="000000" w:themeColor="text1"/>
          <w:sz w:val="28"/>
          <w:szCs w:val="28"/>
        </w:rPr>
        <w:t>Plant Propagation by Tissue Culture. Springer</w:t>
      </w:r>
      <w:r w:rsidR="00AD0C35" w:rsidRPr="00CC7883">
        <w:rPr>
          <w:rFonts w:ascii="Times New Roman" w:hAnsi="Times New Roman"/>
          <w:color w:val="000000" w:themeColor="text1"/>
          <w:sz w:val="28"/>
          <w:szCs w:val="28"/>
        </w:rPr>
        <w:t>.</w:t>
      </w:r>
      <w:r w:rsidRPr="00CC7883">
        <w:rPr>
          <w:rFonts w:ascii="Times New Roman" w:hAnsi="Times New Roman"/>
          <w:color w:val="000000" w:themeColor="text1"/>
          <w:sz w:val="28"/>
          <w:szCs w:val="28"/>
        </w:rPr>
        <w:t xml:space="preserve"> 2008. P. 185–210. DOI: https://doi.org/10.1007/978-1-4020-5005-3_13.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Govindaraju S., Saravanan J., Jayanthi B., Nancy D., Indra Arulselvi P. </w:t>
      </w:r>
      <w:r w:rsidRPr="00CC7883">
        <w:rPr>
          <w:rFonts w:ascii="Times New Roman" w:hAnsi="Times New Roman"/>
          <w:i/>
          <w:color w:val="000000" w:themeColor="text1"/>
          <w:sz w:val="28"/>
          <w:szCs w:val="28"/>
        </w:rPr>
        <w:t>In</w:t>
      </w:r>
      <w:r w:rsidR="00FE0BC9"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propagation of Banana (</w:t>
      </w:r>
      <w:r w:rsidRPr="00CC7883">
        <w:rPr>
          <w:rFonts w:ascii="Times New Roman" w:hAnsi="Times New Roman"/>
          <w:i/>
          <w:color w:val="000000" w:themeColor="text1"/>
          <w:sz w:val="28"/>
          <w:szCs w:val="28"/>
        </w:rPr>
        <w:t>Musa</w:t>
      </w:r>
      <w:r w:rsidRPr="00CC7883">
        <w:rPr>
          <w:rFonts w:ascii="Times New Roman" w:hAnsi="Times New Roman"/>
          <w:color w:val="000000" w:themeColor="text1"/>
          <w:sz w:val="28"/>
          <w:szCs w:val="28"/>
        </w:rPr>
        <w:t xml:space="preserve"> sp. – Rasthali variety) from sword suckers for its commercial production.</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Research in Plant Biology</w:t>
      </w:r>
      <w:r w:rsidRPr="00CC7883">
        <w:rPr>
          <w:rFonts w:ascii="Times New Roman" w:hAnsi="Times New Roman"/>
          <w:color w:val="000000" w:themeColor="text1"/>
          <w:sz w:val="28"/>
          <w:szCs w:val="28"/>
        </w:rPr>
        <w:t>. 2012. Vol. 2,</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5. P. 1–6.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Gribaudo I., Restagno M., Vittorino N. Vented vessels affect growth rate of </w:t>
      </w:r>
      <w:r w:rsidR="00FE0BC9" w:rsidRPr="00CC7883">
        <w:rPr>
          <w:rFonts w:ascii="Times New Roman" w:hAnsi="Times New Roman" w:cs="Times New Roman"/>
          <w:i/>
          <w:iCs/>
          <w:color w:val="000000" w:themeColor="text1"/>
          <w:sz w:val="28"/>
          <w:szCs w:val="28"/>
        </w:rPr>
        <w:t>in vitro</w:t>
      </w:r>
      <w:r w:rsidR="00FE0BC9"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cv. Nebbiolo. In: I International Symposium on Acclimatization and Establishment of Micropropagated Plants. </w:t>
      </w:r>
      <w:r w:rsidRPr="00CC7883">
        <w:rPr>
          <w:rFonts w:ascii="Times New Roman" w:hAnsi="Times New Roman"/>
          <w:i/>
          <w:color w:val="000000" w:themeColor="text1"/>
          <w:sz w:val="28"/>
          <w:szCs w:val="28"/>
        </w:rPr>
        <w:t>Acta Horticulturae</w:t>
      </w:r>
      <w:r w:rsidRPr="00CC7883">
        <w:rPr>
          <w:rFonts w:ascii="Times New Roman" w:hAnsi="Times New Roman"/>
          <w:color w:val="000000" w:themeColor="text1"/>
          <w:sz w:val="28"/>
          <w:szCs w:val="28"/>
        </w:rPr>
        <w:t>. 2003. Vol. 616. P. 75–82. DOI: https://doi.org/10.17660/ActaHortic.2003.616.11.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Hameg R., Boughalleb F., Bouthour D., Ltaief B., Mlika A., Ghezal N., Cheour F. Modeling and optimizing culture medium mineral composition for </w:t>
      </w:r>
      <w:r w:rsidR="00FE0BC9"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propagation of </w:t>
      </w:r>
      <w:r w:rsidRPr="00CC7883">
        <w:rPr>
          <w:rFonts w:ascii="Times New Roman" w:hAnsi="Times New Roman"/>
          <w:i/>
          <w:color w:val="000000" w:themeColor="text1"/>
          <w:sz w:val="28"/>
          <w:szCs w:val="28"/>
        </w:rPr>
        <w:t>Actinidia arguta</w:t>
      </w:r>
      <w:r w:rsidRPr="00CC7883">
        <w:rPr>
          <w:rFonts w:ascii="Times New Roman" w:hAnsi="Times New Roman"/>
          <w:color w:val="000000" w:themeColor="text1"/>
          <w:sz w:val="28"/>
          <w:szCs w:val="28"/>
        </w:rPr>
        <w:t>.</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Frontiers in Plant Science</w:t>
      </w:r>
      <w:r w:rsidRPr="00CC7883">
        <w:rPr>
          <w:rFonts w:ascii="Times New Roman" w:hAnsi="Times New Roman"/>
          <w:color w:val="000000" w:themeColor="text1"/>
          <w:sz w:val="28"/>
          <w:szCs w:val="28"/>
        </w:rPr>
        <w:t>. 2020. Vol. 11. DOI: https://doi.org/10.3389/fpls.2020.554905.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Hamirah M. N., Sani H. B., Boyce P. C., Sim S. L. Micropropagation of red ginger (</w:t>
      </w:r>
      <w:r w:rsidRPr="00CC7883">
        <w:rPr>
          <w:rFonts w:ascii="Times New Roman" w:hAnsi="Times New Roman"/>
          <w:i/>
          <w:color w:val="000000" w:themeColor="text1"/>
          <w:sz w:val="28"/>
          <w:szCs w:val="28"/>
        </w:rPr>
        <w:t>Zingiber montanum</w:t>
      </w:r>
      <w:r w:rsidRPr="00CC7883">
        <w:rPr>
          <w:rFonts w:ascii="Times New Roman" w:hAnsi="Times New Roman"/>
          <w:color w:val="000000" w:themeColor="text1"/>
          <w:sz w:val="28"/>
          <w:szCs w:val="28"/>
        </w:rPr>
        <w:t xml:space="preserve"> Koenig), a medicinal plant.</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AsPac Journal of Molecular Biology and Biotechnology</w:t>
      </w:r>
      <w:r w:rsidRPr="00CC7883">
        <w:rPr>
          <w:rFonts w:ascii="Times New Roman" w:hAnsi="Times New Roman"/>
          <w:color w:val="000000" w:themeColor="text1"/>
          <w:sz w:val="28"/>
          <w:szCs w:val="28"/>
        </w:rPr>
        <w:t>. 2010. Vol. 18, No. 1. P. 127–130.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Harjanti D. W., Wahyono F., Ciptaningtyas V. R. Effects of different sterilization methods of herbal formula on phytochemical compounds and antibacterial activity against mastitis-causing bacteria.</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Vet World</w:t>
      </w:r>
      <w:r w:rsidRPr="00CC7883">
        <w:rPr>
          <w:rFonts w:ascii="Times New Roman" w:hAnsi="Times New Roman"/>
          <w:color w:val="000000" w:themeColor="text1"/>
          <w:sz w:val="28"/>
          <w:szCs w:val="28"/>
        </w:rPr>
        <w:t xml:space="preserve">. 2020. Vol. 13, No. 6. P. 1187–1192. DOI: </w:t>
      </w:r>
      <w:r w:rsidR="00166559" w:rsidRPr="00166559">
        <w:rPr>
          <w:rFonts w:ascii="Times New Roman" w:hAnsi="Times New Roman" w:cs="Times New Roman"/>
          <w:sz w:val="28"/>
          <w:szCs w:val="28"/>
        </w:rPr>
        <w:t>https://doi.org/10.14202/vetworld.2020.1187-1192</w:t>
      </w:r>
      <w:r w:rsidRPr="00CC7883">
        <w:rPr>
          <w:rFonts w:ascii="Times New Roman" w:hAnsi="Times New Roman"/>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Hashemi S. A. A., Kazemitabar S. K., Yadollahi A., Ebadi A. </w:t>
      </w:r>
      <w:r w:rsidR="00FE0BC9" w:rsidRPr="00CC7883">
        <w:rPr>
          <w:rStyle w:val="af1"/>
          <w:rFonts w:ascii="Times New Roman" w:hAnsi="Times New Roman"/>
          <w:color w:val="000000" w:themeColor="text1"/>
          <w:sz w:val="28"/>
          <w:szCs w:val="28"/>
        </w:rPr>
        <w:t>I</w:t>
      </w:r>
      <w:r w:rsidRPr="00CC7883">
        <w:rPr>
          <w:rStyle w:val="af1"/>
          <w:rFonts w:ascii="Times New Roman" w:hAnsi="Times New Roman"/>
          <w:color w:val="000000" w:themeColor="text1"/>
          <w:sz w:val="28"/>
          <w:szCs w:val="28"/>
        </w:rPr>
        <w:t>n vitro</w:t>
      </w:r>
      <w:r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lastRenderedPageBreak/>
        <w:t>propagation of grapevine (</w:t>
      </w:r>
      <w:r w:rsidRPr="00CC7883">
        <w:rPr>
          <w:rStyle w:val="af1"/>
          <w:rFonts w:ascii="Times New Roman" w:hAnsi="Times New Roman"/>
          <w:color w:val="000000" w:themeColor="text1"/>
          <w:sz w:val="28"/>
          <w:szCs w:val="28"/>
        </w:rPr>
        <w:t>Vitis vinifera</w:t>
      </w:r>
      <w:r w:rsidRPr="00CC7883">
        <w:rPr>
          <w:rFonts w:ascii="Times New Roman" w:hAnsi="Times New Roman"/>
          <w:color w:val="000000" w:themeColor="text1"/>
          <w:sz w:val="28"/>
          <w:szCs w:val="28"/>
        </w:rPr>
        <w:t xml:space="preserve"> L. cv. Thompson Seedless) through axillary bud proliferation. </w:t>
      </w:r>
      <w:r w:rsidRPr="00CC7883">
        <w:rPr>
          <w:rFonts w:ascii="Times New Roman" w:hAnsi="Times New Roman"/>
          <w:i/>
          <w:color w:val="000000" w:themeColor="text1"/>
          <w:sz w:val="28"/>
          <w:szCs w:val="28"/>
        </w:rPr>
        <w:t>Journal of Plant Molecular Breeding</w:t>
      </w:r>
      <w:r w:rsidRPr="00CC7883">
        <w:rPr>
          <w:rFonts w:ascii="Times New Roman" w:hAnsi="Times New Roman"/>
          <w:color w:val="000000" w:themeColor="text1"/>
          <w:sz w:val="28"/>
          <w:szCs w:val="28"/>
        </w:rPr>
        <w:t>. 2020. Vol. 8, No. 2. P. 25–36.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Hatzilazarou S., Kostas S., Economou A., Scaltsoyiannes A. Efficient propagation of </w:t>
      </w:r>
      <w:r w:rsidRPr="00CC7883">
        <w:rPr>
          <w:rFonts w:ascii="Times New Roman" w:hAnsi="Times New Roman"/>
          <w:i/>
          <w:color w:val="000000" w:themeColor="text1"/>
          <w:sz w:val="28"/>
          <w:szCs w:val="28"/>
        </w:rPr>
        <w:t>Nerium oleander</w:t>
      </w:r>
      <w:r w:rsidRPr="00CC7883">
        <w:rPr>
          <w:rFonts w:ascii="Times New Roman" w:hAnsi="Times New Roman"/>
          <w:color w:val="000000" w:themeColor="text1"/>
          <w:sz w:val="28"/>
          <w:szCs w:val="28"/>
        </w:rPr>
        <w:t xml:space="preserve"> L. through tissue culture.</w:t>
      </w:r>
      <w:r w:rsidR="005D150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Propagation of Ornamental Plants</w:t>
      </w:r>
      <w:r w:rsidRPr="00CC7883">
        <w:rPr>
          <w:rFonts w:ascii="Times New Roman" w:hAnsi="Times New Roman"/>
          <w:color w:val="000000" w:themeColor="text1"/>
          <w:sz w:val="28"/>
          <w:szCs w:val="28"/>
        </w:rPr>
        <w:t>. 2017. Vol. 17, No. 2. P. 64–74.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Heo J. W., Shin K. S., Kim S. K., Paek K. Y. Light quality affects </w:t>
      </w:r>
      <w:r w:rsidR="00FE0BC9"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growth of grape ‘Teleki 5BB’.</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Plant Biology</w:t>
      </w:r>
      <w:r w:rsidRPr="00CC7883">
        <w:rPr>
          <w:rFonts w:ascii="Times New Roman" w:hAnsi="Times New Roman"/>
          <w:color w:val="000000" w:themeColor="text1"/>
          <w:sz w:val="28"/>
          <w:szCs w:val="28"/>
        </w:rPr>
        <w:t>. 2006. Vol. 49,</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4. P. 276–280.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Hernández-Pérez C. A., Gómez-Merino F. C., Spinoso-Castillo J. L., Bello-Bello J. J. </w:t>
      </w:r>
      <w:r w:rsidRPr="00CC7883">
        <w:rPr>
          <w:rFonts w:ascii="Times New Roman" w:hAnsi="Times New Roman"/>
          <w:i/>
          <w:color w:val="000000" w:themeColor="text1"/>
          <w:sz w:val="28"/>
          <w:szCs w:val="28"/>
        </w:rPr>
        <w:t>In</w:t>
      </w:r>
      <w:r w:rsidR="00FE0BC9"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screening of sugarcane cultivars (</w:t>
      </w:r>
      <w:r w:rsidRPr="00CC7883">
        <w:rPr>
          <w:rFonts w:ascii="Times New Roman" w:hAnsi="Times New Roman"/>
          <w:i/>
          <w:color w:val="000000" w:themeColor="text1"/>
          <w:sz w:val="28"/>
          <w:szCs w:val="28"/>
        </w:rPr>
        <w:t>Saccharum</w:t>
      </w:r>
      <w:r w:rsidRPr="00CC7883">
        <w:rPr>
          <w:rFonts w:ascii="Times New Roman" w:hAnsi="Times New Roman"/>
          <w:color w:val="000000" w:themeColor="text1"/>
          <w:sz w:val="28"/>
          <w:szCs w:val="28"/>
        </w:rPr>
        <w:t xml:space="preserve"> spp. </w:t>
      </w:r>
      <w:r w:rsidRPr="00CC7883">
        <w:rPr>
          <w:rFonts w:ascii="Times New Roman" w:hAnsi="Times New Roman"/>
          <w:i/>
          <w:color w:val="000000" w:themeColor="text1"/>
          <w:sz w:val="28"/>
          <w:szCs w:val="28"/>
        </w:rPr>
        <w:t>hybrids</w:t>
      </w:r>
      <w:r w:rsidRPr="00CC7883">
        <w:rPr>
          <w:rFonts w:ascii="Times New Roman" w:hAnsi="Times New Roman"/>
          <w:color w:val="000000" w:themeColor="text1"/>
          <w:sz w:val="28"/>
          <w:szCs w:val="28"/>
        </w:rPr>
        <w:t>) for tolerance to polyethylene glycol-induced water stress.</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Agronomy</w:t>
      </w:r>
      <w:r w:rsidRPr="00CC7883">
        <w:rPr>
          <w:rFonts w:ascii="Times New Roman" w:hAnsi="Times New Roman"/>
          <w:color w:val="000000" w:themeColor="text1"/>
          <w:sz w:val="28"/>
          <w:szCs w:val="28"/>
        </w:rPr>
        <w:t>. 2021. Vol. 11. DOI: https://doi.org/10.3390/agronomy11030598.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Holmes J. E., Hasing T., Ahmed S. A., Ortiz J. V., van Bakel H. Variables affecting shoot growth and plantlet recovery in tissue cultures of drug-type </w:t>
      </w:r>
      <w:r w:rsidRPr="00CC7883">
        <w:rPr>
          <w:rFonts w:ascii="Times New Roman" w:hAnsi="Times New Roman"/>
          <w:i/>
          <w:color w:val="000000" w:themeColor="text1"/>
          <w:sz w:val="28"/>
          <w:szCs w:val="28"/>
        </w:rPr>
        <w:t>Cannabis sativa</w:t>
      </w:r>
      <w:r w:rsidRPr="00CC7883">
        <w:rPr>
          <w:rFonts w:ascii="Times New Roman" w:hAnsi="Times New Roman"/>
          <w:color w:val="000000" w:themeColor="text1"/>
          <w:sz w:val="28"/>
          <w:szCs w:val="28"/>
        </w:rPr>
        <w:t xml:space="preserve"> L. </w:t>
      </w:r>
      <w:r w:rsidRPr="00CC7883">
        <w:rPr>
          <w:rFonts w:ascii="Times New Roman" w:hAnsi="Times New Roman"/>
          <w:i/>
          <w:color w:val="000000" w:themeColor="text1"/>
          <w:sz w:val="28"/>
          <w:szCs w:val="28"/>
        </w:rPr>
        <w:t>Frontiers in Plant Science</w:t>
      </w:r>
      <w:r w:rsidRPr="00CC7883">
        <w:rPr>
          <w:rFonts w:ascii="Times New Roman" w:hAnsi="Times New Roman"/>
          <w:color w:val="000000" w:themeColor="text1"/>
          <w:sz w:val="28"/>
          <w:szCs w:val="28"/>
        </w:rPr>
        <w:t>. 2021. Vol. 12. DOI: https://doi.org/10.3389/fpls.2021.708364.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Hussain N., Ali H., Mustafa G., Khan M. S., Ali B., Ameer S., Zamir S., Iqbal R., Ali B., Khan M. N., Ozdemir F. A., Mustafa A. E.-Z. M. A., Elshikh M. S., Joyia F. A. </w:t>
      </w:r>
      <w:r w:rsidR="00FE0BC9" w:rsidRPr="00CC7883">
        <w:rPr>
          <w:rFonts w:ascii="Times New Roman" w:hAnsi="Times New Roman"/>
          <w:i/>
          <w:color w:val="000000" w:themeColor="text1"/>
          <w:sz w:val="28"/>
          <w:szCs w:val="28"/>
        </w:rPr>
        <w:t>In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plant regeneration from petioles of spinach (</w:t>
      </w:r>
      <w:r w:rsidRPr="00CC7883">
        <w:rPr>
          <w:rFonts w:ascii="Times New Roman" w:hAnsi="Times New Roman"/>
          <w:i/>
          <w:color w:val="000000" w:themeColor="text1"/>
          <w:sz w:val="28"/>
          <w:szCs w:val="28"/>
        </w:rPr>
        <w:t>Spinacia oleracea</w:t>
      </w:r>
      <w:r w:rsidRPr="00CC7883">
        <w:rPr>
          <w:rFonts w:ascii="Times New Roman" w:hAnsi="Times New Roman"/>
          <w:color w:val="000000" w:themeColor="text1"/>
          <w:sz w:val="28"/>
          <w:szCs w:val="28"/>
        </w:rPr>
        <w:t xml:space="preserve"> L.).</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ACS Agricultural Science &amp; Technology</w:t>
      </w:r>
      <w:r w:rsidRPr="00CC7883">
        <w:rPr>
          <w:rFonts w:ascii="Times New Roman" w:hAnsi="Times New Roman"/>
          <w:color w:val="000000" w:themeColor="text1"/>
          <w:sz w:val="28"/>
          <w:szCs w:val="28"/>
        </w:rPr>
        <w:t>. 2024. Vol. 4, No. 1. P. 57–62. DOI: https://doi.org/10.1021/acsagscitech.3c00283.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Iacuzzi N., Salamone F., Farruggia D., Tortorici N., Vultaggio L., Tuttolomondo T. Development of a new micropropagation protocol and transfer of </w:t>
      </w:r>
      <w:r w:rsidRPr="00CC7883">
        <w:rPr>
          <w:rFonts w:ascii="Times New Roman" w:hAnsi="Times New Roman"/>
          <w:i/>
          <w:color w:val="000000" w:themeColor="text1"/>
          <w:sz w:val="28"/>
          <w:szCs w:val="28"/>
        </w:rPr>
        <w:t>in</w:t>
      </w:r>
      <w:r w:rsidR="00F5525C"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plants to </w:t>
      </w:r>
      <w:r w:rsidR="00F5525C" w:rsidRPr="00CC7883">
        <w:rPr>
          <w:rFonts w:ascii="Times New Roman" w:eastAsia="NSimSun" w:hAnsi="Times New Roman" w:cs="Times New Roman"/>
          <w:i/>
          <w:iCs/>
          <w:color w:val="000000" w:themeColor="text1"/>
          <w:kern w:val="3"/>
          <w:sz w:val="28"/>
          <w:szCs w:val="28"/>
        </w:rPr>
        <w:t>in vivo</w:t>
      </w:r>
      <w:r w:rsidRPr="00CC7883">
        <w:rPr>
          <w:rFonts w:ascii="Times New Roman" w:hAnsi="Times New Roman"/>
          <w:color w:val="000000" w:themeColor="text1"/>
          <w:sz w:val="28"/>
          <w:szCs w:val="28"/>
        </w:rPr>
        <w:t xml:space="preserve"> conditions for Cascade Hop.</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Plants</w:t>
      </w:r>
      <w:r w:rsidRPr="00CC7883">
        <w:rPr>
          <w:rFonts w:ascii="Times New Roman" w:hAnsi="Times New Roman"/>
          <w:color w:val="000000" w:themeColor="text1"/>
          <w:sz w:val="28"/>
          <w:szCs w:val="28"/>
        </w:rPr>
        <w:t>. 2023. Vol. 12,</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15. DOI: https://doi.org/10.3390/plants12152877.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Ibañez A., Valero M., Morte A. Establishment and </w:t>
      </w:r>
      <w:r w:rsidR="00FE0BC9"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clonal propagation of the Spanish autochthonous table grapevine cultivar Napoleon: an improved system where proliferating cultures alternate with rooting ones.</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Anales de Biología</w:t>
      </w:r>
      <w:r w:rsidRPr="00CC7883">
        <w:rPr>
          <w:rFonts w:ascii="Times New Roman" w:hAnsi="Times New Roman"/>
          <w:color w:val="000000" w:themeColor="text1"/>
          <w:sz w:val="28"/>
          <w:szCs w:val="28"/>
        </w:rPr>
        <w:t>. 2005. Vol. 27. P. 211–220.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Style w:val="af2"/>
          <w:rFonts w:ascii="Times New Roman" w:hAnsi="Times New Roman"/>
          <w:b w:val="0"/>
          <w:bCs w:val="0"/>
          <w:color w:val="000000" w:themeColor="text1"/>
          <w:sz w:val="28"/>
          <w:szCs w:val="28"/>
        </w:rPr>
        <w:lastRenderedPageBreak/>
        <w:t>Ikten H., Read P.</w:t>
      </w:r>
      <w:r w:rsidR="00FF36D8" w:rsidRPr="00F62136">
        <w:rPr>
          <w:rStyle w:val="af2"/>
          <w:rFonts w:ascii="Times New Roman" w:hAnsi="Times New Roman"/>
          <w:b w:val="0"/>
          <w:bCs w:val="0"/>
          <w:color w:val="000000" w:themeColor="text1"/>
          <w:sz w:val="28"/>
          <w:szCs w:val="28"/>
          <w:lang w:val="en-US"/>
        </w:rPr>
        <w:t xml:space="preserve"> </w:t>
      </w:r>
      <w:r w:rsidRPr="00CC7883">
        <w:rPr>
          <w:rStyle w:val="af2"/>
          <w:rFonts w:ascii="Times New Roman" w:hAnsi="Times New Roman"/>
          <w:b w:val="0"/>
          <w:bCs w:val="0"/>
          <w:color w:val="000000" w:themeColor="text1"/>
          <w:sz w:val="28"/>
          <w:szCs w:val="28"/>
        </w:rPr>
        <w:t>E.</w:t>
      </w:r>
      <w:r w:rsidRPr="00CC7883">
        <w:rPr>
          <w:rFonts w:ascii="Times New Roman" w:hAnsi="Times New Roman"/>
          <w:color w:val="000000" w:themeColor="text1"/>
          <w:sz w:val="28"/>
          <w:szCs w:val="28"/>
        </w:rPr>
        <w:t xml:space="preserve"> The effects of growth regulators on micropropagation of grapevine (</w:t>
      </w:r>
      <w:r w:rsidRPr="00CC7883">
        <w:rPr>
          <w:rStyle w:val="af1"/>
          <w:rFonts w:ascii="Times New Roman" w:hAnsi="Times New Roman"/>
          <w:color w:val="000000" w:themeColor="text1"/>
          <w:sz w:val="28"/>
          <w:szCs w:val="28"/>
        </w:rPr>
        <w:t>Vitis</w:t>
      </w:r>
      <w:r w:rsidRPr="00CC7883">
        <w:rPr>
          <w:rFonts w:ascii="Times New Roman" w:hAnsi="Times New Roman"/>
          <w:color w:val="000000" w:themeColor="text1"/>
          <w:sz w:val="28"/>
          <w:szCs w:val="28"/>
        </w:rPr>
        <w:t xml:space="preserve"> spp.) ‘Marechal Foch’ and ‘Lacrosse’. </w:t>
      </w:r>
      <w:r w:rsidRPr="00CC7883">
        <w:rPr>
          <w:rStyle w:val="af1"/>
          <w:rFonts w:ascii="Times New Roman" w:hAnsi="Times New Roman"/>
          <w:color w:val="000000" w:themeColor="text1"/>
          <w:sz w:val="28"/>
          <w:szCs w:val="28"/>
        </w:rPr>
        <w:t>International Journal of Fruit Science</w:t>
      </w:r>
      <w:r w:rsidRPr="00CC7883">
        <w:rPr>
          <w:rFonts w:ascii="Times New Roman" w:hAnsi="Times New Roman"/>
          <w:color w:val="000000" w:themeColor="text1"/>
          <w:sz w:val="28"/>
          <w:szCs w:val="28"/>
        </w:rPr>
        <w:t>. 2010. Vol. 10, No. 3. P. 367–378.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Style w:val="af2"/>
          <w:rFonts w:ascii="Times New Roman" w:hAnsi="Times New Roman"/>
          <w:b w:val="0"/>
          <w:bCs w:val="0"/>
          <w:color w:val="000000" w:themeColor="text1"/>
          <w:sz w:val="28"/>
          <w:szCs w:val="28"/>
        </w:rPr>
        <w:t>Ikten H.</w:t>
      </w:r>
      <w:r w:rsidRPr="00CC7883">
        <w:rPr>
          <w:rFonts w:ascii="Times New Roman" w:hAnsi="Times New Roman"/>
          <w:color w:val="000000" w:themeColor="text1"/>
          <w:sz w:val="28"/>
          <w:szCs w:val="28"/>
        </w:rPr>
        <w:t xml:space="preserve"> The effects of growth regulators on micropropagation of grapevine cultivars (</w:t>
      </w:r>
      <w:r w:rsidRPr="00CC7883">
        <w:rPr>
          <w:rStyle w:val="af1"/>
          <w:rFonts w:ascii="Times New Roman" w:hAnsi="Times New Roman"/>
          <w:color w:val="000000" w:themeColor="text1"/>
          <w:sz w:val="28"/>
          <w:szCs w:val="28"/>
        </w:rPr>
        <w:t>Vitis</w:t>
      </w:r>
      <w:r w:rsidRPr="00CC7883">
        <w:rPr>
          <w:rFonts w:ascii="Times New Roman" w:hAnsi="Times New Roman"/>
          <w:color w:val="000000" w:themeColor="text1"/>
          <w:sz w:val="28"/>
          <w:szCs w:val="28"/>
        </w:rPr>
        <w:t xml:space="preserve"> spp.).</w:t>
      </w:r>
      <w:r w:rsidR="00FE0BC9" w:rsidRPr="00CC7883">
        <w:rPr>
          <w:rFonts w:ascii="Times New Roman" w:hAnsi="Times New Roman"/>
          <w:color w:val="000000" w:themeColor="text1"/>
          <w:sz w:val="28"/>
          <w:szCs w:val="28"/>
        </w:rPr>
        <w:t xml:space="preserve"> </w:t>
      </w:r>
      <w:r w:rsidRPr="00CC7883">
        <w:rPr>
          <w:rStyle w:val="af1"/>
          <w:rFonts w:ascii="Times New Roman" w:hAnsi="Times New Roman"/>
          <w:color w:val="000000" w:themeColor="text1"/>
          <w:sz w:val="28"/>
          <w:szCs w:val="28"/>
        </w:rPr>
        <w:t>In</w:t>
      </w:r>
      <w:r w:rsidR="00FE0BC9" w:rsidRPr="00CC7883">
        <w:rPr>
          <w:rStyle w:val="af1"/>
          <w:rFonts w:ascii="Times New Roman" w:hAnsi="Times New Roman"/>
          <w:color w:val="000000" w:themeColor="text1"/>
          <w:sz w:val="28"/>
          <w:szCs w:val="28"/>
        </w:rPr>
        <w:t> </w:t>
      </w:r>
      <w:r w:rsidRPr="00CC7883">
        <w:rPr>
          <w:rStyle w:val="af1"/>
          <w:rFonts w:ascii="Times New Roman" w:hAnsi="Times New Roman"/>
          <w:color w:val="000000" w:themeColor="text1"/>
          <w:sz w:val="28"/>
          <w:szCs w:val="28"/>
        </w:rPr>
        <w:t>Vitro Cellular &amp; Developmental Biology – Plant</w:t>
      </w:r>
      <w:r w:rsidRPr="00CC7883">
        <w:rPr>
          <w:rFonts w:ascii="Times New Roman" w:hAnsi="Times New Roman"/>
          <w:color w:val="000000" w:themeColor="text1"/>
          <w:sz w:val="28"/>
          <w:szCs w:val="28"/>
        </w:rPr>
        <w:t>. 2010. Vol. 46. P. 1–7.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Irshad M., Rizwan H. M., Debnath B., Anwar M., Li M., Liu S., He B., Qiu D. Ascorbic acid controls lethal browning and Pluronic F-68 promotes high-frequency multiple shoot regeneration from cotyledonary node explant of okra (</w:t>
      </w:r>
      <w:r w:rsidRPr="00CC7883">
        <w:rPr>
          <w:rFonts w:ascii="Times New Roman" w:hAnsi="Times New Roman"/>
          <w:i/>
          <w:color w:val="000000" w:themeColor="text1"/>
          <w:sz w:val="28"/>
          <w:szCs w:val="28"/>
        </w:rPr>
        <w:t>Abelmoschus esculentus</w:t>
      </w:r>
      <w:r w:rsidRPr="00CC7883">
        <w:rPr>
          <w:rFonts w:ascii="Times New Roman" w:hAnsi="Times New Roman"/>
          <w:color w:val="000000" w:themeColor="text1"/>
          <w:sz w:val="28"/>
          <w:szCs w:val="28"/>
        </w:rPr>
        <w:t xml:space="preserve"> L.).</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Physiology and Molecular Biology of Plants</w:t>
      </w:r>
      <w:r w:rsidRPr="00CC7883">
        <w:rPr>
          <w:rFonts w:ascii="Times New Roman" w:hAnsi="Times New Roman"/>
          <w:color w:val="000000" w:themeColor="text1"/>
          <w:sz w:val="28"/>
          <w:szCs w:val="28"/>
        </w:rPr>
        <w:t>. 2018. Vol. 53, No. 2. P. 183–190.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Jaskani M., Abbas H., Sultana R., Khan M. Effect of growth hormones on micropropagation of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cv. Perlette.</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Pakistan Journal of Botany</w:t>
      </w:r>
      <w:r w:rsidRPr="00CC7883">
        <w:rPr>
          <w:rFonts w:ascii="Times New Roman" w:hAnsi="Times New Roman"/>
          <w:color w:val="000000" w:themeColor="text1"/>
          <w:sz w:val="28"/>
          <w:szCs w:val="28"/>
        </w:rPr>
        <w:t>. 2008. Vol. 40,</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 P. 105–109.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Jo E.-A., Tewari R. K., Hahn E.-J., Paek K. Y. Effect of photoperiod and light intensity on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propagation of </w:t>
      </w:r>
      <w:r w:rsidRPr="00CC7883">
        <w:rPr>
          <w:rFonts w:ascii="Times New Roman" w:hAnsi="Times New Roman"/>
          <w:i/>
          <w:color w:val="000000" w:themeColor="text1"/>
          <w:sz w:val="28"/>
          <w:szCs w:val="28"/>
        </w:rPr>
        <w:t>Alocasia amazonica</w:t>
      </w:r>
      <w:r w:rsidRPr="00CC7883">
        <w:rPr>
          <w:rFonts w:ascii="Times New Roman" w:hAnsi="Times New Roman"/>
          <w:color w:val="000000" w:themeColor="text1"/>
          <w:sz w:val="28"/>
          <w:szCs w:val="28"/>
        </w:rPr>
        <w:t>.</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Biotechnology Reports</w:t>
      </w:r>
      <w:r w:rsidRPr="00CC7883">
        <w:rPr>
          <w:rFonts w:ascii="Times New Roman" w:hAnsi="Times New Roman"/>
          <w:color w:val="000000" w:themeColor="text1"/>
          <w:sz w:val="28"/>
          <w:szCs w:val="28"/>
        </w:rPr>
        <w:t>. 2008. Vol. 2, No. 3. P. 207–212.</w:t>
      </w:r>
      <w:r w:rsidR="0087180C"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DOI: https://doi.org/10.1007/s11816-008-0063-6.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Jofre-Garfias A. E., Vazquez-Sanchez M. N., Hernandez-Razo A. R., Davalos-Gonzalez P. A. Production and acclimatization of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produced strawberry plants.</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Acta Horticulturae</w:t>
      </w:r>
      <w:r w:rsidRPr="00CC7883">
        <w:rPr>
          <w:rFonts w:ascii="Times New Roman" w:hAnsi="Times New Roman"/>
          <w:color w:val="000000" w:themeColor="text1"/>
          <w:sz w:val="28"/>
          <w:szCs w:val="28"/>
        </w:rPr>
        <w:t>. 2006. Vol. 727. DOI:</w:t>
      </w:r>
      <w:r w:rsidR="004D08D0" w:rsidRPr="00CC7883">
        <w:rPr>
          <w:rFonts w:ascii="Times New Roman" w:hAnsi="Times New Roman"/>
          <w:color w:val="000000" w:themeColor="text1"/>
          <w:sz w:val="28"/>
          <w:szCs w:val="28"/>
        </w:rPr>
        <w:t xml:space="preserve"> </w:t>
      </w:r>
      <w:r w:rsidR="00166559" w:rsidRPr="00166559">
        <w:rPr>
          <w:rFonts w:ascii="Times New Roman" w:hAnsi="Times New Roman" w:cs="Times New Roman"/>
          <w:sz w:val="28"/>
          <w:szCs w:val="28"/>
        </w:rPr>
        <w:t>https://doi.org/10.17660/ActaHortic.2006.727.5</w:t>
      </w:r>
      <w:r w:rsidRPr="00CC7883">
        <w:rPr>
          <w:rFonts w:ascii="Times New Roman" w:hAnsi="Times New Roman"/>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Keathmetha W., Suksa-ard P. Effects of rooting substrates on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of </w:t>
      </w:r>
      <w:r w:rsidRPr="00CC7883">
        <w:rPr>
          <w:rFonts w:ascii="Times New Roman" w:hAnsi="Times New Roman"/>
          <w:i/>
          <w:color w:val="000000" w:themeColor="text1"/>
          <w:sz w:val="28"/>
          <w:szCs w:val="28"/>
        </w:rPr>
        <w:t>Anthurium andraeanum</w:t>
      </w:r>
      <w:r w:rsidRPr="00CC7883">
        <w:rPr>
          <w:rFonts w:ascii="Times New Roman" w:hAnsi="Times New Roman"/>
          <w:color w:val="000000" w:themeColor="text1"/>
          <w:sz w:val="28"/>
          <w:szCs w:val="28"/>
        </w:rPr>
        <w:t xml:space="preserve"> L. cv. Avanti.</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Walailak Journal of Science and Technology</w:t>
      </w:r>
      <w:r w:rsidRPr="00CC7883">
        <w:rPr>
          <w:rFonts w:ascii="Times New Roman" w:hAnsi="Times New Roman"/>
          <w:color w:val="000000" w:themeColor="text1"/>
          <w:sz w:val="28"/>
          <w:szCs w:val="28"/>
        </w:rPr>
        <w:t>. 2004. Vol. 1, No. 2. P. 185. DOI: https://doi.org/10.2004/wjst.v1i2.185.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Kemat N., Visser R. G. F., Krens F. A. Physiological and morpho-anatomical analyses of hyperhydric </w:t>
      </w:r>
      <w:r w:rsidRPr="00CC7883">
        <w:rPr>
          <w:rFonts w:ascii="Times New Roman" w:hAnsi="Times New Roman"/>
          <w:i/>
          <w:color w:val="000000" w:themeColor="text1"/>
          <w:sz w:val="28"/>
          <w:szCs w:val="28"/>
        </w:rPr>
        <w:t>Arabidopsis thaliana</w:t>
      </w:r>
      <w:r w:rsidRPr="00CC7883">
        <w:rPr>
          <w:rFonts w:ascii="Times New Roman" w:hAnsi="Times New Roman"/>
          <w:color w:val="000000" w:themeColor="text1"/>
          <w:sz w:val="28"/>
          <w:szCs w:val="28"/>
        </w:rPr>
        <w:t xml:space="preserve"> influenced by media components.</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Plant Biotechnology</w:t>
      </w:r>
      <w:r w:rsidRPr="00CC7883">
        <w:rPr>
          <w:rFonts w:ascii="Times New Roman" w:hAnsi="Times New Roman"/>
          <w:color w:val="000000" w:themeColor="text1"/>
          <w:sz w:val="28"/>
          <w:szCs w:val="28"/>
        </w:rPr>
        <w:t>. 2023. Vol. 50. P. 255–266. DOI: https://doi.org/10.5010/JPB.2023.50.032.255.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lastRenderedPageBreak/>
        <w:t xml:space="preserve">Kim S.-H., Zebro M., Jang D.-C., Sim J.-E., Park H.-K., Kim K.-Y., Bae H.-M., Tilahun S., Park S.-M. Optimization of plant growth regulators for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mass propagation of a disease-free ‘Shine Muscat’ grapevine cultivar.</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Current Issues in Molecular Biology</w:t>
      </w:r>
      <w:r w:rsidRPr="00CC7883">
        <w:rPr>
          <w:rFonts w:ascii="Times New Roman" w:hAnsi="Times New Roman"/>
          <w:color w:val="000000" w:themeColor="text1"/>
          <w:sz w:val="28"/>
          <w:szCs w:val="28"/>
        </w:rPr>
        <w:t>. 2023. Vol. 45, No. 10. P. 7721–7733. DOI: https://doi.org/10.3390/cimb45100487.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Kim S.-J., Hahn E.-J., Heo J.-W., Paek K. Y. Effects of LEDs on net photosynthetic rate, growth and leaf stomata of </w:t>
      </w:r>
      <w:r w:rsidRPr="00CC7883">
        <w:rPr>
          <w:rFonts w:ascii="Times New Roman" w:hAnsi="Times New Roman"/>
          <w:i/>
          <w:color w:val="000000" w:themeColor="text1"/>
          <w:sz w:val="28"/>
          <w:szCs w:val="28"/>
        </w:rPr>
        <w:t>Chrysanthemum</w:t>
      </w:r>
      <w:r w:rsidRPr="00CC7883">
        <w:rPr>
          <w:rFonts w:ascii="Times New Roman" w:hAnsi="Times New Roman"/>
          <w:color w:val="000000" w:themeColor="text1"/>
          <w:sz w:val="28"/>
          <w:szCs w:val="28"/>
        </w:rPr>
        <w:t xml:space="preserve"> plantlets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w:t>
      </w:r>
      <w:r w:rsidR="00443F9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Scientia Horticulturae</w:t>
      </w:r>
      <w:r w:rsidRPr="00CC7883">
        <w:rPr>
          <w:rFonts w:ascii="Times New Roman" w:hAnsi="Times New Roman"/>
          <w:color w:val="000000" w:themeColor="text1"/>
          <w:sz w:val="28"/>
          <w:szCs w:val="28"/>
        </w:rPr>
        <w:t xml:space="preserve">. 2004. Vol. 101, No. 1–2. P. 143–151. DOI: </w:t>
      </w:r>
      <w:r w:rsidR="00166559" w:rsidRPr="00166559">
        <w:rPr>
          <w:rFonts w:ascii="Times New Roman" w:hAnsi="Times New Roman" w:cs="Times New Roman"/>
          <w:sz w:val="28"/>
          <w:szCs w:val="28"/>
        </w:rPr>
        <w:t>https://doi.org/10.1016/j.scienta.2003.10.003</w:t>
      </w:r>
      <w:r w:rsidRPr="00CC7883">
        <w:rPr>
          <w:rFonts w:ascii="Times New Roman" w:hAnsi="Times New Roman"/>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Kottapalli J., David-Schwartz R., Khamaisi B., Brandsma D. Sucrose-induced stomatal closure is conserved across evolution.</w:t>
      </w:r>
      <w:r w:rsidR="00050C5C" w:rsidRPr="00CC7883">
        <w:rPr>
          <w:rFonts w:ascii="Times New Roman" w:hAnsi="Times New Roman"/>
          <w:color w:val="000000" w:themeColor="text1"/>
          <w:sz w:val="28"/>
          <w:szCs w:val="28"/>
        </w:rPr>
        <w:t xml:space="preserve"> </w:t>
      </w:r>
      <w:r w:rsidR="00FB6C54" w:rsidRPr="00CC7883">
        <w:rPr>
          <w:rFonts w:ascii="Times New Roman" w:hAnsi="Times New Roman"/>
          <w:i/>
          <w:color w:val="000000" w:themeColor="text1"/>
          <w:sz w:val="28"/>
          <w:szCs w:val="28"/>
        </w:rPr>
        <w:t>PLoS One</w:t>
      </w:r>
      <w:r w:rsidRPr="00CC7883">
        <w:rPr>
          <w:rFonts w:ascii="Times New Roman" w:hAnsi="Times New Roman"/>
          <w:color w:val="000000" w:themeColor="text1"/>
          <w:sz w:val="28"/>
          <w:szCs w:val="28"/>
        </w:rPr>
        <w:t>. 2018. Vol. 13, No. 10. e0205359. DOI: https://doi.org/10.1371/journal.pone.0205359.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Kozai T., Kubota C., Heo J., Chun C., Ohyama K., Niu G., Mikami H. Towards efficient vegetative propagation and transplant production of sweetpotato (</w:t>
      </w:r>
      <w:r w:rsidRPr="00CC7883">
        <w:rPr>
          <w:rFonts w:ascii="Times New Roman" w:hAnsi="Times New Roman"/>
          <w:i/>
          <w:color w:val="000000" w:themeColor="text1"/>
          <w:sz w:val="28"/>
          <w:szCs w:val="28"/>
        </w:rPr>
        <w:t>Ipomoea batatas</w:t>
      </w:r>
      <w:r w:rsidRPr="00CC7883">
        <w:rPr>
          <w:rFonts w:ascii="Times New Roman" w:hAnsi="Times New Roman"/>
          <w:color w:val="000000" w:themeColor="text1"/>
          <w:sz w:val="28"/>
          <w:szCs w:val="28"/>
        </w:rPr>
        <w:t xml:space="preserve"> (L.) Lam.) under artificial light in closed systems. In: Proc. </w:t>
      </w:r>
      <w:r w:rsidRPr="00CC7883">
        <w:rPr>
          <w:rFonts w:ascii="Times New Roman" w:hAnsi="Times New Roman"/>
          <w:i/>
          <w:color w:val="000000" w:themeColor="text1"/>
          <w:sz w:val="28"/>
          <w:szCs w:val="28"/>
        </w:rPr>
        <w:t>International Workshop on Sweetpotato Production System toward the 21st Century</w:t>
      </w:r>
      <w:r w:rsidRPr="00CC7883">
        <w:rPr>
          <w:rFonts w:ascii="Times New Roman" w:hAnsi="Times New Roman"/>
          <w:color w:val="000000" w:themeColor="text1"/>
          <w:sz w:val="28"/>
          <w:szCs w:val="28"/>
        </w:rPr>
        <w:t>. Miyazaki (Japan), 1998. P. 201–214.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Kumar A., Kumar A., Sharma V., Mishra A., Singh S., Kumar P. </w:t>
      </w:r>
      <w:r w:rsidRPr="00CC7883">
        <w:rPr>
          <w:rFonts w:ascii="Times New Roman" w:hAnsi="Times New Roman"/>
          <w:i/>
          <w:color w:val="000000" w:themeColor="text1"/>
          <w:sz w:val="28"/>
          <w:szCs w:val="28"/>
        </w:rPr>
        <w:t>In</w:t>
      </w:r>
      <w:r w:rsidR="00443F9E"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regeneration of Gladiolus (</w:t>
      </w:r>
      <w:r w:rsidRPr="00CC7883">
        <w:rPr>
          <w:rFonts w:ascii="Times New Roman" w:hAnsi="Times New Roman"/>
          <w:i/>
          <w:color w:val="000000" w:themeColor="text1"/>
          <w:sz w:val="28"/>
          <w:szCs w:val="28"/>
        </w:rPr>
        <w:t>Gladiolus hybrida</w:t>
      </w:r>
      <w:r w:rsidRPr="00CC7883">
        <w:rPr>
          <w:rFonts w:ascii="Times New Roman" w:hAnsi="Times New Roman"/>
          <w:color w:val="000000" w:themeColor="text1"/>
          <w:sz w:val="28"/>
          <w:szCs w:val="28"/>
        </w:rPr>
        <w:t xml:space="preserve"> L.): Optimization of growth media and assessment of genetic fidelity.</w:t>
      </w:r>
      <w:r w:rsidR="00050C5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International Journal of Current Microbiology and Applied Sciences</w:t>
      </w:r>
      <w:r w:rsidRPr="00CC7883">
        <w:rPr>
          <w:rFonts w:ascii="Times New Roman" w:hAnsi="Times New Roman"/>
          <w:color w:val="000000" w:themeColor="text1"/>
          <w:sz w:val="28"/>
          <w:szCs w:val="28"/>
        </w:rPr>
        <w:t>. 2018. Vol. 7, No. 10. P. 2900–2909</w:t>
      </w:r>
      <w:r w:rsidRPr="00CC7883">
        <w:rPr>
          <w:rFonts w:ascii="Times New Roman" w:hAnsi="Times New Roman"/>
          <w:i/>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Kumsa F. Review on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regeneration of some selected grapevines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cultivars from shoot and leaf culture. </w:t>
      </w:r>
      <w:r w:rsidRPr="00CC7883">
        <w:rPr>
          <w:rFonts w:ascii="Times New Roman" w:hAnsi="Times New Roman"/>
          <w:i/>
          <w:color w:val="000000" w:themeColor="text1"/>
          <w:sz w:val="28"/>
          <w:szCs w:val="28"/>
        </w:rPr>
        <w:t>Journal of Natural Sciences Research</w:t>
      </w:r>
      <w:r w:rsidRPr="00CC7883">
        <w:rPr>
          <w:rFonts w:ascii="Times New Roman" w:hAnsi="Times New Roman"/>
          <w:color w:val="000000" w:themeColor="text1"/>
          <w:sz w:val="28"/>
          <w:szCs w:val="28"/>
        </w:rPr>
        <w:t>. 2016.</w:t>
      </w:r>
      <w:r w:rsidR="00B4574A"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Vol. 6, No. 23. P. 46–51.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Kypraiou S., Stavrakaki M., Bouza D., Biniari K</w:t>
      </w:r>
      <w:r w:rsidRPr="00CC7883">
        <w:rPr>
          <w:rFonts w:ascii="Times New Roman" w:hAnsi="Times New Roman"/>
          <w:bCs/>
          <w:color w:val="000000" w:themeColor="text1"/>
          <w:sz w:val="28"/>
          <w:szCs w:val="28"/>
        </w:rPr>
        <w:t>.</w:t>
      </w:r>
      <w:r w:rsidR="0087180C" w:rsidRPr="00CC7883">
        <w:rPr>
          <w:rFonts w:ascii="Times New Roman" w:hAnsi="Times New Roman"/>
          <w:bCs/>
          <w:color w:val="000000" w:themeColor="text1"/>
          <w:sz w:val="28"/>
          <w:szCs w:val="28"/>
        </w:rPr>
        <w:t xml:space="preserve"> </w:t>
      </w:r>
      <w:r w:rsidRPr="00CC7883">
        <w:rPr>
          <w:rFonts w:ascii="Times New Roman" w:hAnsi="Times New Roman"/>
          <w:iCs/>
          <w:color w:val="000000" w:themeColor="text1"/>
          <w:sz w:val="28"/>
          <w:szCs w:val="28"/>
        </w:rPr>
        <w:t>Effect of various culture media on</w:t>
      </w:r>
      <w:r w:rsidRPr="00CC7883">
        <w:rPr>
          <w:rFonts w:ascii="Times New Roman" w:hAnsi="Times New Roman"/>
          <w:i/>
          <w:iCs/>
          <w:color w:val="000000" w:themeColor="text1"/>
          <w:sz w:val="28"/>
          <w:szCs w:val="28"/>
        </w:rPr>
        <w:t xml:space="preserve">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i/>
          <w:iCs/>
          <w:color w:val="000000" w:themeColor="text1"/>
          <w:sz w:val="28"/>
          <w:szCs w:val="28"/>
        </w:rPr>
        <w:t xml:space="preserve"> </w:t>
      </w:r>
      <w:r w:rsidRPr="00CC7883">
        <w:rPr>
          <w:rFonts w:ascii="Times New Roman" w:hAnsi="Times New Roman"/>
          <w:iCs/>
          <w:color w:val="000000" w:themeColor="text1"/>
          <w:sz w:val="28"/>
          <w:szCs w:val="28"/>
        </w:rPr>
        <w:t>propagation of grapevine cultivars ‘Giouroukiko’ and ‘Serifiotiko’</w:t>
      </w:r>
      <w:r w:rsidR="007A71AE">
        <w:rPr>
          <w:rFonts w:ascii="Times New Roman" w:hAnsi="Times New Roman"/>
          <w:iCs/>
          <w:color w:val="000000" w:themeColor="text1"/>
          <w:sz w:val="28"/>
          <w:szCs w:val="28"/>
          <w:lang w:val="en-US"/>
        </w:rPr>
        <w:t xml:space="preserve"> </w:t>
      </w:r>
      <w:r w:rsidRPr="00CC7883">
        <w:rPr>
          <w:rFonts w:ascii="Times New Roman" w:hAnsi="Times New Roman"/>
          <w:color w:val="000000" w:themeColor="text1"/>
          <w:sz w:val="28"/>
          <w:szCs w:val="28"/>
        </w:rPr>
        <w:t xml:space="preserve">– Agric. </w:t>
      </w:r>
      <w:r w:rsidRPr="00CC7883">
        <w:rPr>
          <w:rFonts w:ascii="Times New Roman" w:hAnsi="Times New Roman"/>
          <w:i/>
          <w:color w:val="000000" w:themeColor="text1"/>
          <w:sz w:val="28"/>
          <w:szCs w:val="28"/>
        </w:rPr>
        <w:t>Acta Horticulturae</w:t>
      </w:r>
      <w:r w:rsidRPr="00CC7883">
        <w:rPr>
          <w:rFonts w:ascii="Times New Roman" w:hAnsi="Times New Roman"/>
          <w:color w:val="000000" w:themeColor="text1"/>
          <w:sz w:val="28"/>
          <w:szCs w:val="28"/>
        </w:rPr>
        <w:t>. 2019. No. 1242. P. 561–566. DOI: 10.17660/ActaHortic.2019.1242.82</w:t>
      </w:r>
      <w:r w:rsidR="00FF36D8">
        <w:rPr>
          <w:rFonts w:ascii="Times New Roman" w:hAnsi="Times New Roman"/>
          <w:color w:val="000000" w:themeColor="text1"/>
          <w:sz w:val="28"/>
          <w:szCs w:val="28"/>
          <w:lang w:val="ru-RU"/>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Laforge F., Lussier C., Desjardins Y., Gosselin A. Effect of light intensity and CO</w:t>
      </w:r>
      <w:r w:rsidRPr="00CC7883">
        <w:rPr>
          <w:rFonts w:ascii="Times New Roman" w:hAnsi="Times New Roman"/>
          <w:color w:val="000000" w:themeColor="text1"/>
          <w:sz w:val="28"/>
          <w:szCs w:val="28"/>
          <w:vertAlign w:val="subscript"/>
        </w:rPr>
        <w:t>2</w:t>
      </w:r>
      <w:r w:rsidRPr="00CC7883">
        <w:rPr>
          <w:rFonts w:ascii="Times New Roman" w:hAnsi="Times New Roman"/>
          <w:color w:val="000000" w:themeColor="text1"/>
          <w:sz w:val="28"/>
          <w:szCs w:val="28"/>
        </w:rPr>
        <w:t xml:space="preserve"> enrichment during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on subsequent growth of plantlets of </w:t>
      </w:r>
      <w:r w:rsidRPr="00CC7883">
        <w:rPr>
          <w:rFonts w:ascii="Times New Roman" w:hAnsi="Times New Roman"/>
          <w:color w:val="000000" w:themeColor="text1"/>
          <w:sz w:val="28"/>
          <w:szCs w:val="28"/>
        </w:rPr>
        <w:lastRenderedPageBreak/>
        <w:t>strawberry, raspberry and asparagus in acclimatization.</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Scientia Horticulturae</w:t>
      </w:r>
      <w:r w:rsidRPr="00CC7883">
        <w:rPr>
          <w:rFonts w:ascii="Times New Roman" w:hAnsi="Times New Roman"/>
          <w:color w:val="000000" w:themeColor="text1"/>
          <w:sz w:val="28"/>
          <w:szCs w:val="28"/>
        </w:rPr>
        <w:t>. 1991. Vol. 47, No. 3–4. P. 259–269.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Lakho M. A., Jatoi M. A., Solangi N., et al. Optimizing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nutrient and </w:t>
      </w:r>
      <w:r w:rsidRPr="00CC7883">
        <w:rPr>
          <w:rFonts w:ascii="Times New Roman" w:hAnsi="Times New Roman"/>
          <w:i/>
          <w:color w:val="000000" w:themeColor="text1"/>
          <w:sz w:val="28"/>
          <w:szCs w:val="28"/>
        </w:rPr>
        <w:t>ex</w:t>
      </w:r>
      <w:r w:rsidR="00745AD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soil mediums-driven responses for multiplication, rooting, and acclimatization of pineapple.</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Scientific Reports</w:t>
      </w:r>
      <w:r w:rsidRPr="00CC7883">
        <w:rPr>
          <w:rFonts w:ascii="Times New Roman" w:hAnsi="Times New Roman"/>
          <w:color w:val="000000" w:themeColor="text1"/>
          <w:sz w:val="28"/>
          <w:szCs w:val="28"/>
        </w:rPr>
        <w:t>. 2023. Vol. 13. DOI: https://doi.org/10.1038/s41598-023-28359-9.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Lam E., Acosta K. Cefotaxime: A useful antibiotic for duckweed culture management.</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ISCDRA</w:t>
      </w:r>
      <w:r w:rsidRPr="00CC7883">
        <w:rPr>
          <w:rFonts w:ascii="Times New Roman" w:hAnsi="Times New Roman"/>
          <w:color w:val="000000" w:themeColor="text1"/>
          <w:sz w:val="28"/>
          <w:szCs w:val="28"/>
        </w:rPr>
        <w:t>. 2023. Vol. 7,</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2. P. 53–73.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Lazo-Javalera M. F., Troncoso-Rojas R., Tiznado-Hernández M. E., Martínez-Tellez M. A., Vargas-Arispuro I., Islas-Osuna M. A., Rivera-Domínguez M. Surface disinfection procedure and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regeneration of grapevine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axillary buds.</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Springer</w:t>
      </w:r>
      <w:r w:rsidR="00B4574A"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Plus</w:t>
      </w:r>
      <w:r w:rsidRPr="00CC7883">
        <w:rPr>
          <w:rFonts w:ascii="Times New Roman" w:hAnsi="Times New Roman"/>
          <w:color w:val="000000" w:themeColor="text1"/>
          <w:sz w:val="28"/>
          <w:szCs w:val="28"/>
        </w:rPr>
        <w:t>. 2016. Vol. 5. DOI: https://doi.org/10.1186/s40064-016-2081-0.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Leckie C. P., McAinsh M. R., Allen G. J., Sanders D., Hetherington A. M. Abscisic acid-induced stomatal closure mediated by cyclic ADP-ribose.</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Proceedings of the National Academy of Sciences of the United States of America</w:t>
      </w:r>
      <w:r w:rsidRPr="00CC7883">
        <w:rPr>
          <w:rFonts w:ascii="Times New Roman" w:hAnsi="Times New Roman"/>
          <w:color w:val="000000" w:themeColor="text1"/>
          <w:sz w:val="28"/>
          <w:szCs w:val="28"/>
        </w:rPr>
        <w:t>. 1998. Vol. 95. P. 15837–15842.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Lee S., Tewari R. K., Hahn E., Paek K. Photon flux density and light quality induce changes in growth, stomatal development, photosynthesis and transpiration of </w:t>
      </w:r>
      <w:r w:rsidRPr="00CC7883">
        <w:rPr>
          <w:rFonts w:ascii="Times New Roman" w:hAnsi="Times New Roman"/>
          <w:i/>
          <w:color w:val="000000" w:themeColor="text1"/>
          <w:sz w:val="28"/>
          <w:szCs w:val="28"/>
        </w:rPr>
        <w:t>Withania somnifera</w:t>
      </w:r>
      <w:r w:rsidRPr="00CC7883">
        <w:rPr>
          <w:rFonts w:ascii="Times New Roman" w:hAnsi="Times New Roman"/>
          <w:color w:val="000000" w:themeColor="text1"/>
          <w:sz w:val="28"/>
          <w:szCs w:val="28"/>
        </w:rPr>
        <w:t xml:space="preserve"> (L.) Dunal plantlets.</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Cell, Tissue and Organ Culture</w:t>
      </w:r>
      <w:r w:rsidRPr="00CC7883">
        <w:rPr>
          <w:rFonts w:ascii="Times New Roman" w:hAnsi="Times New Roman"/>
          <w:color w:val="000000" w:themeColor="text1"/>
          <w:sz w:val="28"/>
          <w:szCs w:val="28"/>
        </w:rPr>
        <w:t>. 2007. Vol. 90. P. 141–151.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Leite G. B., Finardi N. L., Fortes G. R. L. Use of vermiculite as a substrate and effect of light on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of pears cv. Bartlett and clone OH × F97.</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Ciência e Agrotecnologia</w:t>
      </w:r>
      <w:r w:rsidRPr="00CC7883">
        <w:rPr>
          <w:rFonts w:ascii="Times New Roman" w:hAnsi="Times New Roman"/>
          <w:color w:val="000000" w:themeColor="text1"/>
          <w:sz w:val="28"/>
          <w:szCs w:val="28"/>
        </w:rPr>
        <w:t>. 2002. Vol. 26, No. 5. P. 977–982.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Leite M. S., Furtado-Pinto T. E., Rabelo-Centofante A., Rubio-Neto A., Guimaraes-Silva F., Goncalves-Selari P. J. R., Martins P. F. Acclimatization of </w:t>
      </w:r>
      <w:r w:rsidRPr="00CC7883">
        <w:rPr>
          <w:rFonts w:ascii="Times New Roman" w:hAnsi="Times New Roman"/>
          <w:i/>
          <w:color w:val="000000" w:themeColor="text1"/>
          <w:sz w:val="28"/>
          <w:szCs w:val="28"/>
        </w:rPr>
        <w:t>Pouteria gardeneriana</w:t>
      </w:r>
      <w:r w:rsidRPr="00CC7883">
        <w:rPr>
          <w:rFonts w:ascii="Times New Roman" w:hAnsi="Times New Roman"/>
          <w:color w:val="000000" w:themeColor="text1"/>
          <w:sz w:val="28"/>
          <w:szCs w:val="28"/>
        </w:rPr>
        <w:t xml:space="preserve"> Radlk micropropagated plantlets: role of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and plant growth–promoting bacteria.</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Current Plant Biology</w:t>
      </w:r>
      <w:r w:rsidRPr="00CC7883">
        <w:rPr>
          <w:rFonts w:ascii="Times New Roman" w:hAnsi="Times New Roman"/>
          <w:color w:val="000000" w:themeColor="text1"/>
          <w:sz w:val="28"/>
          <w:szCs w:val="28"/>
        </w:rPr>
        <w:t>. 2021. Vol. 27.</w:t>
      </w:r>
      <w:r w:rsidR="00B22FCB">
        <w:rPr>
          <w:rFonts w:ascii="Times New Roman" w:hAnsi="Times New Roman"/>
          <w:color w:val="000000" w:themeColor="text1"/>
          <w:sz w:val="28"/>
          <w:szCs w:val="28"/>
          <w:lang w:val="en-US"/>
        </w:rPr>
        <w:t xml:space="preserve"> DOI: </w:t>
      </w:r>
      <w:r w:rsidR="00B22FCB" w:rsidRPr="00B22FCB">
        <w:rPr>
          <w:rFonts w:ascii="Times New Roman" w:hAnsi="Times New Roman"/>
          <w:color w:val="000000" w:themeColor="text1"/>
          <w:sz w:val="28"/>
          <w:szCs w:val="28"/>
          <w:lang w:val="en-US"/>
        </w:rPr>
        <w:t>10.1016/j.cpb.2021.100209</w:t>
      </w:r>
      <w:r w:rsidR="00B22FCB">
        <w:rPr>
          <w:rFonts w:ascii="Times New Roman" w:hAnsi="Times New Roman"/>
          <w:color w:val="000000" w:themeColor="text1"/>
          <w:sz w:val="28"/>
          <w:szCs w:val="28"/>
          <w:lang w:val="ru-RU"/>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Lencina K., Avinio R. S., Fauerharmel M., Pimentel N. Introduction of nodal </w:t>
      </w:r>
      <w:r w:rsidRPr="00CC7883">
        <w:rPr>
          <w:rFonts w:ascii="Times New Roman" w:hAnsi="Times New Roman"/>
          <w:color w:val="000000" w:themeColor="text1"/>
          <w:sz w:val="28"/>
          <w:szCs w:val="28"/>
        </w:rPr>
        <w:lastRenderedPageBreak/>
        <w:t xml:space="preserve">segments and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of </w:t>
      </w:r>
      <w:r w:rsidRPr="00CC7883">
        <w:rPr>
          <w:rFonts w:ascii="Times New Roman" w:hAnsi="Times New Roman"/>
          <w:i/>
          <w:color w:val="000000" w:themeColor="text1"/>
          <w:sz w:val="28"/>
          <w:szCs w:val="28"/>
        </w:rPr>
        <w:t>Apuleia leiocarpa</w:t>
      </w:r>
      <w:r w:rsidRPr="00CC7883">
        <w:rPr>
          <w:rFonts w:ascii="Times New Roman" w:hAnsi="Times New Roman"/>
          <w:color w:val="000000" w:themeColor="text1"/>
          <w:sz w:val="28"/>
          <w:szCs w:val="28"/>
        </w:rPr>
        <w:t>.</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Ciência Florestal</w:t>
      </w:r>
      <w:r w:rsidRPr="00CC7883">
        <w:rPr>
          <w:rFonts w:ascii="Times New Roman" w:hAnsi="Times New Roman"/>
          <w:color w:val="000000" w:themeColor="text1"/>
          <w:sz w:val="28"/>
          <w:szCs w:val="28"/>
        </w:rPr>
        <w:t>. 2020. Vol. 30,</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4. P. 1290–1298. DOI: https://doi.org/10.5902/1980509843376.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Li S., Zhou L., Wu S., Liu L., Huang M., Lin S., Ding G. Effects of LED light on </w:t>
      </w:r>
      <w:r w:rsidRPr="00CC7883">
        <w:rPr>
          <w:rFonts w:ascii="Times New Roman" w:hAnsi="Times New Roman"/>
          <w:i/>
          <w:color w:val="000000" w:themeColor="text1"/>
          <w:sz w:val="28"/>
          <w:szCs w:val="28"/>
        </w:rPr>
        <w:t>Acacia melanoxylon</w:t>
      </w:r>
      <w:r w:rsidRPr="00CC7883">
        <w:rPr>
          <w:rFonts w:ascii="Times New Roman" w:hAnsi="Times New Roman"/>
          <w:color w:val="000000" w:themeColor="text1"/>
          <w:sz w:val="28"/>
          <w:szCs w:val="28"/>
        </w:rPr>
        <w:t xml:space="preserve"> bud proliferation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and root growth </w:t>
      </w:r>
      <w:r w:rsidR="00443F9E" w:rsidRPr="00CC7883">
        <w:rPr>
          <w:rFonts w:ascii="Times New Roman" w:hAnsi="Times New Roman"/>
          <w:i/>
          <w:color w:val="000000" w:themeColor="text1"/>
          <w:sz w:val="28"/>
          <w:szCs w:val="28"/>
        </w:rPr>
        <w:t>ex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Open Life Sciences</w:t>
      </w:r>
      <w:r w:rsidRPr="00CC7883">
        <w:rPr>
          <w:rFonts w:ascii="Times New Roman" w:hAnsi="Times New Roman"/>
          <w:color w:val="000000" w:themeColor="text1"/>
          <w:sz w:val="28"/>
          <w:szCs w:val="28"/>
        </w:rPr>
        <w:t>. 2019. Vol. 14, No. 1. P. 349–357. DOI: https://doi.org/10.1515/biol-2019-0039.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Li Y., Xu S., Wang Z., He L., Xu K., Wang G. Glucose triggers stomatal closure mediated by basal signaling through HXK1 and PYR/RCAR receptors in Arabidopsis.</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Experimental Botany</w:t>
      </w:r>
      <w:r w:rsidRPr="00CC7883">
        <w:rPr>
          <w:rFonts w:ascii="Times New Roman" w:hAnsi="Times New Roman"/>
          <w:color w:val="000000" w:themeColor="text1"/>
          <w:sz w:val="28"/>
          <w:szCs w:val="28"/>
        </w:rPr>
        <w:t>. 2018. Vol. 69, No. 7. P. 1471–1484. DOI: https://doi.org/10.1093/jxb/ery024.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Liang C., Wu R., Han Y., Wan T., Cai Y. Optimizing suitable antibiotics for bacterium control in micropropagation of cherry rootstock using a modified leaf disk diffusion method and E test.</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Plants</w:t>
      </w:r>
      <w:r w:rsidRPr="00CC7883">
        <w:rPr>
          <w:rFonts w:ascii="Times New Roman" w:hAnsi="Times New Roman"/>
          <w:color w:val="000000" w:themeColor="text1"/>
          <w:sz w:val="28"/>
          <w:szCs w:val="28"/>
        </w:rPr>
        <w:t>. 2019. Vol. 8,</w:t>
      </w:r>
      <w:r w:rsidR="00B4574A"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 xml:space="preserve">No. 3. DOI: </w:t>
      </w:r>
      <w:r w:rsidR="00166559" w:rsidRPr="00166559">
        <w:rPr>
          <w:rFonts w:ascii="Times New Roman" w:hAnsi="Times New Roman" w:cs="Times New Roman"/>
          <w:sz w:val="28"/>
          <w:szCs w:val="28"/>
        </w:rPr>
        <w:t>https://doi.org/10.3390/plants8030066</w:t>
      </w:r>
      <w:r w:rsidRPr="00CC7883">
        <w:rPr>
          <w:rFonts w:ascii="Times New Roman" w:hAnsi="Times New Roman"/>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Linsmaier E. M. &amp; Skoog F. Organic growth factor requirements of tobacco tissue cultures. </w:t>
      </w:r>
      <w:r w:rsidRPr="00CC7883">
        <w:rPr>
          <w:rFonts w:ascii="Times New Roman" w:hAnsi="Times New Roman"/>
          <w:i/>
          <w:color w:val="000000" w:themeColor="text1"/>
          <w:sz w:val="28"/>
          <w:szCs w:val="28"/>
        </w:rPr>
        <w:t>Physiologia Plantarum</w:t>
      </w:r>
      <w:r w:rsidRPr="00CC7883">
        <w:rPr>
          <w:rFonts w:ascii="Times New Roman" w:hAnsi="Times New Roman"/>
          <w:color w:val="000000" w:themeColor="text1"/>
          <w:sz w:val="28"/>
          <w:szCs w:val="28"/>
        </w:rPr>
        <w:t>. 1965.</w:t>
      </w:r>
      <w:r w:rsidR="0087180C"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Vol. 18, No. 1, P. 100–127. DOI: 10.1111/j.1399-3054.1965.tb06874.x.</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Liu M., Zhao Y., Fan P., Kong J., Wang Y., Xu X., Xu M., Wang L., Li S., Liang Z., Duan W., Dai Z. Grapevine plantlets respond to different monochromatic lights by tuning photosynthesis and carbon allocation.</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Horticulture Research</w:t>
      </w:r>
      <w:r w:rsidRPr="00CC7883">
        <w:rPr>
          <w:rFonts w:ascii="Times New Roman" w:hAnsi="Times New Roman"/>
          <w:color w:val="000000" w:themeColor="text1"/>
          <w:sz w:val="28"/>
          <w:szCs w:val="28"/>
        </w:rPr>
        <w:t>. 2023. Vol. 10. DOI: https://doi.org/10.1093/hr/uhad160.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Liu-Gitz L., Britz S. J., Wergin W. P. Blue light inhibits stomatal development in soybean isolines containing kaempferol-3-O-2G-glycosyl-gentiobioside (K9), a unique flavonoid glycoside.</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Cell &amp; Environment</w:t>
      </w:r>
      <w:r w:rsidRPr="00CC7883">
        <w:rPr>
          <w:rFonts w:ascii="Times New Roman" w:hAnsi="Times New Roman"/>
          <w:color w:val="000000" w:themeColor="text1"/>
          <w:sz w:val="28"/>
          <w:szCs w:val="28"/>
        </w:rPr>
        <w:t>. 2001. Vol. 24, No. 4. P. 469–478. DOI: https://doi.org/10.1046/j.1365-3040.2000.00608.x.</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Lloyd G., McCown B. Commercially-feasible micropropagation of mountain laurel (</w:t>
      </w:r>
      <w:r w:rsidRPr="00CC7883">
        <w:rPr>
          <w:rFonts w:ascii="Times New Roman" w:hAnsi="Times New Roman"/>
          <w:i/>
          <w:color w:val="000000" w:themeColor="text1"/>
          <w:sz w:val="28"/>
          <w:szCs w:val="28"/>
        </w:rPr>
        <w:t>Kalmia latifolia</w:t>
      </w:r>
      <w:r w:rsidRPr="00CC7883">
        <w:rPr>
          <w:rFonts w:ascii="Times New Roman" w:hAnsi="Times New Roman"/>
          <w:color w:val="000000" w:themeColor="text1"/>
          <w:sz w:val="28"/>
          <w:szCs w:val="28"/>
        </w:rPr>
        <w:t>) by use of shoot tip culture.</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International Plant Propagators' Society, Combined Proceedings</w:t>
      </w:r>
      <w:r w:rsidRPr="00CC7883">
        <w:rPr>
          <w:rFonts w:ascii="Times New Roman" w:hAnsi="Times New Roman"/>
          <w:color w:val="000000" w:themeColor="text1"/>
          <w:sz w:val="28"/>
          <w:szCs w:val="28"/>
        </w:rPr>
        <w:t>. 1980. Vol. 30. P. 421–427.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Mahalakshmi R., Eganathan P., Parida A. </w:t>
      </w:r>
      <w:r w:rsidRPr="00CC7883">
        <w:rPr>
          <w:rFonts w:ascii="Times New Roman" w:hAnsi="Times New Roman"/>
          <w:i/>
          <w:color w:val="000000" w:themeColor="text1"/>
          <w:sz w:val="28"/>
          <w:szCs w:val="28"/>
        </w:rPr>
        <w:t>In</w:t>
      </w:r>
      <w:r w:rsidR="00443F9E"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regeneration from different </w:t>
      </w:r>
      <w:r w:rsidRPr="00CC7883">
        <w:rPr>
          <w:rFonts w:ascii="Times New Roman" w:hAnsi="Times New Roman"/>
          <w:color w:val="000000" w:themeColor="text1"/>
          <w:sz w:val="28"/>
          <w:szCs w:val="28"/>
        </w:rPr>
        <w:lastRenderedPageBreak/>
        <w:t>ages of petioles of physic nut (</w:t>
      </w:r>
      <w:r w:rsidRPr="00CC7883">
        <w:rPr>
          <w:rFonts w:ascii="Times New Roman" w:hAnsi="Times New Roman"/>
          <w:i/>
          <w:color w:val="000000" w:themeColor="text1"/>
          <w:sz w:val="28"/>
          <w:szCs w:val="28"/>
        </w:rPr>
        <w:t>Jatropha curcas</w:t>
      </w:r>
      <w:r w:rsidRPr="00CC7883">
        <w:rPr>
          <w:rFonts w:ascii="Times New Roman" w:hAnsi="Times New Roman"/>
          <w:color w:val="000000" w:themeColor="text1"/>
          <w:sz w:val="28"/>
          <w:szCs w:val="28"/>
        </w:rPr>
        <w:t xml:space="preserve"> L.).</w:t>
      </w:r>
      <w:r w:rsidR="00FF36D8" w:rsidRPr="00F62136">
        <w:rPr>
          <w:rFonts w:ascii="Times New Roman" w:hAnsi="Times New Roman"/>
          <w:color w:val="000000" w:themeColor="text1"/>
          <w:sz w:val="28"/>
          <w:szCs w:val="28"/>
          <w:lang w:val="en-US"/>
        </w:rPr>
        <w:t xml:space="preserve"> </w:t>
      </w:r>
      <w:r w:rsidRPr="00CC7883">
        <w:rPr>
          <w:rFonts w:ascii="Times New Roman" w:hAnsi="Times New Roman"/>
          <w:i/>
          <w:color w:val="000000" w:themeColor="text1"/>
          <w:sz w:val="28"/>
          <w:szCs w:val="28"/>
        </w:rPr>
        <w:t>African Journal of Biotechnology</w:t>
      </w:r>
      <w:r w:rsidRPr="00CC7883">
        <w:rPr>
          <w:rFonts w:ascii="Times New Roman" w:hAnsi="Times New Roman"/>
          <w:color w:val="000000" w:themeColor="text1"/>
          <w:sz w:val="28"/>
          <w:szCs w:val="28"/>
        </w:rPr>
        <w:t>. 2014. Vol. 13, No. 2. P. 265–273. DOI: https://doi.org/10.5897/AJB2013.12995.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Mani M., Shekhawat M. S. Foliar micromorphology of </w:t>
      </w:r>
      <w:r w:rsidR="00443F9E" w:rsidRPr="00CC7883">
        <w:rPr>
          <w:rFonts w:ascii="Times New Roman" w:hAnsi="Times New Roman" w:cs="Times New Roman"/>
          <w:i/>
          <w:iCs/>
          <w:color w:val="000000" w:themeColor="text1"/>
          <w:sz w:val="28"/>
          <w:szCs w:val="28"/>
        </w:rPr>
        <w:t>in vitro</w:t>
      </w:r>
      <w:r w:rsidR="00443F9E" w:rsidRPr="00CC7883">
        <w:rPr>
          <w:rFonts w:ascii="Times New Roman" w:hAnsi="Times New Roman"/>
          <w:color w:val="000000" w:themeColor="text1"/>
          <w:sz w:val="28"/>
          <w:szCs w:val="28"/>
        </w:rPr>
        <w:t xml:space="preserve"> – </w:t>
      </w:r>
      <w:r w:rsidRPr="00CC7883">
        <w:rPr>
          <w:rFonts w:ascii="Times New Roman" w:hAnsi="Times New Roman"/>
          <w:color w:val="000000" w:themeColor="text1"/>
          <w:sz w:val="28"/>
          <w:szCs w:val="28"/>
        </w:rPr>
        <w:t xml:space="preserve">cultured shoots and field-grown plants of </w:t>
      </w:r>
      <w:r w:rsidRPr="00CC7883">
        <w:rPr>
          <w:rFonts w:ascii="Times New Roman" w:hAnsi="Times New Roman"/>
          <w:i/>
          <w:color w:val="000000" w:themeColor="text1"/>
          <w:sz w:val="28"/>
          <w:szCs w:val="28"/>
        </w:rPr>
        <w:t>Passiflora foetida</w:t>
      </w:r>
      <w:r w:rsidRPr="00CC7883">
        <w:rPr>
          <w:rFonts w:ascii="Times New Roman" w:hAnsi="Times New Roman"/>
          <w:color w:val="000000" w:themeColor="text1"/>
          <w:sz w:val="28"/>
          <w:szCs w:val="28"/>
        </w:rPr>
        <w:t>.</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Horticultural Plant Journal</w:t>
      </w:r>
      <w:r w:rsidRPr="00CC7883">
        <w:rPr>
          <w:rFonts w:ascii="Times New Roman" w:hAnsi="Times New Roman"/>
          <w:color w:val="000000" w:themeColor="text1"/>
          <w:sz w:val="28"/>
          <w:szCs w:val="28"/>
        </w:rPr>
        <w:t>. 2017. Vol. 3, No. 1. P. 34–40. DOI: https://doi.org/10.1016/j.hpj.2017.01.009.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Manushkina T. M., Kovalenko O. A., Khomut V. P., Kolomiiets N. P. Clonal micropropagation of </w:t>
      </w:r>
      <w:r w:rsidRPr="00CC7883">
        <w:rPr>
          <w:rFonts w:ascii="Times New Roman" w:hAnsi="Times New Roman"/>
          <w:i/>
          <w:color w:val="000000" w:themeColor="text1"/>
          <w:sz w:val="28"/>
          <w:szCs w:val="28"/>
        </w:rPr>
        <w:t>Paulownia</w:t>
      </w:r>
      <w:r w:rsidR="00443F9E" w:rsidRPr="00CC7883">
        <w:rPr>
          <w:rFonts w:ascii="Times New Roman" w:hAnsi="Times New Roman" w:cs="Times New Roman"/>
          <w:i/>
          <w:iCs/>
          <w:color w:val="000000" w:themeColor="text1"/>
          <w:sz w:val="28"/>
          <w:szCs w:val="28"/>
        </w:rPr>
        <w:t xml:space="preserve"> in vitro</w:t>
      </w:r>
      <w:r w:rsidRPr="00CC7883">
        <w:rPr>
          <w:rFonts w:ascii="Times New Roman" w:hAnsi="Times New Roman"/>
          <w:color w:val="000000" w:themeColor="text1"/>
          <w:sz w:val="28"/>
          <w:szCs w:val="28"/>
        </w:rPr>
        <w:t>.</w:t>
      </w:r>
      <w:r w:rsidR="00443F9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Аграрні</w:t>
      </w:r>
      <w:r w:rsidR="00443F9E"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інновації</w:t>
      </w:r>
      <w:r w:rsidRPr="00CC7883">
        <w:rPr>
          <w:rFonts w:ascii="Times New Roman" w:hAnsi="Times New Roman"/>
          <w:color w:val="000000" w:themeColor="text1"/>
          <w:sz w:val="28"/>
          <w:szCs w:val="28"/>
        </w:rPr>
        <w:t>. 2023. Вип. 17. С. 173–177. DOI: https://doi.org/10.32848/agrar.innov.2023.17.24.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Marino L. A., Ruffa P., Mozzanini E. </w:t>
      </w:r>
      <w:r w:rsidR="00FD664E" w:rsidRPr="00CC7883">
        <w:rPr>
          <w:rFonts w:ascii="Times New Roman" w:hAnsi="Times New Roman"/>
          <w:color w:val="000000" w:themeColor="text1"/>
          <w:sz w:val="28"/>
          <w:szCs w:val="28"/>
        </w:rPr>
        <w:t>et al</w:t>
      </w:r>
      <w:r w:rsidRPr="00CC7883">
        <w:rPr>
          <w:rFonts w:ascii="Times New Roman" w:hAnsi="Times New Roman"/>
          <w:color w:val="000000" w:themeColor="text1"/>
          <w:sz w:val="28"/>
          <w:szCs w:val="28"/>
        </w:rPr>
        <w:t xml:space="preserve">. LEDs in plant tissue culture: boosting micropropagation of </w:t>
      </w:r>
      <w:r w:rsidRPr="00CC7883">
        <w:rPr>
          <w:rFonts w:ascii="Times New Roman" w:hAnsi="Times New Roman"/>
          <w:i/>
          <w:color w:val="000000" w:themeColor="text1"/>
          <w:sz w:val="28"/>
          <w:szCs w:val="28"/>
        </w:rPr>
        <w:t>Castanea sativa</w:t>
      </w:r>
      <w:r w:rsidRPr="00CC7883">
        <w:rPr>
          <w:rFonts w:ascii="Times New Roman" w:hAnsi="Times New Roman"/>
          <w:color w:val="000000" w:themeColor="text1"/>
          <w:sz w:val="28"/>
          <w:szCs w:val="28"/>
        </w:rPr>
        <w:t xml:space="preserve"> cultivars.</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Plant Growth Regulation</w:t>
      </w:r>
      <w:r w:rsidRPr="00CC7883">
        <w:rPr>
          <w:rFonts w:ascii="Times New Roman" w:hAnsi="Times New Roman"/>
          <w:color w:val="000000" w:themeColor="text1"/>
          <w:sz w:val="28"/>
          <w:szCs w:val="28"/>
        </w:rPr>
        <w:t>. 2025. DOI: https://doi.org/10.1007/s00344-025-11812-6.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Marín-Martínez L. A., Iglesias-Andreu L. G. Effect of LED lights on the </w:t>
      </w:r>
      <w:r w:rsidR="00443F9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growth of </w:t>
      </w:r>
      <w:r w:rsidRPr="00CC7883">
        <w:rPr>
          <w:rFonts w:ascii="Times New Roman" w:hAnsi="Times New Roman"/>
          <w:i/>
          <w:color w:val="000000" w:themeColor="text1"/>
          <w:sz w:val="28"/>
          <w:szCs w:val="28"/>
        </w:rPr>
        <w:t>Pinus pseudostrobus</w:t>
      </w:r>
      <w:r w:rsidRPr="00CC7883">
        <w:rPr>
          <w:rFonts w:ascii="Times New Roman" w:hAnsi="Times New Roman"/>
          <w:color w:val="000000" w:themeColor="text1"/>
          <w:sz w:val="28"/>
          <w:szCs w:val="28"/>
        </w:rPr>
        <w:t xml:space="preserve"> Lindl. plants.</w:t>
      </w:r>
      <w:r w:rsidR="00443F9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Forest Science</w:t>
      </w:r>
      <w:r w:rsidRPr="00CC7883">
        <w:rPr>
          <w:rFonts w:ascii="Times New Roman" w:hAnsi="Times New Roman"/>
          <w:color w:val="000000" w:themeColor="text1"/>
          <w:sz w:val="28"/>
          <w:szCs w:val="28"/>
        </w:rPr>
        <w:t>. 2022. Vol. 68, No. 8. P. 311–317. DOI: https://doi.org/10.17221/43/2022-JFS.</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Martínez-Santos E., Cruz-Cruz C. A., Spinoso-Castillo J. L., Bello-Bello J. J. </w:t>
      </w:r>
      <w:r w:rsidRPr="00CC7883">
        <w:rPr>
          <w:rFonts w:ascii="Times New Roman" w:hAnsi="Times New Roman"/>
          <w:i/>
          <w:color w:val="000000" w:themeColor="text1"/>
          <w:sz w:val="28"/>
          <w:szCs w:val="28"/>
        </w:rPr>
        <w:t>In</w:t>
      </w:r>
      <w:r w:rsidR="0046508D"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response of vanilla (</w:t>
      </w:r>
      <w:r w:rsidRPr="00CC7883">
        <w:rPr>
          <w:rFonts w:ascii="Times New Roman" w:hAnsi="Times New Roman"/>
          <w:i/>
          <w:color w:val="000000" w:themeColor="text1"/>
          <w:sz w:val="28"/>
          <w:szCs w:val="28"/>
        </w:rPr>
        <w:t>Vanilla planifolia</w:t>
      </w:r>
      <w:r w:rsidRPr="00CC7883">
        <w:rPr>
          <w:rFonts w:ascii="Times New Roman" w:hAnsi="Times New Roman"/>
          <w:color w:val="000000" w:themeColor="text1"/>
          <w:sz w:val="28"/>
          <w:szCs w:val="28"/>
        </w:rPr>
        <w:t xml:space="preserve"> Jacks. ex Andrews) to PEG-induced osmotic stress.</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Scientific Reports</w:t>
      </w:r>
      <w:r w:rsidRPr="00CC7883">
        <w:rPr>
          <w:rFonts w:ascii="Times New Roman" w:hAnsi="Times New Roman"/>
          <w:color w:val="000000" w:themeColor="text1"/>
          <w:sz w:val="28"/>
          <w:szCs w:val="28"/>
        </w:rPr>
        <w:t>. 2021. Vol. 11. DOI: https://doi.org/10.1038/s41598-021-02207-0.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Martins J. P. R., Pasqual M., Martins A. D., Ribeira S. F. Effects of salts and sucrose concentrations on </w:t>
      </w:r>
      <w:r w:rsidR="0046508D"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propagation of </w:t>
      </w:r>
      <w:r w:rsidRPr="00CC7883">
        <w:rPr>
          <w:rFonts w:ascii="Times New Roman" w:hAnsi="Times New Roman"/>
          <w:i/>
          <w:color w:val="000000" w:themeColor="text1"/>
          <w:sz w:val="28"/>
          <w:szCs w:val="28"/>
        </w:rPr>
        <w:t>Billbergia zebrina</w:t>
      </w:r>
      <w:r w:rsidRPr="00CC7883">
        <w:rPr>
          <w:rFonts w:ascii="Times New Roman" w:hAnsi="Times New Roman"/>
          <w:color w:val="000000" w:themeColor="text1"/>
          <w:sz w:val="28"/>
          <w:szCs w:val="28"/>
        </w:rPr>
        <w:t xml:space="preserve"> (Herbert) Lindley (</w:t>
      </w:r>
      <w:r w:rsidRPr="00CC7883">
        <w:rPr>
          <w:rFonts w:ascii="Times New Roman" w:hAnsi="Times New Roman"/>
          <w:i/>
          <w:color w:val="000000" w:themeColor="text1"/>
          <w:sz w:val="28"/>
          <w:szCs w:val="28"/>
        </w:rPr>
        <w:t>Bromeliaceae</w:t>
      </w:r>
      <w:r w:rsidRPr="00CC7883">
        <w:rPr>
          <w:rFonts w:ascii="Times New Roman" w:hAnsi="Times New Roman"/>
          <w:color w:val="000000" w:themeColor="text1"/>
          <w:sz w:val="28"/>
          <w:szCs w:val="28"/>
        </w:rPr>
        <w:t>).</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Australian Journal of Crop Science</w:t>
      </w:r>
      <w:r w:rsidRPr="00CC7883">
        <w:rPr>
          <w:rFonts w:ascii="Times New Roman" w:hAnsi="Times New Roman"/>
          <w:color w:val="000000" w:themeColor="text1"/>
          <w:sz w:val="28"/>
          <w:szCs w:val="28"/>
        </w:rPr>
        <w:t>. 2015. Vol. 9, No. 1. P. 85–91.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Melyan G., Sahakyan A., Dangyan K., Barsegyan A. </w:t>
      </w:r>
      <w:r w:rsidRPr="00CC7883">
        <w:rPr>
          <w:rFonts w:ascii="Times New Roman" w:hAnsi="Times New Roman"/>
          <w:i/>
          <w:color w:val="000000" w:themeColor="text1"/>
          <w:sz w:val="28"/>
          <w:szCs w:val="28"/>
        </w:rPr>
        <w:t>In</w:t>
      </w:r>
      <w:r w:rsidR="0046508D"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propagation of grapevine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cultivar ‘Charentsi’.</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Biological Journal of Armenia</w:t>
      </w:r>
      <w:r w:rsidRPr="00CC7883">
        <w:rPr>
          <w:rFonts w:ascii="Times New Roman" w:hAnsi="Times New Roman"/>
          <w:color w:val="000000" w:themeColor="text1"/>
          <w:sz w:val="28"/>
          <w:szCs w:val="28"/>
        </w:rPr>
        <w:t>. 2018. Vol. 4. P. 49–51.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Melyan G., Sahakyan A., Harutyunyan A. Micropropagation of grapevine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seedless cultivar ‘Parvana’ through lateral bud development.</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Vitis</w:t>
      </w:r>
      <w:r w:rsidRPr="00CC7883">
        <w:rPr>
          <w:rFonts w:ascii="Times New Roman" w:hAnsi="Times New Roman"/>
          <w:color w:val="000000" w:themeColor="text1"/>
          <w:sz w:val="28"/>
          <w:szCs w:val="28"/>
        </w:rPr>
        <w:t>. 2015. Vol. 54 (Special Issue). P. 253–255.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Mihaljević I., Dugalić K., Tomaš V., Viljevac M., Pranjić A., Čmelik Z., </w:t>
      </w:r>
      <w:r w:rsidRPr="00CC7883">
        <w:rPr>
          <w:rFonts w:ascii="Times New Roman" w:hAnsi="Times New Roman"/>
          <w:color w:val="000000" w:themeColor="text1"/>
          <w:sz w:val="28"/>
          <w:szCs w:val="28"/>
        </w:rPr>
        <w:lastRenderedPageBreak/>
        <w:t xml:space="preserve">Puškar B., Jurković Z. </w:t>
      </w:r>
      <w:r w:rsidR="0046508D"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sterilization procedures for micropropagation of ‘Oblačinska’ sour cherry.</w:t>
      </w:r>
      <w:r w:rsidR="00B4574A"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Agricultural Sciences</w:t>
      </w:r>
      <w:r w:rsidRPr="00CC7883">
        <w:rPr>
          <w:rFonts w:ascii="Times New Roman" w:hAnsi="Times New Roman"/>
          <w:color w:val="000000" w:themeColor="text1"/>
          <w:sz w:val="28"/>
          <w:szCs w:val="28"/>
        </w:rPr>
        <w:t>. 2013. Vol. 58, No. 2. P. 117–126. DOI: https://doi.org/10.2298/JAS1302117M.</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Miler N., Zalewska M. The influence of light colour on micropropagation of </w:t>
      </w:r>
      <w:r w:rsidRPr="00CC7883">
        <w:rPr>
          <w:rFonts w:ascii="Times New Roman" w:hAnsi="Times New Roman"/>
          <w:i/>
          <w:color w:val="000000" w:themeColor="text1"/>
          <w:sz w:val="28"/>
          <w:szCs w:val="28"/>
        </w:rPr>
        <w:t>Chrysanthemum</w:t>
      </w:r>
      <w:r w:rsidRPr="00CC7883">
        <w:rPr>
          <w:rFonts w:ascii="Times New Roman" w:hAnsi="Times New Roman"/>
          <w:color w:val="000000" w:themeColor="text1"/>
          <w:sz w:val="28"/>
          <w:szCs w:val="28"/>
        </w:rPr>
        <w:t>.</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Acta Horticulturae</w:t>
      </w:r>
      <w:r w:rsidRPr="00CC7883">
        <w:rPr>
          <w:rFonts w:ascii="Times New Roman" w:hAnsi="Times New Roman"/>
          <w:color w:val="000000" w:themeColor="text1"/>
          <w:sz w:val="28"/>
          <w:szCs w:val="28"/>
        </w:rPr>
        <w:t>. 2006. Vol. 725, No. 1. P. 347–350.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Minutolo M., Chiaiese P., Di Matteo A., Errico A., Corrado G. Accumulation of ascorbic acid in tomato cell culture: influence of the genotype, source explant and time of </w:t>
      </w:r>
      <w:r w:rsidR="0046508D"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cultivation.</w:t>
      </w:r>
      <w:r w:rsidR="0046508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Antioxidants</w:t>
      </w:r>
      <w:r w:rsidRPr="00CC7883">
        <w:rPr>
          <w:rFonts w:ascii="Times New Roman" w:hAnsi="Times New Roman"/>
          <w:color w:val="000000" w:themeColor="text1"/>
          <w:sz w:val="28"/>
          <w:szCs w:val="28"/>
        </w:rPr>
        <w:t>. 2020. Vol. 9,</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3. DOI: https://doi.org/10.3390/antiox9030222.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Mohammed A., Chiruvella K. K., Namsa N. D., Ghanta R. G. An efficient </w:t>
      </w:r>
      <w:r w:rsidR="0046508D"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shoot regeneration from leaf petiolar explants and </w:t>
      </w:r>
      <w:r w:rsidRPr="00CC7883">
        <w:rPr>
          <w:rFonts w:ascii="Times New Roman" w:hAnsi="Times New Roman"/>
          <w:i/>
          <w:color w:val="000000" w:themeColor="text1"/>
          <w:sz w:val="28"/>
          <w:szCs w:val="28"/>
        </w:rPr>
        <w:t>ex</w:t>
      </w:r>
      <w:r w:rsidR="00745ADB"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rooting of </w:t>
      </w:r>
      <w:r w:rsidRPr="00CC7883">
        <w:rPr>
          <w:rFonts w:ascii="Times New Roman" w:hAnsi="Times New Roman"/>
          <w:i/>
          <w:color w:val="000000" w:themeColor="text1"/>
          <w:sz w:val="28"/>
          <w:szCs w:val="28"/>
        </w:rPr>
        <w:t>Bixa orellana</w:t>
      </w:r>
      <w:r w:rsidRPr="00CC7883">
        <w:rPr>
          <w:rFonts w:ascii="Times New Roman" w:hAnsi="Times New Roman"/>
          <w:color w:val="000000" w:themeColor="text1"/>
          <w:sz w:val="28"/>
          <w:szCs w:val="28"/>
        </w:rPr>
        <w:t xml:space="preserve"> L. – a dye yielding plant.</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Physiology and Molecular Biology of Plants</w:t>
      </w:r>
      <w:r w:rsidRPr="00CC7883">
        <w:rPr>
          <w:rFonts w:ascii="Times New Roman" w:hAnsi="Times New Roman"/>
          <w:color w:val="000000" w:themeColor="text1"/>
          <w:sz w:val="28"/>
          <w:szCs w:val="28"/>
        </w:rPr>
        <w:t>. 2015. Vol. 21, No. 3. P. 417–424. DOI: https://doi.org/10.1007/s12298-015-0297-z.</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Mohsen A. T., El-Sayed A. E. K. B., Rashed S. A., Abdallah A. M., El-Sayed M. E. A. </w:t>
      </w:r>
      <w:r w:rsidRPr="00CC7883">
        <w:rPr>
          <w:rFonts w:ascii="Times New Roman" w:hAnsi="Times New Roman"/>
          <w:i/>
          <w:color w:val="000000" w:themeColor="text1"/>
          <w:sz w:val="28"/>
          <w:szCs w:val="28"/>
        </w:rPr>
        <w:t>In</w:t>
      </w:r>
      <w:r w:rsidR="0046508D"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evaluation of some grapevine rootstocks grown under drought stress.</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Archives</w:t>
      </w:r>
      <w:r w:rsidRPr="00CC7883">
        <w:rPr>
          <w:rFonts w:ascii="Times New Roman" w:hAnsi="Times New Roman"/>
          <w:color w:val="000000" w:themeColor="text1"/>
          <w:sz w:val="28"/>
          <w:szCs w:val="28"/>
        </w:rPr>
        <w:t>. 2020. Vol. 20 (Suppl. 1). P. 1029–1034.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Molnár Z., Virág E., Ördög V. Natural substances in tissue culture media of higher plants.</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Acta Biologica Szegediensis</w:t>
      </w:r>
      <w:r w:rsidRPr="00CC7883">
        <w:rPr>
          <w:rFonts w:ascii="Times New Roman" w:hAnsi="Times New Roman"/>
          <w:color w:val="000000" w:themeColor="text1"/>
          <w:sz w:val="28"/>
          <w:szCs w:val="28"/>
        </w:rPr>
        <w:t>. 2011. Vol. 55, No. 1. P. 123–127. URL:</w:t>
      </w:r>
      <w:r w:rsidR="00555929" w:rsidRPr="00CC7883">
        <w:rPr>
          <w:rFonts w:ascii="Times New Roman" w:hAnsi="Times New Roman"/>
          <w:color w:val="000000" w:themeColor="text1"/>
          <w:sz w:val="28"/>
          <w:szCs w:val="28"/>
        </w:rPr>
        <w:t xml:space="preserve"> </w:t>
      </w:r>
      <w:hyperlink r:id="rId202" w:history="1">
        <w:r w:rsidRPr="00875785">
          <w:rPr>
            <w:rStyle w:val="af3"/>
            <w:rFonts w:ascii="Times New Roman" w:hAnsi="Times New Roman"/>
            <w:color w:val="000000" w:themeColor="text1"/>
            <w:sz w:val="28"/>
            <w:szCs w:val="28"/>
            <w:u w:val="none"/>
          </w:rPr>
          <w:t>https://www.sci.u-szeged.hu/ABS</w:t>
        </w:r>
      </w:hyperlink>
      <w:r w:rsidRPr="00CC7883">
        <w:rPr>
          <w:rFonts w:ascii="Times New Roman" w:hAnsi="Times New Roman"/>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Moncaleán P., Alonso P., Centeno M. L., Cortizo M., Rodríguez A., Fernández B., Ordás R. J. Organogenic responses of </w:t>
      </w:r>
      <w:r w:rsidRPr="00CC7883">
        <w:rPr>
          <w:rStyle w:val="af1"/>
          <w:rFonts w:ascii="Times New Roman" w:hAnsi="Times New Roman"/>
          <w:color w:val="000000" w:themeColor="text1"/>
          <w:sz w:val="28"/>
          <w:szCs w:val="28"/>
        </w:rPr>
        <w:t>Pinus pinea</w:t>
      </w:r>
      <w:r w:rsidRPr="00CC7883">
        <w:rPr>
          <w:rFonts w:ascii="Times New Roman" w:hAnsi="Times New Roman"/>
          <w:color w:val="000000" w:themeColor="text1"/>
          <w:sz w:val="28"/>
          <w:szCs w:val="28"/>
        </w:rPr>
        <w:t xml:space="preserve"> cotyledons to hormonal treatments: BA metabolism and cytokinin content. </w:t>
      </w:r>
      <w:r w:rsidRPr="00CC7883">
        <w:rPr>
          <w:rStyle w:val="af1"/>
          <w:rFonts w:ascii="Times New Roman" w:hAnsi="Times New Roman"/>
          <w:color w:val="000000" w:themeColor="text1"/>
          <w:sz w:val="28"/>
          <w:szCs w:val="28"/>
        </w:rPr>
        <w:t>Tree Physiology</w:t>
      </w:r>
      <w:r w:rsidRPr="00CC7883">
        <w:rPr>
          <w:rFonts w:ascii="Times New Roman" w:hAnsi="Times New Roman"/>
          <w:color w:val="000000" w:themeColor="text1"/>
          <w:sz w:val="28"/>
          <w:szCs w:val="28"/>
        </w:rPr>
        <w:t>. 2005. Vol. 25, No. 1. P. 1–9. DOI: https://doi.org/10.1093/treephys/25.1.1.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Mostafa F. M. A., Shaaban M. M., Elazab D. S., Kamel M. T. </w:t>
      </w:r>
      <w:r w:rsidRPr="00CC7883">
        <w:rPr>
          <w:rFonts w:ascii="Times New Roman" w:hAnsi="Times New Roman"/>
          <w:i/>
          <w:color w:val="000000" w:themeColor="text1"/>
          <w:sz w:val="28"/>
          <w:szCs w:val="28"/>
        </w:rPr>
        <w:t>In</w:t>
      </w:r>
      <w:r w:rsidR="0046508D"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propagation of four grape cultivars.</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Assiut Journal of Agricultural Sciences</w:t>
      </w:r>
      <w:r w:rsidRPr="00CC7883">
        <w:rPr>
          <w:rFonts w:ascii="Times New Roman" w:hAnsi="Times New Roman"/>
          <w:color w:val="000000" w:themeColor="text1"/>
          <w:sz w:val="28"/>
          <w:szCs w:val="28"/>
        </w:rPr>
        <w:t>. 2015. Vol. 46,</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4. P. 65–76.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Style w:val="af2"/>
          <w:rFonts w:ascii="Times New Roman" w:hAnsi="Times New Roman"/>
          <w:b w:val="0"/>
          <w:color w:val="000000" w:themeColor="text1"/>
          <w:sz w:val="28"/>
          <w:szCs w:val="28"/>
        </w:rPr>
        <w:t>Mozafari A. A., Ghoraishi O., Ghaderi N., Javadi T.</w:t>
      </w:r>
      <w:r w:rsidRPr="00CC7883">
        <w:rPr>
          <w:rFonts w:ascii="Times New Roman" w:hAnsi="Times New Roman"/>
          <w:color w:val="000000" w:themeColor="text1"/>
          <w:sz w:val="28"/>
          <w:szCs w:val="28"/>
        </w:rPr>
        <w:t xml:space="preserve"> Micropropagation of grape cultivars (</w:t>
      </w:r>
      <w:r w:rsidRPr="00CC7883">
        <w:rPr>
          <w:rStyle w:val="af1"/>
          <w:rFonts w:ascii="Times New Roman" w:hAnsi="Times New Roman"/>
          <w:color w:val="000000" w:themeColor="text1"/>
          <w:sz w:val="28"/>
          <w:szCs w:val="28"/>
        </w:rPr>
        <w:t>Vitis vinifera</w:t>
      </w:r>
      <w:r w:rsidRPr="00CC7883">
        <w:rPr>
          <w:rFonts w:ascii="Times New Roman" w:hAnsi="Times New Roman"/>
          <w:color w:val="000000" w:themeColor="text1"/>
          <w:sz w:val="28"/>
          <w:szCs w:val="28"/>
        </w:rPr>
        <w:t xml:space="preserve"> L.) on different basal media supplemented with benzyladenine.</w:t>
      </w:r>
      <w:r w:rsidR="00082FBC" w:rsidRPr="00CC7883">
        <w:rPr>
          <w:rFonts w:ascii="Times New Roman" w:hAnsi="Times New Roman"/>
          <w:color w:val="000000" w:themeColor="text1"/>
          <w:sz w:val="28"/>
          <w:szCs w:val="28"/>
        </w:rPr>
        <w:t xml:space="preserve"> </w:t>
      </w:r>
      <w:r w:rsidRPr="00CC7883">
        <w:rPr>
          <w:rStyle w:val="af1"/>
          <w:rFonts w:ascii="Times New Roman" w:hAnsi="Times New Roman"/>
          <w:color w:val="000000" w:themeColor="text1"/>
          <w:sz w:val="28"/>
          <w:szCs w:val="28"/>
        </w:rPr>
        <w:t>Agriculturae Conspectus Scientificus</w:t>
      </w:r>
      <w:r w:rsidRPr="00CC7883">
        <w:rPr>
          <w:rFonts w:ascii="Times New Roman" w:hAnsi="Times New Roman"/>
          <w:color w:val="000000" w:themeColor="text1"/>
          <w:sz w:val="28"/>
          <w:szCs w:val="28"/>
        </w:rPr>
        <w:t>. 2012. Vol. 77. P. 123–129.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Murashige T., Skoog F. A revised medium for rapid growth and bioassays </w:t>
      </w:r>
      <w:r w:rsidRPr="00CC7883">
        <w:rPr>
          <w:rFonts w:ascii="Times New Roman" w:hAnsi="Times New Roman"/>
          <w:color w:val="000000" w:themeColor="text1"/>
          <w:sz w:val="28"/>
          <w:szCs w:val="28"/>
        </w:rPr>
        <w:lastRenderedPageBreak/>
        <w:t>with tobacco tissue cultures.</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Physiologia Plantarum</w:t>
      </w:r>
      <w:r w:rsidRPr="00CC7883">
        <w:rPr>
          <w:rFonts w:ascii="Times New Roman" w:hAnsi="Times New Roman"/>
          <w:color w:val="000000" w:themeColor="text1"/>
          <w:sz w:val="28"/>
          <w:szCs w:val="28"/>
        </w:rPr>
        <w:t>. 1962. Vol. 15, No. 3. P. 473–497.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Nadal M. C. Plant growth promoting bacteria on </w:t>
      </w:r>
      <w:r w:rsidR="0046508D"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of </w:t>
      </w:r>
      <w:r w:rsidRPr="00CC7883">
        <w:rPr>
          <w:rFonts w:ascii="Times New Roman" w:hAnsi="Times New Roman"/>
          <w:i/>
          <w:color w:val="000000" w:themeColor="text1"/>
          <w:sz w:val="28"/>
          <w:szCs w:val="28"/>
        </w:rPr>
        <w:t>Pyrus</w:t>
      </w:r>
      <w:r w:rsidRPr="00CC7883">
        <w:rPr>
          <w:rFonts w:ascii="Times New Roman" w:hAnsi="Times New Roman"/>
          <w:color w:val="000000" w:themeColor="text1"/>
          <w:sz w:val="28"/>
          <w:szCs w:val="28"/>
        </w:rPr>
        <w:t>sp. : dissertação (Mestrado em Agronomia/Fitotecnia). Lavras (Brazil) : Universidade Federal de Lavras, 2019. 52 p.</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Nazir U., Gul Z., Shah G. M., Khan N. I. Interaction effect of auxin and cytokinin on </w:t>
      </w:r>
      <w:r w:rsidR="0046508D"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shoot regeneration and rooting of endangered medicinal plant </w:t>
      </w:r>
      <w:r w:rsidRPr="00CC7883">
        <w:rPr>
          <w:rFonts w:ascii="Times New Roman" w:hAnsi="Times New Roman"/>
          <w:i/>
          <w:color w:val="000000" w:themeColor="text1"/>
          <w:sz w:val="28"/>
          <w:szCs w:val="28"/>
        </w:rPr>
        <w:t>Valeriana jatamansi</w:t>
      </w:r>
      <w:r w:rsidRPr="00CC7883">
        <w:rPr>
          <w:rFonts w:ascii="Times New Roman" w:hAnsi="Times New Roman"/>
          <w:color w:val="000000" w:themeColor="text1"/>
          <w:sz w:val="28"/>
          <w:szCs w:val="28"/>
        </w:rPr>
        <w:t xml:space="preserve"> Jones through tissue culture.</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American Journal of Plant Sciences</w:t>
      </w:r>
      <w:r w:rsidRPr="00CC7883">
        <w:rPr>
          <w:rFonts w:ascii="Times New Roman" w:hAnsi="Times New Roman"/>
          <w:color w:val="000000" w:themeColor="text1"/>
          <w:sz w:val="28"/>
          <w:szCs w:val="28"/>
        </w:rPr>
        <w:t>. 2022. Vol. 13, No. 2. DOI: https://doi.org/10.4236/ajps.2022.132014.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Naznin M. T., Lefsrud M., Gravel V., Azad M. O. K. Blue light added with red LEDs enhance growth characteristics, pigments content, and antioxidant capacity in lettuce, spinach, kale, basil, and sweet pepper in a controlled environment.</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Plants</w:t>
      </w:r>
      <w:r w:rsidRPr="00CC7883">
        <w:rPr>
          <w:rFonts w:ascii="Times New Roman" w:hAnsi="Times New Roman"/>
          <w:color w:val="000000" w:themeColor="text1"/>
          <w:sz w:val="28"/>
          <w:szCs w:val="28"/>
        </w:rPr>
        <w:t>. 2019. Vol. 8,</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4. DOI: https://doi.org/10.3390/plants8040093.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Nepi M., Cresti M., Guarnieri M., Pacini E. Effect of relative humidity on water content, viability and carbohydrate profile of </w:t>
      </w:r>
      <w:r w:rsidRPr="00CC7883">
        <w:rPr>
          <w:rFonts w:ascii="Times New Roman" w:hAnsi="Times New Roman"/>
          <w:i/>
          <w:color w:val="000000" w:themeColor="text1"/>
          <w:sz w:val="28"/>
          <w:szCs w:val="28"/>
        </w:rPr>
        <w:t>Petunia hybrida</w:t>
      </w:r>
      <w:r w:rsidRPr="00CC7883">
        <w:rPr>
          <w:rFonts w:ascii="Times New Roman" w:hAnsi="Times New Roman"/>
          <w:color w:val="000000" w:themeColor="text1"/>
          <w:sz w:val="28"/>
          <w:szCs w:val="28"/>
        </w:rPr>
        <w:t xml:space="preserve"> and </w:t>
      </w:r>
      <w:r w:rsidRPr="00CC7883">
        <w:rPr>
          <w:rFonts w:ascii="Times New Roman" w:hAnsi="Times New Roman"/>
          <w:i/>
          <w:color w:val="000000" w:themeColor="text1"/>
          <w:sz w:val="28"/>
          <w:szCs w:val="28"/>
        </w:rPr>
        <w:t>Cucurbita pepo</w:t>
      </w:r>
      <w:r w:rsidRPr="00CC7883">
        <w:rPr>
          <w:rFonts w:ascii="Times New Roman" w:hAnsi="Times New Roman"/>
          <w:color w:val="000000" w:themeColor="text1"/>
          <w:sz w:val="28"/>
          <w:szCs w:val="28"/>
        </w:rPr>
        <w:t xml:space="preserve"> pollen.</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Systematics and Evolution</w:t>
      </w:r>
      <w:r w:rsidRPr="00CC7883">
        <w:rPr>
          <w:rFonts w:ascii="Times New Roman" w:hAnsi="Times New Roman"/>
          <w:color w:val="000000" w:themeColor="text1"/>
          <w:sz w:val="28"/>
          <w:szCs w:val="28"/>
        </w:rPr>
        <w:t>. 2010. Vol. 284, No. 1. P. 57–64. DOI: https://doi.org/10.1007/s00606-009-0237-x.</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Nikolić R., Ninković S., Vinterhalter B., Zdravković-Korać S., Nešković M. Gibberellic acid promotes </w:t>
      </w:r>
      <w:r w:rsidR="0046508D"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regeneration and shoot multiplication in </w:t>
      </w:r>
      <w:r w:rsidRPr="00CC7883">
        <w:rPr>
          <w:rFonts w:ascii="Times New Roman" w:hAnsi="Times New Roman"/>
          <w:i/>
          <w:color w:val="000000" w:themeColor="text1"/>
          <w:sz w:val="28"/>
          <w:szCs w:val="28"/>
        </w:rPr>
        <w:t>Lotus corniculatus</w:t>
      </w:r>
      <w:r w:rsidRPr="00CC7883">
        <w:rPr>
          <w:rFonts w:ascii="Times New Roman" w:hAnsi="Times New Roman"/>
          <w:color w:val="000000" w:themeColor="text1"/>
          <w:sz w:val="28"/>
          <w:szCs w:val="28"/>
        </w:rPr>
        <w:t xml:space="preserve"> L.</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Growth Regulation</w:t>
      </w:r>
      <w:r w:rsidRPr="00CC7883">
        <w:rPr>
          <w:rFonts w:ascii="Times New Roman" w:hAnsi="Times New Roman"/>
          <w:color w:val="000000" w:themeColor="text1"/>
          <w:sz w:val="28"/>
          <w:szCs w:val="28"/>
        </w:rPr>
        <w:t>. 2010. Vol. 62. P. 181–188. DOI: https://doi.org/10.1007/s10725-010-9505-6.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Nitsch J. P., Nitsch C. Haploid plants from pollen grains.</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Scienc</w:t>
      </w:r>
      <w:r w:rsidRPr="00CC7883">
        <w:rPr>
          <w:rFonts w:ascii="Times New Roman" w:hAnsi="Times New Roman"/>
          <w:color w:val="000000" w:themeColor="text1"/>
          <w:sz w:val="28"/>
          <w:szCs w:val="28"/>
        </w:rPr>
        <w:t>e. 1969. Vol. 163. P. 85–87.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Nookaraju A., Barreto S. M., Agrawal D. C. Rapid </w:t>
      </w:r>
      <w:r w:rsidR="0046508D"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propagation of grapevine cv. Crimson Seedless – influence of basal media and plant growth regulators.</w:t>
      </w:r>
      <w:r w:rsidR="00082FBC"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Applied Horticulture</w:t>
      </w:r>
      <w:r w:rsidRPr="00CC7883">
        <w:rPr>
          <w:rFonts w:ascii="Times New Roman" w:hAnsi="Times New Roman"/>
          <w:color w:val="000000" w:themeColor="text1"/>
          <w:sz w:val="28"/>
          <w:szCs w:val="28"/>
        </w:rPr>
        <w:t>. 2008. Vol. 10,</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 P. 44–49.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Nowakowska K., Pacholczak A., Tepper W. The effect of selected growth regulators and culture media on regeneration of </w:t>
      </w:r>
      <w:r w:rsidRPr="00CC7883">
        <w:rPr>
          <w:rFonts w:ascii="Times New Roman" w:hAnsi="Times New Roman"/>
          <w:i/>
          <w:color w:val="000000" w:themeColor="text1"/>
          <w:sz w:val="28"/>
          <w:szCs w:val="28"/>
        </w:rPr>
        <w:t>Daphne mezereum</w:t>
      </w:r>
      <w:r w:rsidRPr="00CC7883">
        <w:rPr>
          <w:rFonts w:ascii="Times New Roman" w:hAnsi="Times New Roman"/>
          <w:color w:val="000000" w:themeColor="text1"/>
          <w:sz w:val="28"/>
          <w:szCs w:val="28"/>
        </w:rPr>
        <w:t xml:space="preserve"> L. ‘Alba’. Rendiconti Lincei. </w:t>
      </w:r>
      <w:r w:rsidRPr="00CC7883">
        <w:rPr>
          <w:rFonts w:ascii="Times New Roman" w:hAnsi="Times New Roman"/>
          <w:i/>
          <w:color w:val="000000" w:themeColor="text1"/>
          <w:sz w:val="28"/>
          <w:szCs w:val="28"/>
        </w:rPr>
        <w:t>Scienze Fisiche e Naturali</w:t>
      </w:r>
      <w:r w:rsidRPr="00CC7883">
        <w:rPr>
          <w:rFonts w:ascii="Times New Roman" w:hAnsi="Times New Roman"/>
          <w:color w:val="000000" w:themeColor="text1"/>
          <w:sz w:val="28"/>
          <w:szCs w:val="28"/>
        </w:rPr>
        <w:t xml:space="preserve">. 2019. Vol. 30, No. 2. P. 197–205. </w:t>
      </w:r>
      <w:r w:rsidRPr="00CC7883">
        <w:rPr>
          <w:rFonts w:ascii="Times New Roman" w:hAnsi="Times New Roman"/>
          <w:color w:val="000000" w:themeColor="text1"/>
          <w:sz w:val="28"/>
          <w:szCs w:val="28"/>
        </w:rPr>
        <w:lastRenderedPageBreak/>
        <w:t>DOI: https://doi.org/10.1007/s12210-019-00777-w.</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Omasa K., Onoe M. Measurement of stomatal aperture by digital image processing.</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&amp; Cell Physiology</w:t>
      </w:r>
      <w:r w:rsidRPr="00CC7883">
        <w:rPr>
          <w:rFonts w:ascii="Times New Roman" w:hAnsi="Times New Roman"/>
          <w:color w:val="000000" w:themeColor="text1"/>
          <w:sz w:val="28"/>
          <w:szCs w:val="28"/>
        </w:rPr>
        <w:t xml:space="preserve">. 1984. Vol. 25, No. 8. P. 1379–1386. </w:t>
      </w:r>
      <w:r w:rsidR="00FF36D8">
        <w:rPr>
          <w:rFonts w:ascii="Times New Roman" w:hAnsi="Times New Roman"/>
          <w:color w:val="000000" w:themeColor="text1"/>
          <w:sz w:val="28"/>
          <w:szCs w:val="28"/>
          <w:lang w:val="en-US"/>
        </w:rPr>
        <w:t>DOI</w:t>
      </w:r>
      <w:r w:rsidRPr="00CC7883">
        <w:rPr>
          <w:rFonts w:ascii="Times New Roman" w:hAnsi="Times New Roman"/>
          <w:color w:val="000000" w:themeColor="text1"/>
          <w:sz w:val="28"/>
          <w:szCs w:val="28"/>
        </w:rPr>
        <w:t>:</w:t>
      </w:r>
      <w:r w:rsidR="00FF36D8" w:rsidRPr="00F62136">
        <w:rPr>
          <w:rFonts w:ascii="Times New Roman" w:hAnsi="Times New Roman"/>
          <w:color w:val="000000" w:themeColor="text1"/>
          <w:sz w:val="28"/>
          <w:szCs w:val="28"/>
          <w:lang w:val="en-US"/>
        </w:rPr>
        <w:t xml:space="preserve"> </w:t>
      </w:r>
      <w:r w:rsidR="00FF36D8" w:rsidRPr="00FF36D8">
        <w:rPr>
          <w:rFonts w:ascii="Times New Roman" w:hAnsi="Times New Roman"/>
          <w:color w:val="000000" w:themeColor="text1"/>
          <w:sz w:val="28"/>
          <w:szCs w:val="28"/>
        </w:rPr>
        <w:t>10.1093/oxfordjournals.pcp.a076848</w:t>
      </w:r>
      <w:r w:rsidRPr="00CC7883">
        <w:rPr>
          <w:rFonts w:ascii="Times New Roman" w:hAnsi="Times New Roman"/>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Pace L., Pellegrini M., Palmieri S., Rocchi R. Plant growth-promoting rhizobacteria for </w:t>
      </w:r>
      <w:r w:rsidR="0046508D"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and </w:t>
      </w:r>
      <w:r w:rsidRPr="00CC7883">
        <w:rPr>
          <w:rFonts w:ascii="Times New Roman" w:hAnsi="Times New Roman"/>
          <w:i/>
          <w:color w:val="000000" w:themeColor="text1"/>
          <w:sz w:val="28"/>
          <w:szCs w:val="28"/>
        </w:rPr>
        <w:t>ex</w:t>
      </w:r>
      <w:r w:rsidR="0046508D"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performance enhancement of Apennines’ Genepì (</w:t>
      </w:r>
      <w:r w:rsidRPr="00CC7883">
        <w:rPr>
          <w:rFonts w:ascii="Times New Roman" w:hAnsi="Times New Roman"/>
          <w:i/>
          <w:color w:val="000000" w:themeColor="text1"/>
          <w:sz w:val="28"/>
          <w:szCs w:val="28"/>
        </w:rPr>
        <w:t>Artemisia umbelliformis</w:t>
      </w:r>
      <w:r w:rsidRPr="00CC7883">
        <w:rPr>
          <w:rFonts w:ascii="Times New Roman" w:hAnsi="Times New Roman"/>
          <w:color w:val="000000" w:themeColor="text1"/>
          <w:sz w:val="28"/>
          <w:szCs w:val="28"/>
        </w:rPr>
        <w:t xml:space="preserve"> subsp. </w:t>
      </w:r>
      <w:r w:rsidRPr="00CC7883">
        <w:rPr>
          <w:rFonts w:ascii="Times New Roman" w:hAnsi="Times New Roman"/>
          <w:i/>
          <w:color w:val="000000" w:themeColor="text1"/>
          <w:sz w:val="28"/>
          <w:szCs w:val="28"/>
        </w:rPr>
        <w:t>eriantha</w:t>
      </w:r>
      <w:r w:rsidRPr="00CC7883">
        <w:rPr>
          <w:rFonts w:ascii="Times New Roman" w:hAnsi="Times New Roman"/>
          <w:color w:val="000000" w:themeColor="text1"/>
          <w:sz w:val="28"/>
          <w:szCs w:val="28"/>
        </w:rPr>
        <w:t>), an endangered phytotherapeutic plant.</w:t>
      </w:r>
      <w:r w:rsidR="0046508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w:t>
      </w:r>
      <w:r w:rsidR="0046508D"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0046508D"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Cellular &amp; Developmental Biology – Plant</w:t>
      </w:r>
      <w:r w:rsidRPr="00CC7883">
        <w:rPr>
          <w:rFonts w:ascii="Times New Roman" w:hAnsi="Times New Roman"/>
          <w:color w:val="000000" w:themeColor="text1"/>
          <w:sz w:val="28"/>
          <w:szCs w:val="28"/>
        </w:rPr>
        <w:t>. 2020. Vol. 56, No. 1. DOI: https://doi.org/10.1007/s11627-019-10035-1.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Parabia F. M., Gami B., Kothari I. L., Mohan J. S. S., Parabia M. H. Effect of plant growth regulators on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morphogenesis of </w:t>
      </w:r>
      <w:r w:rsidRPr="00CC7883">
        <w:rPr>
          <w:rFonts w:ascii="Times New Roman" w:hAnsi="Times New Roman"/>
          <w:i/>
          <w:color w:val="000000" w:themeColor="text1"/>
          <w:sz w:val="28"/>
          <w:szCs w:val="28"/>
        </w:rPr>
        <w:t>Leptadenia reticulata</w:t>
      </w:r>
      <w:r w:rsidRPr="00CC7883">
        <w:rPr>
          <w:rFonts w:ascii="Times New Roman" w:hAnsi="Times New Roman"/>
          <w:color w:val="000000" w:themeColor="text1"/>
          <w:sz w:val="28"/>
          <w:szCs w:val="28"/>
        </w:rPr>
        <w:t xml:space="preserve"> (Retz.) W. &amp; A. from nodal explants.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Current Science</w:t>
      </w:r>
      <w:r w:rsidRPr="00CC7883">
        <w:rPr>
          <w:rFonts w:ascii="Times New Roman" w:hAnsi="Times New Roman"/>
          <w:color w:val="000000" w:themeColor="text1"/>
          <w:sz w:val="28"/>
          <w:szCs w:val="28"/>
        </w:rPr>
        <w:t>. 2007. Vol. 92,</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9. P. 1290–1293.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Parthibhan S., Senthil Kumar T. Effect of seaweed extract and plant growth regulators on high-frequency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regeneration and </w:t>
      </w:r>
      <w:r w:rsidRPr="00CC7883">
        <w:rPr>
          <w:rFonts w:ascii="Times New Roman" w:hAnsi="Times New Roman"/>
          <w:i/>
          <w:color w:val="000000" w:themeColor="text1"/>
          <w:sz w:val="28"/>
          <w:szCs w:val="28"/>
        </w:rPr>
        <w:t>ex</w:t>
      </w:r>
      <w:r w:rsidR="004912AE"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rooting of </w:t>
      </w:r>
      <w:r w:rsidRPr="00CC7883">
        <w:rPr>
          <w:rFonts w:ascii="Times New Roman" w:hAnsi="Times New Roman"/>
          <w:i/>
          <w:color w:val="000000" w:themeColor="text1"/>
          <w:sz w:val="28"/>
          <w:szCs w:val="28"/>
        </w:rPr>
        <w:t>Ceropegia maculata</w:t>
      </w:r>
      <w:r w:rsidRPr="00CC7883">
        <w:rPr>
          <w:rFonts w:ascii="Times New Roman" w:hAnsi="Times New Roman"/>
          <w:color w:val="000000" w:themeColor="text1"/>
          <w:sz w:val="28"/>
          <w:szCs w:val="28"/>
        </w:rPr>
        <w:t xml:space="preserve"> Bedd.: an endemic species of Southern Western Ghats.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w:t>
      </w:r>
      <w:r w:rsidR="00341BC0" w:rsidRPr="00CC7883">
        <w:rPr>
          <w:rFonts w:ascii="Times New Roman" w:hAnsi="Times New Roman"/>
          <w:i/>
          <w:color w:val="000000" w:themeColor="text1"/>
          <w:sz w:val="28"/>
          <w:szCs w:val="28"/>
        </w:rPr>
        <w:t xml:space="preserve"> Cell, Tissue and Organ Culture</w:t>
      </w:r>
      <w:r w:rsidRPr="00CC7883">
        <w:rPr>
          <w:rFonts w:ascii="Times New Roman" w:hAnsi="Times New Roman"/>
          <w:color w:val="000000" w:themeColor="text1"/>
          <w:sz w:val="28"/>
          <w:szCs w:val="28"/>
        </w:rPr>
        <w:t>. 2022. Vol. 151, No. 3. DOI: https://doi.org/10.1007/s11240-022-02352-y.</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Pazurkiewicz-Kocot K., Kita A., Haduch A. The effect of kinetin on the chlorophyll pigments content in leaves of </w:t>
      </w:r>
      <w:r w:rsidRPr="00CC7883">
        <w:rPr>
          <w:rFonts w:ascii="Times New Roman" w:hAnsi="Times New Roman"/>
          <w:i/>
          <w:color w:val="000000" w:themeColor="text1"/>
          <w:sz w:val="28"/>
          <w:szCs w:val="28"/>
        </w:rPr>
        <w:t>Zea mays</w:t>
      </w:r>
      <w:r w:rsidRPr="00CC7883">
        <w:rPr>
          <w:rFonts w:ascii="Times New Roman" w:hAnsi="Times New Roman"/>
          <w:color w:val="000000" w:themeColor="text1"/>
          <w:sz w:val="28"/>
          <w:szCs w:val="28"/>
        </w:rPr>
        <w:t xml:space="preserve"> L. seedlings and accumulation of some metal ions.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Inżynieria i Ochrona Środowiska</w:t>
      </w:r>
      <w:r w:rsidRPr="00CC7883">
        <w:rPr>
          <w:rFonts w:ascii="Times New Roman" w:hAnsi="Times New Roman"/>
          <w:color w:val="000000" w:themeColor="text1"/>
          <w:sz w:val="28"/>
          <w:szCs w:val="28"/>
        </w:rPr>
        <w:t>. 2011. Vol. 14,</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4. P. 397–409.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Pereira J. E. S., Fortes G. R. L., Biasi L. A. Effects of gelling agents and activated charcoal on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propagation of </w:t>
      </w:r>
      <w:r w:rsidRPr="00CC7883">
        <w:rPr>
          <w:rFonts w:ascii="Times New Roman" w:hAnsi="Times New Roman"/>
          <w:i/>
          <w:color w:val="000000" w:themeColor="text1"/>
          <w:sz w:val="28"/>
          <w:szCs w:val="28"/>
        </w:rPr>
        <w:t>Solanum sessiliflorum</w:t>
      </w:r>
      <w:r w:rsidRPr="00CC7883">
        <w:rPr>
          <w:rFonts w:ascii="Times New Roman" w:hAnsi="Times New Roman"/>
          <w:color w:val="000000" w:themeColor="text1"/>
          <w:sz w:val="28"/>
          <w:szCs w:val="28"/>
        </w:rPr>
        <w:t xml:space="preserve"> Dunal.</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Cell Reports</w:t>
      </w:r>
      <w:r w:rsidRPr="00CC7883">
        <w:rPr>
          <w:rFonts w:ascii="Times New Roman" w:hAnsi="Times New Roman"/>
          <w:color w:val="000000" w:themeColor="text1"/>
          <w:sz w:val="28"/>
          <w:szCs w:val="28"/>
        </w:rPr>
        <w:t>. 2000. Vol. 19, No. 10. P. 1013–1017. DOI: https://doi.org/10.1007/s002990000222.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Pe´ros J.-P., Torregrosa L., Berger G. Variability among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cultivars in micropropagation, organogenesis and antibiotic sensitivity.</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Experimental Botany</w:t>
      </w:r>
      <w:r w:rsidRPr="00CC7883">
        <w:rPr>
          <w:rFonts w:ascii="Times New Roman" w:hAnsi="Times New Roman"/>
          <w:color w:val="000000" w:themeColor="text1"/>
          <w:sz w:val="28"/>
          <w:szCs w:val="28"/>
        </w:rPr>
        <w:t>. 1998. Vol. 49, No. 319. P. 171–179.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Petrus-Vancea A., Blidar C.-F., Ladányi I. Effect of deuterium depleted </w:t>
      </w:r>
      <w:r w:rsidRPr="00CC7883">
        <w:rPr>
          <w:rFonts w:ascii="Times New Roman" w:hAnsi="Times New Roman"/>
          <w:color w:val="000000" w:themeColor="text1"/>
          <w:sz w:val="28"/>
          <w:szCs w:val="28"/>
        </w:rPr>
        <w:lastRenderedPageBreak/>
        <w:t xml:space="preserve">water and Pi water about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germination of mature caryopses of some species.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Analele Universității din Oradea – Fascicula Biologie</w:t>
      </w:r>
      <w:r w:rsidRPr="00CC7883">
        <w:rPr>
          <w:rFonts w:ascii="Times New Roman" w:hAnsi="Times New Roman"/>
          <w:color w:val="000000" w:themeColor="text1"/>
          <w:sz w:val="28"/>
          <w:szCs w:val="28"/>
        </w:rPr>
        <w:t xml:space="preserve">. 2010. Vol. </w:t>
      </w:r>
      <w:r w:rsidR="00C53A4E" w:rsidRPr="00CC7883">
        <w:rPr>
          <w:rFonts w:ascii="Times New Roman" w:hAnsi="Times New Roman"/>
          <w:color w:val="000000" w:themeColor="text1"/>
          <w:sz w:val="28"/>
          <w:szCs w:val="28"/>
        </w:rPr>
        <w:t>17</w:t>
      </w:r>
      <w:r w:rsidRPr="00CC7883">
        <w:rPr>
          <w:rFonts w:ascii="Times New Roman" w:hAnsi="Times New Roman"/>
          <w:color w:val="000000" w:themeColor="text1"/>
          <w:sz w:val="28"/>
          <w:szCs w:val="28"/>
        </w:rPr>
        <w:t>, No. 1. P. 170–174.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Phyo A. K., Chung N.-J. Response of single leaf photosynthesis and transpiration to red light and UV-A radiation in two different plant-type rice cultivars (</w:t>
      </w:r>
      <w:r w:rsidRPr="00CC7883">
        <w:rPr>
          <w:rFonts w:ascii="Times New Roman" w:hAnsi="Times New Roman"/>
          <w:i/>
          <w:color w:val="000000" w:themeColor="text1"/>
          <w:sz w:val="28"/>
          <w:szCs w:val="28"/>
        </w:rPr>
        <w:t xml:space="preserve">Oryza sativa </w:t>
      </w:r>
      <w:r w:rsidRPr="00CC7883">
        <w:rPr>
          <w:rFonts w:ascii="Times New Roman" w:hAnsi="Times New Roman"/>
          <w:color w:val="000000" w:themeColor="text1"/>
          <w:sz w:val="28"/>
          <w:szCs w:val="28"/>
        </w:rPr>
        <w:t>L.).</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Australian Journal of Crop Science</w:t>
      </w:r>
      <w:r w:rsidRPr="00CC7883">
        <w:rPr>
          <w:rFonts w:ascii="Times New Roman" w:hAnsi="Times New Roman"/>
          <w:color w:val="000000" w:themeColor="text1"/>
          <w:sz w:val="28"/>
          <w:szCs w:val="28"/>
        </w:rPr>
        <w:t>. 2013. Vol. 7, No. 1. P. 119–129.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Podwyszyńska M., Trzewik A., Marasek-Ciolakowska A.</w:t>
      </w:r>
      <w:r w:rsidR="004912A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w:t>
      </w:r>
      <w:r w:rsidR="004912AE"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polyploidization of tulips (</w:t>
      </w:r>
      <w:r w:rsidRPr="00CC7883">
        <w:rPr>
          <w:rFonts w:ascii="Times New Roman" w:hAnsi="Times New Roman"/>
          <w:i/>
          <w:color w:val="000000" w:themeColor="text1"/>
          <w:sz w:val="28"/>
          <w:szCs w:val="28"/>
        </w:rPr>
        <w:t>Tulipa gesneriana</w:t>
      </w:r>
      <w:r w:rsidRPr="00CC7883">
        <w:rPr>
          <w:rFonts w:ascii="Times New Roman" w:hAnsi="Times New Roman"/>
          <w:color w:val="000000" w:themeColor="text1"/>
          <w:sz w:val="28"/>
          <w:szCs w:val="28"/>
        </w:rPr>
        <w:t xml:space="preserve"> L.) – phenotype assessment of tetraploids</w:t>
      </w:r>
      <w:r w:rsidRPr="00CC7883">
        <w:rPr>
          <w:rFonts w:ascii="Times New Roman" w:hAnsi="Times New Roman"/>
          <w:i/>
          <w:color w:val="000000" w:themeColor="text1"/>
          <w:sz w:val="28"/>
          <w:szCs w:val="28"/>
        </w:rPr>
        <w:t>. Scientia Horticulturae</w:t>
      </w:r>
      <w:r w:rsidRPr="00CC7883">
        <w:rPr>
          <w:rFonts w:ascii="Times New Roman" w:hAnsi="Times New Roman"/>
          <w:color w:val="000000" w:themeColor="text1"/>
          <w:sz w:val="28"/>
          <w:szCs w:val="28"/>
        </w:rPr>
        <w:t>. 2018. Vol. 242. P. 155–163.</w:t>
      </w:r>
      <w:r w:rsidR="00C53A4E"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 xml:space="preserve">DOI: </w:t>
      </w:r>
      <w:r w:rsidR="009F213C" w:rsidRPr="009F213C">
        <w:rPr>
          <w:rFonts w:ascii="Times New Roman" w:hAnsi="Times New Roman" w:cs="Times New Roman"/>
          <w:sz w:val="28"/>
          <w:szCs w:val="28"/>
        </w:rPr>
        <w:t>https://doi.org/10.1016/j.scienta.2018.07.022</w:t>
      </w:r>
      <w:r w:rsidRPr="00CC7883">
        <w:rPr>
          <w:rFonts w:ascii="Times New Roman" w:hAnsi="Times New Roman"/>
          <w:color w:val="000000" w:themeColor="text1"/>
          <w:sz w:val="28"/>
          <w:szCs w:val="28"/>
        </w:rPr>
        <w:t>.</w:t>
      </w:r>
    </w:p>
    <w:p w:rsidR="009E747E" w:rsidRPr="00CC7883" w:rsidRDefault="009E747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Pompelli M. F. et al. What is the influence of ordinary epidermal cells and stomata on the leaf plasticity of coffee plants grown under full-sun and sh</w:t>
      </w:r>
      <w:r w:rsidR="00BC42C9">
        <w:rPr>
          <w:rFonts w:ascii="Times New Roman" w:hAnsi="Times New Roman"/>
          <w:color w:val="000000" w:themeColor="text1"/>
          <w:sz w:val="28"/>
          <w:szCs w:val="28"/>
          <w:lang w:val="en-US"/>
        </w:rPr>
        <w:t>a</w:t>
      </w:r>
      <w:r w:rsidRPr="00CC7883">
        <w:rPr>
          <w:rFonts w:ascii="Times New Roman" w:hAnsi="Times New Roman"/>
          <w:color w:val="000000" w:themeColor="text1"/>
          <w:sz w:val="28"/>
          <w:szCs w:val="28"/>
        </w:rPr>
        <w:t xml:space="preserve">dy conditions? </w:t>
      </w:r>
      <w:r w:rsidRPr="00CC7883">
        <w:rPr>
          <w:rFonts w:ascii="Times New Roman" w:hAnsi="Times New Roman"/>
          <w:i/>
          <w:color w:val="000000" w:themeColor="text1"/>
          <w:sz w:val="28"/>
          <w:szCs w:val="28"/>
        </w:rPr>
        <w:t>Brazi. J. Biol</w:t>
      </w:r>
      <w:r w:rsidRPr="00CC7883">
        <w:rPr>
          <w:rFonts w:ascii="Times New Roman" w:hAnsi="Times New Roman"/>
          <w:color w:val="000000" w:themeColor="text1"/>
          <w:sz w:val="28"/>
          <w:szCs w:val="28"/>
        </w:rPr>
        <w:t>. 2010. Vol. 70, No. 4. P. 1083–1088.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Poniewozik M., Parzymies M., Szot P. Effect of activated charcoal and ascorbic acid on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morphogenesis and o-dihydroxyphenols content in </w:t>
      </w:r>
      <w:r w:rsidRPr="00CC7883">
        <w:rPr>
          <w:rFonts w:ascii="Times New Roman" w:hAnsi="Times New Roman"/>
          <w:i/>
          <w:color w:val="000000" w:themeColor="text1"/>
          <w:sz w:val="28"/>
          <w:szCs w:val="28"/>
        </w:rPr>
        <w:t>Paphiopedilum insigne</w:t>
      </w:r>
      <w:r w:rsidRPr="00CC7883">
        <w:rPr>
          <w:rFonts w:ascii="Times New Roman" w:hAnsi="Times New Roman"/>
          <w:color w:val="000000" w:themeColor="text1"/>
          <w:sz w:val="28"/>
          <w:szCs w:val="28"/>
        </w:rPr>
        <w:t>.</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Horticultural Science (Prague)</w:t>
      </w:r>
      <w:r w:rsidRPr="00CC7883">
        <w:rPr>
          <w:rFonts w:ascii="Times New Roman" w:hAnsi="Times New Roman"/>
          <w:color w:val="000000" w:themeColor="text1"/>
          <w:sz w:val="28"/>
          <w:szCs w:val="28"/>
        </w:rPr>
        <w:t>. 2022. Vol. 49,</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 P. 48–51.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Poudel P. R., Kataoka I., Mochioka R. Effect of plant growth regulators on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propagation of </w:t>
      </w:r>
      <w:r w:rsidRPr="00CC7883">
        <w:rPr>
          <w:rFonts w:ascii="Times New Roman" w:hAnsi="Times New Roman"/>
          <w:i/>
          <w:color w:val="000000" w:themeColor="text1"/>
          <w:sz w:val="28"/>
          <w:szCs w:val="28"/>
        </w:rPr>
        <w:t>Vitis ficifolia</w:t>
      </w:r>
      <w:r w:rsidRPr="00CC7883">
        <w:rPr>
          <w:rFonts w:ascii="Times New Roman" w:hAnsi="Times New Roman"/>
          <w:color w:val="000000" w:themeColor="text1"/>
          <w:sz w:val="28"/>
          <w:szCs w:val="28"/>
        </w:rPr>
        <w:t xml:space="preserve"> var</w:t>
      </w:r>
      <w:r w:rsidRPr="00CC7883">
        <w:rPr>
          <w:rFonts w:ascii="Times New Roman" w:hAnsi="Times New Roman"/>
          <w:i/>
          <w:color w:val="000000" w:themeColor="text1"/>
          <w:sz w:val="28"/>
          <w:szCs w:val="28"/>
        </w:rPr>
        <w:t>. ganebu</w:t>
      </w:r>
      <w:r w:rsidRPr="00CC7883">
        <w:rPr>
          <w:rFonts w:ascii="Times New Roman" w:hAnsi="Times New Roman"/>
          <w:color w:val="000000" w:themeColor="text1"/>
          <w:sz w:val="28"/>
          <w:szCs w:val="28"/>
        </w:rPr>
        <w:t xml:space="preserve"> and its interspecific hybrid grape.</w:t>
      </w:r>
      <w:r w:rsidR="004912A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Asian Journal of Plant Sciences</w:t>
      </w:r>
      <w:r w:rsidRPr="00CC7883">
        <w:rPr>
          <w:rFonts w:ascii="Times New Roman" w:hAnsi="Times New Roman"/>
          <w:color w:val="000000" w:themeColor="text1"/>
          <w:sz w:val="28"/>
          <w:szCs w:val="28"/>
        </w:rPr>
        <w:t>. 2005. Vol. 4. P. 466–471.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Poudel P., Kataoka I., Mochioka R. Effect of red- and blue-light-emitting diodes on growth and morphogenesis of grapes.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Cell, Tissue and Organ Culture</w:t>
      </w:r>
      <w:r w:rsidRPr="00CC7883">
        <w:rPr>
          <w:rFonts w:ascii="Times New Roman" w:hAnsi="Times New Roman"/>
          <w:color w:val="000000" w:themeColor="text1"/>
          <w:sz w:val="28"/>
          <w:szCs w:val="28"/>
        </w:rPr>
        <w:t>. 2007. Vol. 92, No. 2. P. 147–153. DOI: https://doi.org/10.1007/s11240-007-9317-1.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Pourhassan A., Zarei H., Ghasemi M., Salehi H. A complete micropropagation protocol for black-leaved </w:t>
      </w:r>
      <w:r w:rsidRPr="00CC7883">
        <w:rPr>
          <w:rFonts w:ascii="Times New Roman" w:hAnsi="Times New Roman"/>
          <w:i/>
          <w:color w:val="000000" w:themeColor="text1"/>
          <w:sz w:val="28"/>
          <w:szCs w:val="28"/>
        </w:rPr>
        <w:t>Zamioculcas zamiifolia</w:t>
      </w:r>
      <w:r w:rsidRPr="00CC7883">
        <w:rPr>
          <w:rFonts w:ascii="Times New Roman" w:hAnsi="Times New Roman"/>
          <w:color w:val="000000" w:themeColor="text1"/>
          <w:sz w:val="28"/>
          <w:szCs w:val="28"/>
        </w:rPr>
        <w:t xml:space="preserve"> ‘Dowon’.</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Horticulturae</w:t>
      </w:r>
      <w:r w:rsidRPr="00CC7883">
        <w:rPr>
          <w:rFonts w:ascii="Times New Roman" w:hAnsi="Times New Roman"/>
          <w:color w:val="000000" w:themeColor="text1"/>
          <w:sz w:val="28"/>
          <w:szCs w:val="28"/>
        </w:rPr>
        <w:t>. 2023. Vol. 9,</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4. DOI: https://doi.org/10.3390/horticulturae9040422.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Qahtan A. A., Faisal M., Alatar A. A., Abdel-Salam E. M. High-frequency </w:t>
      </w:r>
      <w:r w:rsidRPr="00CC7883">
        <w:rPr>
          <w:rFonts w:ascii="Times New Roman" w:hAnsi="Times New Roman"/>
          <w:color w:val="000000" w:themeColor="text1"/>
          <w:sz w:val="28"/>
          <w:szCs w:val="28"/>
        </w:rPr>
        <w:lastRenderedPageBreak/>
        <w:t xml:space="preserve">plant regeneration, genetic uniformity, and flow cytometric analysis of regenerants in </w:t>
      </w:r>
      <w:r w:rsidRPr="00CC7883">
        <w:rPr>
          <w:rFonts w:ascii="Times New Roman" w:hAnsi="Times New Roman"/>
          <w:i/>
          <w:color w:val="000000" w:themeColor="text1"/>
          <w:sz w:val="28"/>
          <w:szCs w:val="28"/>
        </w:rPr>
        <w:t>Ruta chalepensis</w:t>
      </w:r>
      <w:r w:rsidRPr="00CC7883">
        <w:rPr>
          <w:rFonts w:ascii="Times New Roman" w:hAnsi="Times New Roman"/>
          <w:color w:val="000000" w:themeColor="text1"/>
          <w:sz w:val="28"/>
          <w:szCs w:val="28"/>
        </w:rPr>
        <w:t xml:space="preserve"> L.</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Plants</w:t>
      </w:r>
      <w:r w:rsidRPr="00CC7883">
        <w:rPr>
          <w:rFonts w:ascii="Times New Roman" w:hAnsi="Times New Roman"/>
          <w:color w:val="000000" w:themeColor="text1"/>
          <w:sz w:val="28"/>
          <w:szCs w:val="28"/>
        </w:rPr>
        <w:t>. 2021. Vol. 10, No. 12. DOI: https://doi.org/10.3390/plants10122820.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Radifarm – біостимулятор росту кореневої системи. Режим доступу: https://organicplanet.store/katalog/dobriva-ta-biostimulyatori/radifarm-radifarm-biostimulyator-rosta-kornevoj-sistemy-ukor2. Дата звернення: 27.11.2025.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Rahimi-Khonakdari M., Rezadoost H., Heydari R., Mirjalili M. H. Effect of photoperiod and plant growth regulators on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mass bulblet proliferation of </w:t>
      </w:r>
      <w:r w:rsidRPr="00CC7883">
        <w:rPr>
          <w:rFonts w:ascii="Times New Roman" w:hAnsi="Times New Roman"/>
          <w:i/>
          <w:color w:val="000000" w:themeColor="text1"/>
          <w:sz w:val="28"/>
          <w:szCs w:val="28"/>
        </w:rPr>
        <w:t>Narcissus tazzeta</w:t>
      </w:r>
      <w:r w:rsidRPr="00CC7883">
        <w:rPr>
          <w:rFonts w:ascii="Times New Roman" w:hAnsi="Times New Roman"/>
          <w:color w:val="000000" w:themeColor="text1"/>
          <w:sz w:val="28"/>
          <w:szCs w:val="28"/>
        </w:rPr>
        <w:t xml:space="preserve"> L. (</w:t>
      </w:r>
      <w:r w:rsidRPr="00CC7883">
        <w:rPr>
          <w:rFonts w:ascii="Times New Roman" w:hAnsi="Times New Roman"/>
          <w:i/>
          <w:color w:val="000000" w:themeColor="text1"/>
          <w:sz w:val="28"/>
          <w:szCs w:val="28"/>
        </w:rPr>
        <w:t>Amaryllidaceae</w:t>
      </w:r>
      <w:r w:rsidRPr="00CC7883">
        <w:rPr>
          <w:rFonts w:ascii="Times New Roman" w:hAnsi="Times New Roman"/>
          <w:color w:val="000000" w:themeColor="text1"/>
          <w:sz w:val="28"/>
          <w:szCs w:val="28"/>
        </w:rPr>
        <w:t>), a potential source of galantamine.</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Cell, Tissue and Organ Culture</w:t>
      </w:r>
      <w:r w:rsidRPr="00CC7883">
        <w:rPr>
          <w:rFonts w:ascii="Times New Roman" w:hAnsi="Times New Roman"/>
          <w:color w:val="000000" w:themeColor="text1"/>
          <w:sz w:val="28"/>
          <w:szCs w:val="28"/>
        </w:rPr>
        <w:t>. 2020. Vol. 142, No. 1. P. 187–199. DOI: https://doi.org/10.1007/s11240-020-01853-y.</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Rathnasamy S. A., Kambale R., Elangovan A., Mohanavel W., Shanmugavel P., Ramasamy G., Alagarsamy S., Marimuthu R., Rajagopalan V. R., Manickam S. </w:t>
      </w:r>
      <w:r w:rsidR="00FD664E" w:rsidRPr="00CC7883">
        <w:rPr>
          <w:rFonts w:ascii="Times New Roman" w:hAnsi="Times New Roman"/>
          <w:color w:val="000000" w:themeColor="text1"/>
          <w:sz w:val="28"/>
          <w:szCs w:val="28"/>
        </w:rPr>
        <w:t>et al</w:t>
      </w:r>
      <w:r w:rsidRPr="00CC7883">
        <w:rPr>
          <w:rFonts w:ascii="Times New Roman" w:hAnsi="Times New Roman"/>
          <w:color w:val="000000" w:themeColor="text1"/>
          <w:sz w:val="28"/>
          <w:szCs w:val="28"/>
        </w:rPr>
        <w:t>. Altering stomatal density for manipulating transpiration and photosynthetic traits in rice through CRISPR/Cas9 mutagenesis.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Current Issues in Molecular Biology</w:t>
      </w:r>
      <w:r w:rsidRPr="00CC7883">
        <w:rPr>
          <w:rFonts w:ascii="Times New Roman" w:hAnsi="Times New Roman"/>
          <w:color w:val="000000" w:themeColor="text1"/>
          <w:sz w:val="28"/>
          <w:szCs w:val="28"/>
        </w:rPr>
        <w:t>. 2023. Vol. 45, No. 5. P. 3801–3814. DOI: https://doi.org/10.3390/cimb45050245.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Rehana S., Ahmed F. Y. H., Zeba N., Husna A. Effect of sunlight and artificial light on micropropagation of potato (</w:t>
      </w:r>
      <w:r w:rsidRPr="00CC7883">
        <w:rPr>
          <w:rFonts w:ascii="Times New Roman" w:hAnsi="Times New Roman"/>
          <w:i/>
          <w:color w:val="000000" w:themeColor="text1"/>
          <w:sz w:val="28"/>
          <w:szCs w:val="28"/>
        </w:rPr>
        <w:t>Solanum tuberosum</w:t>
      </w:r>
      <w:r w:rsidRPr="00CC7883">
        <w:rPr>
          <w:rFonts w:ascii="Times New Roman" w:hAnsi="Times New Roman"/>
          <w:color w:val="000000" w:themeColor="text1"/>
          <w:sz w:val="28"/>
          <w:szCs w:val="28"/>
        </w:rPr>
        <w:t xml:space="preserve"> L.) plantlets.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Archives of Agriculture and Environmental Science</w:t>
      </w:r>
      <w:r w:rsidRPr="00CC7883">
        <w:rPr>
          <w:rFonts w:ascii="Times New Roman" w:hAnsi="Times New Roman"/>
          <w:color w:val="000000" w:themeColor="text1"/>
          <w:sz w:val="28"/>
          <w:szCs w:val="28"/>
        </w:rPr>
        <w:t>. 2018. Vol. 3, No. 2. P. 151–156. DOI:</w:t>
      </w:r>
      <w:r w:rsidR="00BC42C9">
        <w:rPr>
          <w:rFonts w:ascii="Times New Roman" w:hAnsi="Times New Roman"/>
          <w:color w:val="000000" w:themeColor="text1"/>
          <w:sz w:val="28"/>
          <w:szCs w:val="28"/>
          <w:lang w:val="en-US"/>
        </w:rPr>
        <w:t xml:space="preserve"> </w:t>
      </w:r>
      <w:r w:rsidRPr="00CC7883">
        <w:rPr>
          <w:rFonts w:ascii="Times New Roman" w:hAnsi="Times New Roman"/>
          <w:color w:val="000000" w:themeColor="text1"/>
          <w:sz w:val="28"/>
          <w:szCs w:val="28"/>
        </w:rPr>
        <w:t>10.26832/24566632.2018.030208.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Reisdörfer-Schorr M., Ikeda A. C., de-Alcantara G. B. Influence of sucrose and medium consistency on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multiplication and photosynthetic pigment profile of </w:t>
      </w:r>
      <w:r w:rsidRPr="00CC7883">
        <w:rPr>
          <w:rFonts w:ascii="Times New Roman" w:hAnsi="Times New Roman"/>
          <w:i/>
          <w:color w:val="000000" w:themeColor="text1"/>
          <w:sz w:val="28"/>
          <w:szCs w:val="28"/>
        </w:rPr>
        <w:t>Eucalyptus saligna</w:t>
      </w:r>
      <w:r w:rsidRPr="00CC7883">
        <w:rPr>
          <w:rFonts w:ascii="Times New Roman" w:hAnsi="Times New Roman"/>
          <w:color w:val="000000" w:themeColor="text1"/>
          <w:sz w:val="28"/>
          <w:szCs w:val="28"/>
        </w:rPr>
        <w:t>.</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Bosque</w:t>
      </w:r>
      <w:r w:rsidRPr="00CC7883">
        <w:rPr>
          <w:rFonts w:ascii="Times New Roman" w:hAnsi="Times New Roman"/>
          <w:color w:val="000000" w:themeColor="text1"/>
          <w:sz w:val="28"/>
          <w:szCs w:val="28"/>
        </w:rPr>
        <w:t>. 2023. Vol. 44,</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3. P. 573–580. DOI: https://doi.org/10.4067/S0717-92002023000300573.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Roubelakis-Angelakis K. A., Zivanovic S. I. A new culture medium for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rhizogenesis of grapevine (</w:t>
      </w:r>
      <w:r w:rsidRPr="00CC7883">
        <w:rPr>
          <w:rFonts w:ascii="Times New Roman" w:hAnsi="Times New Roman"/>
          <w:i/>
          <w:color w:val="000000" w:themeColor="text1"/>
          <w:sz w:val="28"/>
          <w:szCs w:val="28"/>
        </w:rPr>
        <w:t>Vitis</w:t>
      </w:r>
      <w:r w:rsidRPr="00CC7883">
        <w:rPr>
          <w:rFonts w:ascii="Times New Roman" w:hAnsi="Times New Roman"/>
          <w:color w:val="000000" w:themeColor="text1"/>
          <w:sz w:val="28"/>
          <w:szCs w:val="28"/>
        </w:rPr>
        <w:t xml:space="preserve"> spp.) genotypes.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HortScience</w:t>
      </w:r>
      <w:r w:rsidRPr="00CC7883">
        <w:rPr>
          <w:rFonts w:ascii="Times New Roman" w:hAnsi="Times New Roman"/>
          <w:color w:val="000000" w:themeColor="text1"/>
          <w:sz w:val="28"/>
          <w:szCs w:val="28"/>
        </w:rPr>
        <w:t>. 1991. Vol. 26,</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12. P. 1551–1553. DOI: https://doi.org/10.21273/HORTSCI.26.12.1551.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Sadeghi F., Yadollahi A., Kermani M. J., Eftekhari M. Optimizing culture media for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proliferation and rooting of Tetra (</w:t>
      </w:r>
      <w:r w:rsidRPr="00CC7883">
        <w:rPr>
          <w:rFonts w:ascii="Times New Roman" w:hAnsi="Times New Roman"/>
          <w:i/>
          <w:color w:val="000000" w:themeColor="text1"/>
          <w:sz w:val="28"/>
          <w:szCs w:val="28"/>
        </w:rPr>
        <w:t>Prunus empyrean</w:t>
      </w:r>
      <w:r w:rsidRPr="00CC7883">
        <w:rPr>
          <w:rFonts w:ascii="Times New Roman" w:hAnsi="Times New Roman"/>
          <w:color w:val="000000" w:themeColor="text1"/>
          <w:sz w:val="28"/>
          <w:szCs w:val="28"/>
        </w:rPr>
        <w:t>) rootstock.</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lastRenderedPageBreak/>
        <w:t>Journal of Genetic Engineering and Biotechnology</w:t>
      </w:r>
      <w:r w:rsidRPr="00CC7883">
        <w:rPr>
          <w:rFonts w:ascii="Times New Roman" w:hAnsi="Times New Roman"/>
          <w:color w:val="000000" w:themeColor="text1"/>
          <w:sz w:val="28"/>
          <w:szCs w:val="28"/>
        </w:rPr>
        <w:t>. 2015. Vol. 13, No. 1. P. 19–23. DOI: https://doi.org/10.1016/j.jgeb.2014.12.006.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Saeedi S. A., Vahdati K., Sarikhani S., Daylami S. D., Davarzani M., Gruda N. S., Aliniaeifard S. Growth, photosynthetic function, and stomatal characteristics of Persian walnut explants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under different light spectra.</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Frontiers in Plant Science</w:t>
      </w:r>
      <w:r w:rsidRPr="00CC7883">
        <w:rPr>
          <w:rFonts w:ascii="Times New Roman" w:hAnsi="Times New Roman"/>
          <w:color w:val="000000" w:themeColor="text1"/>
          <w:sz w:val="28"/>
          <w:szCs w:val="28"/>
        </w:rPr>
        <w:t>. 2023. Vol. 14. DOI: https://doi.org/10.3389/fpls.2023.1292045.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Sahraroo A., Zarei A., Babalar M. </w:t>
      </w:r>
      <w:r w:rsidRPr="00CC7883">
        <w:rPr>
          <w:rFonts w:ascii="Times New Roman" w:hAnsi="Times New Roman"/>
          <w:i/>
          <w:color w:val="000000" w:themeColor="text1"/>
          <w:sz w:val="28"/>
          <w:szCs w:val="28"/>
        </w:rPr>
        <w:t>In</w:t>
      </w:r>
      <w:r w:rsidR="004912AE"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regeneration of the isolated shoot apical meristem of two commercial fig cultivars ‘Sabz’ and ‘Jaami-e-Kan’.</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Biocatalysis and Agricultural Biotechnology</w:t>
      </w:r>
      <w:r w:rsidRPr="00CC7883">
        <w:rPr>
          <w:rFonts w:ascii="Times New Roman" w:hAnsi="Times New Roman"/>
          <w:color w:val="000000" w:themeColor="text1"/>
          <w:sz w:val="28"/>
          <w:szCs w:val="28"/>
        </w:rPr>
        <w:t>. 2019. Vol. 17. P. 743–749. DOI: https://doi.org/10.1016/j.bcab.2019.01.024.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Sajid G. M., Kashif M., Anwar R. Effect of diverse hormonal regimes on </w:t>
      </w:r>
      <w:r w:rsidRPr="00CC7883">
        <w:rPr>
          <w:rFonts w:ascii="Times New Roman" w:hAnsi="Times New Roman"/>
          <w:i/>
          <w:color w:val="000000" w:themeColor="text1"/>
          <w:sz w:val="28"/>
          <w:szCs w:val="28"/>
        </w:rPr>
        <w:t>in vitro</w:t>
      </w:r>
      <w:r w:rsidRPr="00CC7883">
        <w:rPr>
          <w:rFonts w:ascii="Times New Roman" w:hAnsi="Times New Roman"/>
          <w:color w:val="000000" w:themeColor="text1"/>
          <w:sz w:val="28"/>
          <w:szCs w:val="28"/>
        </w:rPr>
        <w:t xml:space="preserve"> growth of grape germplasm.</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Pakistan Journal of Botany</w:t>
      </w:r>
      <w:r w:rsidRPr="00CC7883">
        <w:rPr>
          <w:rFonts w:ascii="Times New Roman" w:hAnsi="Times New Roman"/>
          <w:color w:val="000000" w:themeColor="text1"/>
          <w:sz w:val="28"/>
          <w:szCs w:val="28"/>
        </w:rPr>
        <w:t>. 2006. Vol. 38,</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2. P. 385–391.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Samake G., Folega F., Kansaye A., Wang H. </w:t>
      </w:r>
      <w:r w:rsidRPr="00CC7883">
        <w:rPr>
          <w:rFonts w:ascii="Times New Roman" w:hAnsi="Times New Roman"/>
          <w:i/>
          <w:color w:val="000000" w:themeColor="text1"/>
          <w:sz w:val="28"/>
          <w:szCs w:val="28"/>
        </w:rPr>
        <w:t>In</w:t>
      </w:r>
      <w:r w:rsidR="004912AE"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regeneration of </w:t>
      </w:r>
      <w:r w:rsidRPr="00CC7883">
        <w:rPr>
          <w:rFonts w:ascii="Times New Roman" w:hAnsi="Times New Roman"/>
          <w:i/>
          <w:color w:val="000000" w:themeColor="text1"/>
          <w:sz w:val="28"/>
          <w:szCs w:val="28"/>
        </w:rPr>
        <w:t>Acacia nilotica</w:t>
      </w:r>
      <w:r w:rsidRPr="00CC7883">
        <w:rPr>
          <w:rFonts w:ascii="Times New Roman" w:hAnsi="Times New Roman"/>
          <w:color w:val="000000" w:themeColor="text1"/>
          <w:sz w:val="28"/>
          <w:szCs w:val="28"/>
        </w:rPr>
        <w:t xml:space="preserve"> on wood plant versus B5 media.</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Agriculture, Biotechnology &amp; Ecology</w:t>
      </w:r>
      <w:r w:rsidRPr="00CC7883">
        <w:rPr>
          <w:rFonts w:ascii="Times New Roman" w:hAnsi="Times New Roman"/>
          <w:color w:val="000000" w:themeColor="text1"/>
          <w:sz w:val="28"/>
          <w:szCs w:val="28"/>
        </w:rPr>
        <w:t>. 2011. Vol. 4,</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2. P. 64–75.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Sarjiyah S., Guretna T., Samidjo G. S. Effects of exogenous auxin on stem cutting growth of tea (</w:t>
      </w:r>
      <w:r w:rsidRPr="00CC7883">
        <w:rPr>
          <w:rFonts w:ascii="Times New Roman" w:hAnsi="Times New Roman"/>
          <w:i/>
          <w:color w:val="000000" w:themeColor="text1"/>
          <w:sz w:val="28"/>
          <w:szCs w:val="28"/>
        </w:rPr>
        <w:t>Camellia sinensis</w:t>
      </w:r>
      <w:r w:rsidRPr="00CC7883">
        <w:rPr>
          <w:rFonts w:ascii="Times New Roman" w:hAnsi="Times New Roman"/>
          <w:color w:val="000000" w:themeColor="text1"/>
          <w:sz w:val="28"/>
          <w:szCs w:val="28"/>
        </w:rPr>
        <w:t>).</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IOP Conference Series: Earth and Environmental Science</w:t>
      </w:r>
      <w:r w:rsidRPr="00CC7883">
        <w:rPr>
          <w:rFonts w:ascii="Times New Roman" w:hAnsi="Times New Roman"/>
          <w:color w:val="000000" w:themeColor="text1"/>
          <w:sz w:val="28"/>
          <w:szCs w:val="28"/>
        </w:rPr>
        <w:t>. 2020. Vol. 458. P. 1–5. DOI: https://doi.org/10.1088/1755-1315/458/1/012037.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Sevik H., Guney K. Effects of IAA, IBA, NAA, and GA₃ on rooting and morphological features of </w:t>
      </w:r>
      <w:r w:rsidRPr="00CC7883">
        <w:rPr>
          <w:rFonts w:ascii="Times New Roman" w:hAnsi="Times New Roman"/>
          <w:i/>
          <w:color w:val="000000" w:themeColor="text1"/>
          <w:sz w:val="28"/>
          <w:szCs w:val="28"/>
        </w:rPr>
        <w:t>Melissa officinalis</w:t>
      </w:r>
      <w:r w:rsidRPr="00CC7883">
        <w:rPr>
          <w:rFonts w:ascii="Times New Roman" w:hAnsi="Times New Roman"/>
          <w:color w:val="000000" w:themeColor="text1"/>
          <w:sz w:val="28"/>
          <w:szCs w:val="28"/>
        </w:rPr>
        <w:t xml:space="preserve"> L. stem cuttings.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The Scientific World Journal</w:t>
      </w:r>
      <w:r w:rsidRPr="00CC7883">
        <w:rPr>
          <w:rFonts w:ascii="Times New Roman" w:hAnsi="Times New Roman"/>
          <w:color w:val="000000" w:themeColor="text1"/>
          <w:sz w:val="28"/>
          <w:szCs w:val="28"/>
        </w:rPr>
        <w:t>. 2013. DOI: https://doi.org/10.1155/2013/909507.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Shareefa M., Thomas R. J., Sreelekshmi J. S., Anitha K. Occurrence of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flowering in coconut (</w:t>
      </w:r>
      <w:r w:rsidRPr="00CC7883">
        <w:rPr>
          <w:rFonts w:ascii="Times New Roman" w:hAnsi="Times New Roman"/>
          <w:i/>
          <w:color w:val="000000" w:themeColor="text1"/>
          <w:sz w:val="28"/>
          <w:szCs w:val="28"/>
        </w:rPr>
        <w:t>Cocos nucifera</w:t>
      </w:r>
      <w:r w:rsidRPr="00CC7883">
        <w:rPr>
          <w:rFonts w:ascii="Times New Roman" w:hAnsi="Times New Roman"/>
          <w:color w:val="000000" w:themeColor="text1"/>
          <w:sz w:val="28"/>
          <w:szCs w:val="28"/>
        </w:rPr>
        <w:t xml:space="preserve"> L.).</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Horticultural Sciences</w:t>
      </w:r>
      <w:r w:rsidRPr="00CC7883">
        <w:rPr>
          <w:rFonts w:ascii="Times New Roman" w:hAnsi="Times New Roman"/>
          <w:color w:val="000000" w:themeColor="text1"/>
          <w:sz w:val="28"/>
          <w:szCs w:val="28"/>
        </w:rPr>
        <w:t>. 2022. Vol. 17, No. 1. DOI: https://doi.org/10.24154/jhs.v17i1.763.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Shin K. S., Murthy H. N., Heo J. W. </w:t>
      </w:r>
      <w:r w:rsidR="00FD664E" w:rsidRPr="00CC7883">
        <w:rPr>
          <w:rFonts w:ascii="Times New Roman" w:hAnsi="Times New Roman"/>
          <w:color w:val="000000" w:themeColor="text1"/>
          <w:sz w:val="28"/>
          <w:szCs w:val="28"/>
        </w:rPr>
        <w:t>et al</w:t>
      </w:r>
      <w:r w:rsidRPr="00CC7883">
        <w:rPr>
          <w:rFonts w:ascii="Times New Roman" w:hAnsi="Times New Roman"/>
          <w:color w:val="000000" w:themeColor="text1"/>
          <w:sz w:val="28"/>
          <w:szCs w:val="28"/>
        </w:rPr>
        <w:t xml:space="preserve">. The effect of light quality on the growth and development of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cultured </w:t>
      </w:r>
      <w:r w:rsidRPr="00CC7883">
        <w:rPr>
          <w:rFonts w:ascii="Times New Roman" w:hAnsi="Times New Roman"/>
          <w:i/>
          <w:color w:val="000000" w:themeColor="text1"/>
          <w:sz w:val="28"/>
          <w:szCs w:val="28"/>
        </w:rPr>
        <w:t>Doritaenopsis</w:t>
      </w:r>
      <w:r w:rsidRPr="00CC7883">
        <w:rPr>
          <w:rFonts w:ascii="Times New Roman" w:hAnsi="Times New Roman"/>
          <w:color w:val="000000" w:themeColor="text1"/>
          <w:sz w:val="28"/>
          <w:szCs w:val="28"/>
        </w:rPr>
        <w:t xml:space="preserve"> plants.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Acta Physiologiae Plantarum</w:t>
      </w:r>
      <w:r w:rsidRPr="00CC7883">
        <w:rPr>
          <w:rFonts w:ascii="Times New Roman" w:hAnsi="Times New Roman"/>
          <w:color w:val="000000" w:themeColor="text1"/>
          <w:sz w:val="28"/>
          <w:szCs w:val="28"/>
        </w:rPr>
        <w:t>. 2008. Vol. 30. P. 339–343. DOI: https://doi.org/10.1007/s11738-007-0128-0.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lastRenderedPageBreak/>
        <w:t xml:space="preserve">Shirin F., Parihar N. S., Shah S. N. Effect of nutrient media and KNO₃ on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plant regeneration in </w:t>
      </w:r>
      <w:r w:rsidRPr="00CC7883">
        <w:rPr>
          <w:rFonts w:ascii="Times New Roman" w:hAnsi="Times New Roman"/>
          <w:i/>
          <w:color w:val="000000" w:themeColor="text1"/>
          <w:sz w:val="28"/>
          <w:szCs w:val="28"/>
        </w:rPr>
        <w:t>Saraca asoca</w:t>
      </w:r>
      <w:r w:rsidRPr="00CC7883">
        <w:rPr>
          <w:rFonts w:ascii="Times New Roman" w:hAnsi="Times New Roman"/>
          <w:color w:val="000000" w:themeColor="text1"/>
          <w:sz w:val="28"/>
          <w:szCs w:val="28"/>
        </w:rPr>
        <w:t xml:space="preserve"> (Roxb.) Willd. </w:t>
      </w:r>
      <w:r w:rsidRPr="00CC7883">
        <w:rPr>
          <w:rFonts w:ascii="Times New Roman" w:hAnsi="Times New Roman"/>
          <w:i/>
          <w:color w:val="000000" w:themeColor="text1"/>
          <w:sz w:val="28"/>
          <w:szCs w:val="28"/>
        </w:rPr>
        <w:t>American Journal of Plant Sciences</w:t>
      </w:r>
      <w:r w:rsidRPr="00CC7883">
        <w:rPr>
          <w:rFonts w:ascii="Times New Roman" w:hAnsi="Times New Roman"/>
          <w:color w:val="000000" w:themeColor="text1"/>
          <w:sz w:val="28"/>
          <w:szCs w:val="28"/>
        </w:rPr>
        <w:t>. 2015. Vol. 6,</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Silva A. L. L., Oliveira Y., Costa J. L., Scheidt G. N., Carvalho D. C., Santos J. D., Guerra E. P. Pré-aclimatização e aclimatização em cultivo hidropônico de plantas micropropagadas de </w:t>
      </w:r>
      <w:r w:rsidRPr="00CC7883">
        <w:rPr>
          <w:rFonts w:ascii="Times New Roman" w:hAnsi="Times New Roman"/>
          <w:i/>
          <w:color w:val="000000" w:themeColor="text1"/>
          <w:sz w:val="28"/>
          <w:szCs w:val="28"/>
        </w:rPr>
        <w:t>Eucalyptus saligna</w:t>
      </w:r>
      <w:r w:rsidRPr="00CC7883">
        <w:rPr>
          <w:rFonts w:ascii="Times New Roman" w:hAnsi="Times New Roman"/>
          <w:color w:val="000000" w:themeColor="text1"/>
          <w:sz w:val="28"/>
          <w:szCs w:val="28"/>
        </w:rPr>
        <w:t xml:space="preserve"> Sm. </w:t>
      </w:r>
      <w:r w:rsidRPr="00CC7883">
        <w:rPr>
          <w:rFonts w:ascii="Times New Roman" w:hAnsi="Times New Roman"/>
          <w:i/>
          <w:color w:val="000000" w:themeColor="text1"/>
          <w:sz w:val="28"/>
          <w:szCs w:val="28"/>
        </w:rPr>
        <w:t>Revista Acadêmica: Ciências Agrárias e Ambientais</w:t>
      </w:r>
      <w:r w:rsidRPr="00CC7883">
        <w:rPr>
          <w:rFonts w:ascii="Times New Roman" w:hAnsi="Times New Roman"/>
          <w:color w:val="000000" w:themeColor="text1"/>
          <w:sz w:val="28"/>
          <w:szCs w:val="28"/>
        </w:rPr>
        <w:t>. 2011. Vol. 9, No. 2. P. 179–184.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Silva A. L., Doazan J. P. Une méthode d’irradition aux rayons gamma appliquée à des porte-greffes de vigne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w:t>
      </w:r>
      <w:r w:rsidR="004912A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International des Sciences de la Vigne et du Vin</w:t>
      </w:r>
      <w:r w:rsidRPr="00CC7883">
        <w:rPr>
          <w:rFonts w:ascii="Times New Roman" w:hAnsi="Times New Roman"/>
          <w:color w:val="000000" w:themeColor="text1"/>
          <w:sz w:val="28"/>
          <w:szCs w:val="28"/>
        </w:rPr>
        <w:t>. 1995. Vol. 29. P. 1–9.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Silva L. A. S., Costa A. O., Batista D. S., Silva M. L., Costa Netto A. P., Rocha D. I. Exogenous gibberellin and cytokinin in a novel system for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germination and development of African iris (</w:t>
      </w:r>
      <w:r w:rsidRPr="00CC7883">
        <w:rPr>
          <w:rFonts w:ascii="Times New Roman" w:hAnsi="Times New Roman"/>
          <w:i/>
          <w:color w:val="000000" w:themeColor="text1"/>
          <w:sz w:val="28"/>
          <w:szCs w:val="28"/>
        </w:rPr>
        <w:t>Dietes bicolor</w:t>
      </w:r>
      <w:r w:rsidRPr="00CC7883">
        <w:rPr>
          <w:rFonts w:ascii="Times New Roman" w:hAnsi="Times New Roman"/>
          <w:color w:val="000000" w:themeColor="text1"/>
          <w:sz w:val="28"/>
          <w:szCs w:val="28"/>
        </w:rPr>
        <w:t>).</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Revista Ceres</w:t>
      </w:r>
      <w:r w:rsidRPr="00CC7883">
        <w:rPr>
          <w:rFonts w:ascii="Times New Roman" w:hAnsi="Times New Roman"/>
          <w:color w:val="000000" w:themeColor="text1"/>
          <w:sz w:val="28"/>
          <w:szCs w:val="28"/>
        </w:rPr>
        <w:t>. 2020. Vol. 67, No. 5. P. 473–480. DOI: https://doi.org/10.1590/0034-737X202067050008.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Silvestri C., Caceres M. E., Ceccarelli M., Pica A. L., Rugini E., Cristofori V. Influence of continuous spectrum light on morphological traits and leaf anatomy of hazelnut plantlets.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Frontiers in Plant Science</w:t>
      </w:r>
      <w:r w:rsidRPr="00CC7883">
        <w:rPr>
          <w:rFonts w:ascii="Times New Roman" w:hAnsi="Times New Roman"/>
          <w:color w:val="000000" w:themeColor="text1"/>
          <w:sz w:val="28"/>
          <w:szCs w:val="28"/>
        </w:rPr>
        <w:t>. 2019. Vol. 10. DOI: https://doi.org/10.3389/fpls.2019.01318.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Simkin A. J., Kapoor L., Priya Doss C. G., Hofmann T. A., Lawson T., Ramamoorthy S. The role of photosynthesis related pigments in light harvesting, photoprotection and enhancement of photosynthetic yield in planta.</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Photosynthesis Research</w:t>
      </w:r>
      <w:r w:rsidRPr="00CC7883">
        <w:rPr>
          <w:rFonts w:ascii="Times New Roman" w:hAnsi="Times New Roman"/>
          <w:color w:val="000000" w:themeColor="text1"/>
          <w:sz w:val="28"/>
          <w:szCs w:val="28"/>
        </w:rPr>
        <w:t>. 2022. DOI: https://doi.org/10.1007/s11120-021-00892-6.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Sonawane B. V., Koteyeva N. K., Johnson D. M., Cousins A. B. Differences in leaf anatomy determines temperature response of leaf hydraulic and mesophyll CO₂ conductance in phylogenetically related C₄ and C₃ grass species.</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New Phytologist</w:t>
      </w:r>
      <w:r w:rsidRPr="00CC7883">
        <w:rPr>
          <w:rFonts w:ascii="Times New Roman" w:hAnsi="Times New Roman"/>
          <w:color w:val="000000" w:themeColor="text1"/>
          <w:sz w:val="28"/>
          <w:szCs w:val="28"/>
        </w:rPr>
        <w:t>. 2021. Vol. 230,</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5. P. 1802–1814.</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Sota V., Kongjika E. The effect of nutrient media in micropropagation and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conservation of wild population of mahaleb cherry (</w:t>
      </w:r>
      <w:r w:rsidRPr="00CC7883">
        <w:rPr>
          <w:rFonts w:ascii="Times New Roman" w:hAnsi="Times New Roman"/>
          <w:i/>
          <w:color w:val="000000" w:themeColor="text1"/>
          <w:sz w:val="28"/>
          <w:szCs w:val="28"/>
        </w:rPr>
        <w:t>Prunus mahaleb</w:t>
      </w:r>
      <w:r w:rsidRPr="00CC7883">
        <w:rPr>
          <w:rFonts w:ascii="Times New Roman" w:hAnsi="Times New Roman"/>
          <w:color w:val="000000" w:themeColor="text1"/>
          <w:sz w:val="28"/>
          <w:szCs w:val="28"/>
        </w:rPr>
        <w:t xml:space="preserve"> L.).</w:t>
      </w:r>
      <w:r w:rsidR="00C53A4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Microbiology, Biotechnology and Food Sciences</w:t>
      </w:r>
      <w:r w:rsidRPr="00CC7883">
        <w:rPr>
          <w:rFonts w:ascii="Times New Roman" w:hAnsi="Times New Roman"/>
          <w:color w:val="000000" w:themeColor="text1"/>
          <w:sz w:val="28"/>
          <w:szCs w:val="28"/>
        </w:rPr>
        <w:t xml:space="preserve">. 2014. Vol. 3, No. 6. P. </w:t>
      </w:r>
      <w:r w:rsidRPr="00CC7883">
        <w:rPr>
          <w:rFonts w:ascii="Times New Roman" w:hAnsi="Times New Roman"/>
          <w:color w:val="000000" w:themeColor="text1"/>
          <w:sz w:val="28"/>
          <w:szCs w:val="28"/>
        </w:rPr>
        <w:lastRenderedPageBreak/>
        <w:t>453–456.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Souza J. A., Bettoni J. C., Costa M. D., Baldissera T. C., Passos J. F. M. D., Primieri S. 3-IAA on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and acclimatization of apple rootstock.</w:t>
      </w:r>
      <w:r w:rsidR="004912A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Communications in Plant Sciences</w:t>
      </w:r>
      <w:r w:rsidRPr="00CC7883">
        <w:rPr>
          <w:rFonts w:ascii="Times New Roman" w:hAnsi="Times New Roman"/>
          <w:color w:val="000000" w:themeColor="text1"/>
          <w:sz w:val="28"/>
          <w:szCs w:val="28"/>
        </w:rPr>
        <w:t>. 2022. Vol. 12. P. 16–23. DOI: https://doi.org/10.26814/cps2022003.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Sreelekshmi R., Siril E. A. Effective reversal of hyperhydricity leading to efficient micropropagation of </w:t>
      </w:r>
      <w:r w:rsidRPr="00CC7883">
        <w:rPr>
          <w:rFonts w:ascii="Times New Roman" w:hAnsi="Times New Roman"/>
          <w:i/>
          <w:color w:val="000000" w:themeColor="text1"/>
          <w:sz w:val="28"/>
          <w:szCs w:val="28"/>
        </w:rPr>
        <w:t>Dianthus chinensis</w:t>
      </w:r>
      <w:r w:rsidRPr="00CC7883">
        <w:rPr>
          <w:rFonts w:ascii="Times New Roman" w:hAnsi="Times New Roman"/>
          <w:color w:val="000000" w:themeColor="text1"/>
          <w:sz w:val="28"/>
          <w:szCs w:val="28"/>
        </w:rPr>
        <w:t xml:space="preserve"> L.</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3 Biotech</w:t>
      </w:r>
      <w:r w:rsidRPr="00CC7883">
        <w:rPr>
          <w:rFonts w:ascii="Times New Roman" w:hAnsi="Times New Roman"/>
          <w:color w:val="000000" w:themeColor="text1"/>
          <w:sz w:val="28"/>
          <w:szCs w:val="28"/>
        </w:rPr>
        <w:t>. 2021. Vol. 11, No. 2.</w:t>
      </w:r>
      <w:r w:rsidR="00BC42C9">
        <w:rPr>
          <w:rFonts w:ascii="Times New Roman" w:hAnsi="Times New Roman"/>
          <w:color w:val="000000" w:themeColor="text1"/>
          <w:sz w:val="28"/>
          <w:szCs w:val="28"/>
          <w:lang w:val="en-US"/>
        </w:rPr>
        <w:t xml:space="preserve"> </w:t>
      </w:r>
      <w:r w:rsidRPr="00CC7883">
        <w:rPr>
          <w:rFonts w:ascii="Times New Roman" w:hAnsi="Times New Roman"/>
          <w:color w:val="000000" w:themeColor="text1"/>
          <w:sz w:val="28"/>
          <w:szCs w:val="28"/>
        </w:rPr>
        <w:t xml:space="preserve">DOI: </w:t>
      </w:r>
      <w:hyperlink r:id="rId203" w:history="1">
        <w:r w:rsidRPr="009F213C">
          <w:rPr>
            <w:rStyle w:val="af3"/>
            <w:rFonts w:ascii="Times New Roman" w:hAnsi="Times New Roman"/>
            <w:color w:val="000000" w:themeColor="text1"/>
            <w:sz w:val="28"/>
            <w:szCs w:val="28"/>
            <w:u w:val="none"/>
          </w:rPr>
          <w:t>https://doi.org/10.1007/s13205-021-02645-7</w:t>
        </w:r>
      </w:hyperlink>
      <w:r w:rsidRPr="00CC7883">
        <w:rPr>
          <w:rFonts w:ascii="Times New Roman" w:hAnsi="Times New Roman"/>
          <w:color w:val="000000" w:themeColor="text1"/>
          <w:sz w:val="28"/>
          <w:szCs w:val="28"/>
        </w:rPr>
        <w: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Striganavičiūtė G., Žiauka J., Sirgedaitė-Šėžienė V., Vaitiekūnaitė D. Impact of plant-associated bacteria on the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growth and pathogenic resistance against </w:t>
      </w:r>
      <w:r w:rsidRPr="00CC7883">
        <w:rPr>
          <w:rStyle w:val="af1"/>
          <w:rFonts w:ascii="Times New Roman" w:hAnsi="Times New Roman"/>
          <w:color w:val="000000" w:themeColor="text1"/>
          <w:sz w:val="28"/>
          <w:szCs w:val="28"/>
        </w:rPr>
        <w:t>Phellinus tremulae</w:t>
      </w:r>
      <w:r w:rsidRPr="00CC7883">
        <w:rPr>
          <w:rFonts w:ascii="Times New Roman" w:hAnsi="Times New Roman"/>
          <w:color w:val="000000" w:themeColor="text1"/>
          <w:sz w:val="28"/>
          <w:szCs w:val="28"/>
        </w:rPr>
        <w:t xml:space="preserve"> of different aspen (</w:t>
      </w:r>
      <w:r w:rsidRPr="00CC7883">
        <w:rPr>
          <w:rStyle w:val="af1"/>
          <w:rFonts w:ascii="Times New Roman" w:hAnsi="Times New Roman"/>
          <w:color w:val="000000" w:themeColor="text1"/>
          <w:sz w:val="28"/>
          <w:szCs w:val="28"/>
        </w:rPr>
        <w:t>Populus</w:t>
      </w:r>
      <w:r w:rsidRPr="00CC7883">
        <w:rPr>
          <w:rFonts w:ascii="Times New Roman" w:hAnsi="Times New Roman"/>
          <w:color w:val="000000" w:themeColor="text1"/>
          <w:sz w:val="28"/>
          <w:szCs w:val="28"/>
        </w:rPr>
        <w:t xml:space="preserve">) genotypes. </w:t>
      </w:r>
      <w:r w:rsidRPr="00CC7883">
        <w:rPr>
          <w:rStyle w:val="af1"/>
          <w:rFonts w:ascii="Times New Roman" w:hAnsi="Times New Roman"/>
          <w:color w:val="000000" w:themeColor="text1"/>
          <w:sz w:val="28"/>
          <w:szCs w:val="28"/>
        </w:rPr>
        <w:t>Microorganisms</w:t>
      </w:r>
      <w:r w:rsidRPr="00CC7883">
        <w:rPr>
          <w:rFonts w:ascii="Times New Roman" w:hAnsi="Times New Roman"/>
          <w:color w:val="000000" w:themeColor="text1"/>
          <w:sz w:val="28"/>
          <w:szCs w:val="28"/>
        </w:rPr>
        <w:t>. 2021. Vol. 9, No. 9. Article 1901. DOI: https://doi.org/10.3390/microorganisms9091901.</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Sulusoglu M. Effects of agar types on rooting performance in tissue culture: sample of Quince A rootstock cultures.</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Turkish Journal of Agricultural and Natural Sciences</w:t>
      </w:r>
      <w:r w:rsidRPr="00CC7883">
        <w:rPr>
          <w:rFonts w:ascii="Times New Roman" w:hAnsi="Times New Roman"/>
          <w:color w:val="000000" w:themeColor="text1"/>
          <w:sz w:val="28"/>
          <w:szCs w:val="28"/>
        </w:rPr>
        <w:t>. 2014. Special Issue 1. P. 957–962.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Tamošiūnė I., Andriūnaitė E., Vinskienė J., Stanys V., Rugienius R., Baniulis D. Enduring effect of antibiotic Timentin treatment on tobacco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shoot growth and microbiome diversity.</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Plants</w:t>
      </w:r>
      <w:r w:rsidRPr="00CC7883">
        <w:rPr>
          <w:rFonts w:ascii="Times New Roman" w:hAnsi="Times New Roman"/>
          <w:color w:val="000000" w:themeColor="text1"/>
          <w:sz w:val="28"/>
          <w:szCs w:val="28"/>
        </w:rPr>
        <w:t>. 2022. Vol. 11,</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6. DOI: https://doi.org/10.3390/plants11060832.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Tanaka K., Fujiwara K., Kozai T. Effects of relative humidity in the culture vessel on the transpiration and net photosynthetic rates of potato plantlets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w:t>
      </w:r>
      <w:r w:rsidR="004912A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Acta Horticulturae</w:t>
      </w:r>
      <w:r w:rsidRPr="00CC7883">
        <w:rPr>
          <w:rFonts w:ascii="Times New Roman" w:hAnsi="Times New Roman"/>
          <w:color w:val="000000" w:themeColor="text1"/>
          <w:sz w:val="28"/>
          <w:szCs w:val="28"/>
        </w:rPr>
        <w:t>. 1992. Vol. 319. P. 59–64. DOI: https://doi.org/10.17660/ActaHortic.1992.319.3.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Tarinejad A., Amiri S. Influence of plant growth regulators, carbohydrate source and concentration on micropropagation and other physiological traits of grape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cv. Shahroudi*) under </w:t>
      </w:r>
      <w:r w:rsidR="004912AE"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conditions.</w:t>
      </w:r>
      <w:r w:rsidR="004912AE"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Plant Physiology and Breeding</w:t>
      </w:r>
      <w:r w:rsidRPr="00CC7883">
        <w:rPr>
          <w:rFonts w:ascii="Times New Roman" w:hAnsi="Times New Roman"/>
          <w:color w:val="000000" w:themeColor="text1"/>
          <w:sz w:val="28"/>
          <w:szCs w:val="28"/>
        </w:rPr>
        <w:t>. 2019. Vol. 9,</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 P. 75–82.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Teixeira da Silva J. A., Hossain M. M., Sharma M., Dobránszki J., Cardoso J. C., Songjun Z. Acclimatization of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-derived </w:t>
      </w:r>
      <w:r w:rsidRPr="00CC7883">
        <w:rPr>
          <w:rFonts w:ascii="Times New Roman" w:hAnsi="Times New Roman"/>
          <w:i/>
          <w:color w:val="000000" w:themeColor="text1"/>
          <w:sz w:val="28"/>
          <w:szCs w:val="28"/>
        </w:rPr>
        <w:t>Dendrobium</w:t>
      </w:r>
      <w:r w:rsidRPr="00CC7883">
        <w:rPr>
          <w:rFonts w:ascii="Times New Roman" w:hAnsi="Times New Roman"/>
          <w:color w:val="000000" w:themeColor="text1"/>
          <w:sz w:val="28"/>
          <w:szCs w:val="28"/>
        </w:rPr>
        <w:t>.</w:t>
      </w:r>
      <w:r w:rsidR="00271886"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 xml:space="preserve">Horticultural </w:t>
      </w:r>
      <w:r w:rsidRPr="00CC7883">
        <w:rPr>
          <w:rFonts w:ascii="Times New Roman" w:hAnsi="Times New Roman"/>
          <w:i/>
          <w:color w:val="000000" w:themeColor="text1"/>
          <w:sz w:val="28"/>
          <w:szCs w:val="28"/>
        </w:rPr>
        <w:lastRenderedPageBreak/>
        <w:t>Plant Journal</w:t>
      </w:r>
      <w:r w:rsidRPr="00CC7883">
        <w:rPr>
          <w:rFonts w:ascii="Times New Roman" w:hAnsi="Times New Roman"/>
          <w:color w:val="000000" w:themeColor="text1"/>
          <w:sz w:val="28"/>
          <w:szCs w:val="28"/>
        </w:rPr>
        <w:t>. 2017. Vol. 3, No. 3. P. 110–124. DOI: https://doi.org/10.1016/j.hpj.2017.07.009.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Tesliuk N. I., Lytvyn M. L., Hudzenko T. V. Optimization of nutrient medium for primary stages of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microclonal propagation of walnut.</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Мікробіологія</w:t>
      </w:r>
      <w:r w:rsidR="00271886"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і</w:t>
      </w:r>
      <w:r w:rsidR="00271886"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біотехнологія</w:t>
      </w:r>
      <w:r w:rsidRPr="00CC7883">
        <w:rPr>
          <w:rFonts w:ascii="Times New Roman" w:hAnsi="Times New Roman"/>
          <w:color w:val="000000" w:themeColor="text1"/>
          <w:sz w:val="28"/>
          <w:szCs w:val="28"/>
        </w:rPr>
        <w:t>. 2022. No. 3. С. 24–33. DOI: https://doi.org/10.18524/2307-4663.2022.3(56).265806.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Tharanga I. N., Gunasena M. D. K. M., Rohanadheera H. Utilization of banana pseudostem extract as a cost-effective supplement to MS medium for </w:t>
      </w:r>
      <w:r w:rsidRPr="00CC7883">
        <w:rPr>
          <w:rFonts w:ascii="Times New Roman" w:hAnsi="Times New Roman"/>
          <w:i/>
          <w:color w:val="000000" w:themeColor="text1"/>
          <w:sz w:val="28"/>
          <w:szCs w:val="28"/>
        </w:rPr>
        <w:t>in vitro</w:t>
      </w:r>
      <w:r w:rsidRPr="00CC7883">
        <w:rPr>
          <w:rFonts w:ascii="Times New Roman" w:hAnsi="Times New Roman"/>
          <w:color w:val="000000" w:themeColor="text1"/>
          <w:sz w:val="28"/>
          <w:szCs w:val="28"/>
        </w:rPr>
        <w:t xml:space="preserve"> propagation of sour banana (</w:t>
      </w:r>
      <w:r w:rsidRPr="00CC7883">
        <w:rPr>
          <w:rFonts w:ascii="Times New Roman" w:hAnsi="Times New Roman"/>
          <w:i/>
          <w:color w:val="000000" w:themeColor="text1"/>
          <w:sz w:val="28"/>
          <w:szCs w:val="28"/>
        </w:rPr>
        <w:t>Musa acuminata</w:t>
      </w:r>
      <w:r w:rsidRPr="00CC7883">
        <w:rPr>
          <w:rFonts w:ascii="Times New Roman" w:hAnsi="Times New Roman"/>
          <w:color w:val="000000" w:themeColor="text1"/>
          <w:sz w:val="28"/>
          <w:szCs w:val="28"/>
        </w:rPr>
        <w:t>). Undergraduate Research Symposium of Technology, Sabaragamuwa University of Sri Lanka, Belihuloya, April 2025.</w:t>
      </w:r>
      <w:r w:rsidR="00271886" w:rsidRPr="00CC7883">
        <w:rPr>
          <w:rFonts w:ascii="Times New Roman" w:hAnsi="Times New Roman"/>
          <w:color w:val="000000" w:themeColor="text1"/>
          <w:sz w:val="28"/>
          <w:szCs w:val="28"/>
        </w:rPr>
        <w:t xml:space="preserve"> </w:t>
      </w:r>
      <w:r w:rsidR="00112791" w:rsidRPr="00CC7883">
        <w:rPr>
          <w:rFonts w:ascii="Times New Roman" w:hAnsi="Times New Roman"/>
          <w:color w:val="000000" w:themeColor="text1"/>
          <w:sz w:val="28"/>
          <w:szCs w:val="28"/>
        </w:rPr>
        <w:t>p. 10.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Thomas P., Prakash G. S. Sanitizing long-term micropropagated grapes from covert and endophytic bacteria and preliminary field testing of plants after 8 years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w:t>
      </w:r>
      <w:r w:rsidR="00271886"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w:t>
      </w:r>
      <w:r w:rsidR="00271886"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00271886"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Cellular &amp; Developmental Biology – Plant</w:t>
      </w:r>
      <w:r w:rsidRPr="00CC7883">
        <w:rPr>
          <w:rFonts w:ascii="Times New Roman" w:hAnsi="Times New Roman"/>
          <w:color w:val="000000" w:themeColor="text1"/>
          <w:sz w:val="28"/>
          <w:szCs w:val="28"/>
        </w:rPr>
        <w:t>. 2004. Vol. 40,</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6. P. 603–607.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Tkachenko O. V., Evseeva N. V., Boikova N. V., Matora L. Y., Burygin G. L. </w:t>
      </w:r>
      <w:r w:rsidR="00FD664E" w:rsidRPr="00CC7883">
        <w:rPr>
          <w:rFonts w:ascii="Times New Roman" w:hAnsi="Times New Roman"/>
          <w:color w:val="000000" w:themeColor="text1"/>
          <w:sz w:val="28"/>
          <w:szCs w:val="28"/>
        </w:rPr>
        <w:t>et al.</w:t>
      </w:r>
      <w:r w:rsidRPr="00CC7883">
        <w:rPr>
          <w:rFonts w:ascii="Times New Roman" w:hAnsi="Times New Roman"/>
          <w:color w:val="000000" w:themeColor="text1"/>
          <w:sz w:val="28"/>
          <w:szCs w:val="28"/>
        </w:rPr>
        <w:t xml:space="preserve"> Improved potato microclonal reproduction with the plant growth-promoting rhizobacteria </w:t>
      </w:r>
      <w:r w:rsidRPr="00CC7883">
        <w:rPr>
          <w:rFonts w:ascii="Times New Roman" w:hAnsi="Times New Roman"/>
          <w:i/>
          <w:color w:val="000000" w:themeColor="text1"/>
          <w:sz w:val="28"/>
          <w:szCs w:val="28"/>
        </w:rPr>
        <w:t>Azospirillum</w:t>
      </w:r>
      <w:r w:rsidRPr="00CC7883">
        <w:rPr>
          <w:rFonts w:ascii="Times New Roman" w:hAnsi="Times New Roman"/>
          <w:color w:val="000000" w:themeColor="text1"/>
          <w:sz w:val="28"/>
          <w:szCs w:val="28"/>
        </w:rPr>
        <w:t>.</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Agronomy for Sustainable Development</w:t>
      </w:r>
      <w:r w:rsidRPr="00CC7883">
        <w:rPr>
          <w:rFonts w:ascii="Times New Roman" w:hAnsi="Times New Roman"/>
          <w:color w:val="000000" w:themeColor="text1"/>
          <w:sz w:val="28"/>
          <w:szCs w:val="28"/>
        </w:rPr>
        <w:t>. 2015. Vol. 35, No. 3. P. 1167–1174. DOI: https://doi.org/10.1007/s13593-015-0304-3.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Topçu Altıncı N., Cangi R. Drought tolerance of some wine grape cultivars under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conditions.</w:t>
      </w:r>
      <w:r w:rsidR="00271886"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Agricultural Faculty of Gaziosmanpaşa University</w:t>
      </w:r>
      <w:r w:rsidRPr="00CC7883">
        <w:rPr>
          <w:rFonts w:ascii="Times New Roman" w:hAnsi="Times New Roman"/>
          <w:color w:val="000000" w:themeColor="text1"/>
          <w:sz w:val="28"/>
          <w:szCs w:val="28"/>
        </w:rPr>
        <w:t>. 2019. Vol. 36, No. 2. P. 145–152. DOI: https://doi.org/10.13002/jafag4633.</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Troncoso A., Matte C., Cantos M., Lavee S. Evaluation of salt tolerance of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-grown grapevine rootstock varieties.</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Vitis</w:t>
      </w:r>
      <w:r w:rsidRPr="00CC7883">
        <w:rPr>
          <w:rFonts w:ascii="Times New Roman" w:hAnsi="Times New Roman"/>
          <w:color w:val="000000" w:themeColor="text1"/>
          <w:sz w:val="28"/>
          <w:szCs w:val="28"/>
        </w:rPr>
        <w:t>. 1999. Vol. 38,</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2. P. 55–60. DOI: https://doi.org/10.5073/vitis.1999.38.55-60.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Troncoso A., Villegas A., Mazuelos C., Cantos M. Growth and mineral composition of grapevine rootstock cultured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with different levels of ammonium nitrate. </w:t>
      </w:r>
      <w:r w:rsidRPr="00CC7883">
        <w:rPr>
          <w:rFonts w:ascii="Times New Roman" w:hAnsi="Times New Roman"/>
          <w:i/>
          <w:color w:val="000000" w:themeColor="text1"/>
          <w:sz w:val="28"/>
          <w:szCs w:val="28"/>
        </w:rPr>
        <w:t>Plant Nutrition – Physiology and Applications</w:t>
      </w:r>
      <w:r w:rsidRPr="00CC7883">
        <w:rPr>
          <w:rFonts w:ascii="Times New Roman" w:hAnsi="Times New Roman"/>
          <w:color w:val="000000" w:themeColor="text1"/>
          <w:sz w:val="28"/>
          <w:szCs w:val="28"/>
        </w:rPr>
        <w:t>. Dordrecht : Kluwer Academic Publishers, 1990. P. 653–654. DOI: https://doi.org/10.1007/978-</w:t>
      </w:r>
      <w:r w:rsidRPr="00CC7883">
        <w:rPr>
          <w:rFonts w:ascii="Times New Roman" w:hAnsi="Times New Roman"/>
          <w:color w:val="000000" w:themeColor="text1"/>
          <w:sz w:val="28"/>
          <w:szCs w:val="28"/>
        </w:rPr>
        <w:lastRenderedPageBreak/>
        <w:t>94-009-0585-6_110.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Ubaydullaeva K. A., Abdullaev A. N., Bolkiev A. A., Darmanov M. M., Asrorov A. M., Abdullaev S. A., Eshmurzaev J. B., Babadjanova F. I., Buriev Z. T. Complex of glycyrrhizic and salicylic acids: A new root length growing means for grapes to grow from the apical meristem.</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Asian Journal of Plant Sciences</w:t>
      </w:r>
      <w:r w:rsidRPr="00CC7883">
        <w:rPr>
          <w:rFonts w:ascii="Times New Roman" w:hAnsi="Times New Roman"/>
          <w:color w:val="000000" w:themeColor="text1"/>
          <w:sz w:val="28"/>
          <w:szCs w:val="28"/>
        </w:rPr>
        <w:t>. 2023. Vol. 22. P. 260–268.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Utami E. S. W., Hariyanto S. </w:t>
      </w:r>
      <w:r w:rsidR="00271886" w:rsidRPr="00CC7883">
        <w:rPr>
          <w:rFonts w:ascii="Times New Roman" w:hAnsi="Times New Roman"/>
          <w:i/>
          <w:color w:val="000000" w:themeColor="text1"/>
          <w:sz w:val="28"/>
          <w:szCs w:val="28"/>
        </w:rPr>
        <w:t>In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seed germination and seedling development of a rare Indonesian native orchid </w:t>
      </w:r>
      <w:r w:rsidRPr="00CC7883">
        <w:rPr>
          <w:rFonts w:ascii="Times New Roman" w:hAnsi="Times New Roman"/>
          <w:i/>
          <w:color w:val="000000" w:themeColor="text1"/>
          <w:sz w:val="28"/>
          <w:szCs w:val="28"/>
        </w:rPr>
        <w:t>Phalaenopsis amboinensis</w:t>
      </w:r>
      <w:r w:rsidRPr="00CC7883">
        <w:rPr>
          <w:rFonts w:ascii="Times New Roman" w:hAnsi="Times New Roman"/>
          <w:color w:val="000000" w:themeColor="text1"/>
          <w:sz w:val="28"/>
          <w:szCs w:val="28"/>
        </w:rPr>
        <w:t xml:space="preserve"> J.J.Sm. </w:t>
      </w:r>
      <w:r w:rsidRPr="00CC7883">
        <w:rPr>
          <w:rFonts w:ascii="Times New Roman" w:hAnsi="Times New Roman"/>
          <w:i/>
          <w:color w:val="000000" w:themeColor="text1"/>
          <w:sz w:val="28"/>
          <w:szCs w:val="28"/>
        </w:rPr>
        <w:t>Scientifica</w:t>
      </w:r>
      <w:r w:rsidRPr="00CC7883">
        <w:rPr>
          <w:rFonts w:ascii="Times New Roman" w:hAnsi="Times New Roman"/>
          <w:color w:val="000000" w:themeColor="text1"/>
          <w:sz w:val="28"/>
          <w:szCs w:val="28"/>
        </w:rPr>
        <w:t>. 2019.</w:t>
      </w:r>
      <w:r w:rsidR="00BC42C9">
        <w:rPr>
          <w:rFonts w:ascii="Times New Roman" w:hAnsi="Times New Roman"/>
          <w:color w:val="000000" w:themeColor="text1"/>
          <w:sz w:val="28"/>
          <w:szCs w:val="28"/>
          <w:lang w:val="en-US"/>
        </w:rPr>
        <w:t xml:space="preserve"> </w:t>
      </w:r>
      <w:r w:rsidRPr="00CC7883">
        <w:rPr>
          <w:rFonts w:ascii="Times New Roman" w:hAnsi="Times New Roman"/>
          <w:color w:val="000000" w:themeColor="text1"/>
          <w:sz w:val="28"/>
          <w:szCs w:val="28"/>
        </w:rPr>
        <w:t>6 p. DOI: https://doi.org/10.1155/2019/8105138.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Van Yen D., Li J. Effect of growth regulators on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micropropagation of </w:t>
      </w:r>
      <w:r w:rsidRPr="00CC7883">
        <w:rPr>
          <w:rFonts w:ascii="Times New Roman" w:hAnsi="Times New Roman"/>
          <w:i/>
          <w:color w:val="000000" w:themeColor="text1"/>
          <w:sz w:val="28"/>
          <w:szCs w:val="28"/>
        </w:rPr>
        <w:t>Stahlianthus thorelii</w:t>
      </w:r>
      <w:r w:rsidRPr="00CC7883">
        <w:rPr>
          <w:rFonts w:ascii="Times New Roman" w:hAnsi="Times New Roman"/>
          <w:color w:val="000000" w:themeColor="text1"/>
          <w:sz w:val="28"/>
          <w:szCs w:val="28"/>
        </w:rPr>
        <w:t xml:space="preserve"> Gagnep.</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Agriculture</w:t>
      </w:r>
      <w:r w:rsidRPr="00CC7883">
        <w:rPr>
          <w:rFonts w:ascii="Times New Roman" w:hAnsi="Times New Roman"/>
          <w:color w:val="000000" w:themeColor="text1"/>
          <w:sz w:val="28"/>
          <w:szCs w:val="28"/>
        </w:rPr>
        <w:t>. 2022. Vol. 12,</w:t>
      </w:r>
      <w:r w:rsidR="001B2C91"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11. DOI: https://doi.org/10.3390/agriculture12111766.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Vaz A. P. A., Figueiredo-Ribeiro R. C. L., Kerbauy G. B. Photoperiod and temperature effects on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growth and flowering of </w:t>
      </w:r>
      <w:r w:rsidRPr="00CC7883">
        <w:rPr>
          <w:rFonts w:ascii="Times New Roman" w:hAnsi="Times New Roman"/>
          <w:i/>
          <w:color w:val="000000" w:themeColor="text1"/>
          <w:sz w:val="28"/>
          <w:szCs w:val="28"/>
        </w:rPr>
        <w:t>P. pusilla</w:t>
      </w:r>
      <w:r w:rsidRPr="00CC7883">
        <w:rPr>
          <w:rFonts w:ascii="Times New Roman" w:hAnsi="Times New Roman"/>
          <w:color w:val="000000" w:themeColor="text1"/>
          <w:sz w:val="28"/>
          <w:szCs w:val="28"/>
        </w:rPr>
        <w:t>, an epiphytic orchid.</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 Physiology and Biochemistry</w:t>
      </w:r>
      <w:r w:rsidRPr="00CC7883">
        <w:rPr>
          <w:rFonts w:ascii="Times New Roman" w:hAnsi="Times New Roman"/>
          <w:color w:val="000000" w:themeColor="text1"/>
          <w:sz w:val="28"/>
          <w:szCs w:val="28"/>
        </w:rPr>
        <w:t>. 2004. Vol. 42, No. 5. P. 411–415. DOI: https://doi.org/10.1016/j.plaphy.2004.03.008.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Vieira R. L., Leite G. B., Wamser A. F. Effect of porous substrates in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rooting of M-9 apple rootstock (</w:t>
      </w:r>
      <w:r w:rsidRPr="00CC7883">
        <w:rPr>
          <w:rFonts w:ascii="Times New Roman" w:hAnsi="Times New Roman"/>
          <w:i/>
          <w:color w:val="000000" w:themeColor="text1"/>
          <w:sz w:val="28"/>
          <w:szCs w:val="28"/>
        </w:rPr>
        <w:t>Malus pumilla</w:t>
      </w:r>
      <w:r w:rsidRPr="00CC7883">
        <w:rPr>
          <w:rFonts w:ascii="Times New Roman" w:hAnsi="Times New Roman"/>
          <w:color w:val="000000" w:themeColor="text1"/>
          <w:sz w:val="28"/>
          <w:szCs w:val="28"/>
        </w:rPr>
        <w:t>).</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Revista Brasileira de Fruticultura</w:t>
      </w:r>
      <w:r w:rsidRPr="00CC7883">
        <w:rPr>
          <w:rFonts w:ascii="Times New Roman" w:hAnsi="Times New Roman"/>
          <w:color w:val="000000" w:themeColor="text1"/>
          <w:sz w:val="28"/>
          <w:szCs w:val="28"/>
        </w:rPr>
        <w:t>. 2007. Vol. 29, No. 1. P. 128–132. DOI: https://doi.org/10.1590/S0100-29452007000100028.</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Wang L. H., Li G. L., Wei S., Li L. J., Zuo S. Y., Liu X., Gu W. R., Li J. Effects of exogenous glucose and sucrose on photosynthesis in triticale seedlings under salt stress.</w:t>
      </w:r>
      <w:r w:rsidR="001B2C91"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Photosynthetica</w:t>
      </w:r>
      <w:r w:rsidRPr="00CC7883">
        <w:rPr>
          <w:rFonts w:ascii="Times New Roman" w:hAnsi="Times New Roman"/>
          <w:color w:val="000000" w:themeColor="text1"/>
          <w:sz w:val="28"/>
          <w:szCs w:val="28"/>
        </w:rPr>
        <w:t>. 2019. Vol. 57,</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1. P. 286–294. DOI:</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https://doi.org/10.32615/ps.2019.030.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Wang S., Wang X., Shi X., Wang B., Zheng X., Wang H., Liu F. Red and blue lights significantly affect photosynthetic properties and ultrastructure of mesophyll cells in senescing grape leaves.</w:t>
      </w:r>
      <w:r w:rsidR="00CB689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Horticultural Plant Journal</w:t>
      </w:r>
      <w:r w:rsidRPr="00CC7883">
        <w:rPr>
          <w:rFonts w:ascii="Times New Roman" w:hAnsi="Times New Roman"/>
          <w:color w:val="000000" w:themeColor="text1"/>
          <w:sz w:val="28"/>
          <w:szCs w:val="28"/>
        </w:rPr>
        <w:t>. 2016. Vol. 2,</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2. P. 82–90.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Waseem K., Jilani M. S., Khan M. S., Kiran M., Khan J. </w:t>
      </w:r>
      <w:r w:rsidRPr="00CC7883">
        <w:rPr>
          <w:rFonts w:ascii="Times New Roman" w:hAnsi="Times New Roman"/>
          <w:i/>
          <w:color w:val="000000" w:themeColor="text1"/>
          <w:sz w:val="28"/>
          <w:szCs w:val="28"/>
        </w:rPr>
        <w:t>In</w:t>
      </w:r>
      <w:r w:rsidR="00271886"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multiplication of </w:t>
      </w:r>
      <w:r w:rsidRPr="00CC7883">
        <w:rPr>
          <w:rFonts w:ascii="Times New Roman" w:hAnsi="Times New Roman"/>
          <w:i/>
          <w:color w:val="000000" w:themeColor="text1"/>
          <w:sz w:val="28"/>
          <w:szCs w:val="28"/>
        </w:rPr>
        <w:t>Chrysanthemum morifolium</w:t>
      </w:r>
      <w:r w:rsidRPr="00CC7883">
        <w:rPr>
          <w:rFonts w:ascii="Times New Roman" w:hAnsi="Times New Roman"/>
          <w:color w:val="000000" w:themeColor="text1"/>
          <w:sz w:val="28"/>
          <w:szCs w:val="28"/>
        </w:rPr>
        <w:t xml:space="preserve"> using benzylaminopurine.</w:t>
      </w:r>
      <w:r w:rsidR="00CB689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 xml:space="preserve">Pakistan </w:t>
      </w:r>
      <w:r w:rsidRPr="00CC7883">
        <w:rPr>
          <w:rFonts w:ascii="Times New Roman" w:hAnsi="Times New Roman"/>
          <w:i/>
          <w:color w:val="000000" w:themeColor="text1"/>
          <w:sz w:val="28"/>
          <w:szCs w:val="28"/>
        </w:rPr>
        <w:lastRenderedPageBreak/>
        <w:t>Journal of Botany</w:t>
      </w:r>
      <w:r w:rsidRPr="00CC7883">
        <w:rPr>
          <w:rFonts w:ascii="Times New Roman" w:hAnsi="Times New Roman"/>
          <w:color w:val="000000" w:themeColor="text1"/>
          <w:sz w:val="28"/>
          <w:szCs w:val="28"/>
        </w:rPr>
        <w:t>. 2011. Vol. 43, No. 1. P. 63–69.</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Xu Y., Liang Y., Yang M. Effects of composite LED light on root growth and antioxidant capacity of </w:t>
      </w:r>
      <w:r w:rsidRPr="00CC7883">
        <w:rPr>
          <w:rFonts w:ascii="Times New Roman" w:hAnsi="Times New Roman"/>
          <w:i/>
          <w:color w:val="000000" w:themeColor="text1"/>
          <w:sz w:val="28"/>
          <w:szCs w:val="28"/>
        </w:rPr>
        <w:t xml:space="preserve">Cunninghamia lanceolata </w:t>
      </w:r>
      <w:r w:rsidRPr="00CC7883">
        <w:rPr>
          <w:rFonts w:ascii="Times New Roman" w:hAnsi="Times New Roman"/>
          <w:color w:val="000000" w:themeColor="text1"/>
          <w:sz w:val="28"/>
          <w:szCs w:val="28"/>
        </w:rPr>
        <w:t>tissue culture seedlings.</w:t>
      </w:r>
      <w:r w:rsidR="00CB689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Scientific Reports</w:t>
      </w:r>
      <w:r w:rsidRPr="00CC7883">
        <w:rPr>
          <w:rFonts w:ascii="Times New Roman" w:hAnsi="Times New Roman"/>
          <w:color w:val="000000" w:themeColor="text1"/>
          <w:sz w:val="28"/>
          <w:szCs w:val="28"/>
        </w:rPr>
        <w:t>. 2019. Vol. 9. DOI:</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https://doi.org/10.1038/s41598-019-46139-2.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Xu Y., Yang M., Cheng F., et al. Effects of LED photoperiods and light qualities on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growth and chlorophyll fluorescence of </w:t>
      </w:r>
      <w:r w:rsidRPr="00CC7883">
        <w:rPr>
          <w:rFonts w:ascii="Times New Roman" w:hAnsi="Times New Roman"/>
          <w:i/>
          <w:color w:val="000000" w:themeColor="text1"/>
          <w:sz w:val="28"/>
          <w:szCs w:val="28"/>
        </w:rPr>
        <w:t>Cunninghamia lanceolata.</w:t>
      </w:r>
      <w:r w:rsidR="00CB689D" w:rsidRPr="00CC7883">
        <w:rPr>
          <w:rFonts w:ascii="Times New Roman" w:hAnsi="Times New Roman"/>
          <w:i/>
          <w:color w:val="000000" w:themeColor="text1"/>
          <w:sz w:val="28"/>
          <w:szCs w:val="28"/>
        </w:rPr>
        <w:t xml:space="preserve"> </w:t>
      </w:r>
      <w:r w:rsidRPr="00CC7883">
        <w:rPr>
          <w:rFonts w:ascii="Times New Roman" w:hAnsi="Times New Roman"/>
          <w:i/>
          <w:color w:val="000000" w:themeColor="text1"/>
          <w:sz w:val="28"/>
          <w:szCs w:val="28"/>
        </w:rPr>
        <w:t>BMC Plant Biology</w:t>
      </w:r>
      <w:r w:rsidRPr="00CC7883">
        <w:rPr>
          <w:rFonts w:ascii="Times New Roman" w:hAnsi="Times New Roman"/>
          <w:color w:val="000000" w:themeColor="text1"/>
          <w:sz w:val="28"/>
          <w:szCs w:val="28"/>
        </w:rPr>
        <w:t>. 2020. Vol. 20</w:t>
      </w:r>
      <w:r w:rsidR="00CB689D" w:rsidRPr="00CC7883">
        <w:rPr>
          <w:rFonts w:ascii="Times New Roman" w:hAnsi="Times New Roman"/>
          <w:color w:val="000000" w:themeColor="text1"/>
          <w:sz w:val="28"/>
          <w:szCs w:val="28"/>
        </w:rPr>
        <w:t>,</w:t>
      </w:r>
      <w:r w:rsidRPr="00CC7883">
        <w:rPr>
          <w:rFonts w:ascii="Times New Roman" w:hAnsi="Times New Roman"/>
          <w:color w:val="000000" w:themeColor="text1"/>
          <w:sz w:val="28"/>
          <w:szCs w:val="28"/>
        </w:rPr>
        <w:t xml:space="preserve"> No. 269. DOI:</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https://doi.org/10.1186/s12870-020-02480-7.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Yaacob J. S., Taha R. M., Mohajer S. Organogenesis induction and acclimatization of African blue lily (</w:t>
      </w:r>
      <w:r w:rsidRPr="00CC7883">
        <w:rPr>
          <w:rFonts w:ascii="Times New Roman" w:hAnsi="Times New Roman"/>
          <w:i/>
          <w:color w:val="000000" w:themeColor="text1"/>
          <w:sz w:val="28"/>
          <w:szCs w:val="28"/>
        </w:rPr>
        <w:t>Agapanthus praecox</w:t>
      </w:r>
      <w:r w:rsidRPr="00CC7883">
        <w:rPr>
          <w:rFonts w:ascii="Times New Roman" w:hAnsi="Times New Roman"/>
          <w:color w:val="000000" w:themeColor="text1"/>
          <w:sz w:val="28"/>
          <w:szCs w:val="28"/>
        </w:rPr>
        <w:t xml:space="preserve"> ssp. </w:t>
      </w:r>
      <w:r w:rsidRPr="00CC7883">
        <w:rPr>
          <w:rFonts w:ascii="Times New Roman" w:hAnsi="Times New Roman"/>
          <w:i/>
          <w:color w:val="000000" w:themeColor="text1"/>
          <w:sz w:val="28"/>
          <w:szCs w:val="28"/>
        </w:rPr>
        <w:t>minimus</w:t>
      </w:r>
      <w:r w:rsidRPr="00CC7883">
        <w:rPr>
          <w:rFonts w:ascii="Times New Roman" w:hAnsi="Times New Roman"/>
          <w:color w:val="000000" w:themeColor="text1"/>
          <w:sz w:val="28"/>
          <w:szCs w:val="28"/>
        </w:rPr>
        <w:t>).</w:t>
      </w:r>
      <w:r w:rsidR="00CB689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Agricultural Science</w:t>
      </w:r>
      <w:r w:rsidRPr="00CC7883">
        <w:rPr>
          <w:rFonts w:ascii="Times New Roman" w:hAnsi="Times New Roman"/>
          <w:color w:val="000000" w:themeColor="text1"/>
          <w:sz w:val="28"/>
          <w:szCs w:val="28"/>
        </w:rPr>
        <w:t>. 2017. Vol. 9,</w:t>
      </w:r>
      <w:r w:rsidR="00CB689D"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7. P. 265–276. DOI:</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https://doi.org/10.5539/jas.v9n7p265.</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Yamaner Ö., Erdağ B. </w:t>
      </w:r>
      <w:r w:rsidRPr="00CC7883">
        <w:rPr>
          <w:rFonts w:ascii="Times New Roman" w:hAnsi="Times New Roman"/>
          <w:i/>
          <w:color w:val="000000" w:themeColor="text1"/>
          <w:sz w:val="28"/>
          <w:szCs w:val="28"/>
        </w:rPr>
        <w:t>In</w:t>
      </w:r>
      <w:r w:rsidR="00271886"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seed germination and seedling development of an endemic medicinal plant </w:t>
      </w:r>
      <w:r w:rsidRPr="00CC7883">
        <w:rPr>
          <w:rFonts w:ascii="Times New Roman" w:hAnsi="Times New Roman"/>
          <w:i/>
          <w:color w:val="000000" w:themeColor="text1"/>
          <w:sz w:val="28"/>
          <w:szCs w:val="28"/>
        </w:rPr>
        <w:t>Hypericum adenotrichum</w:t>
      </w:r>
      <w:r w:rsidRPr="00CC7883">
        <w:rPr>
          <w:rFonts w:ascii="Times New Roman" w:hAnsi="Times New Roman"/>
          <w:color w:val="000000" w:themeColor="text1"/>
          <w:sz w:val="28"/>
          <w:szCs w:val="28"/>
        </w:rPr>
        <w:t xml:space="preserve"> Spach.</w:t>
      </w:r>
      <w:r w:rsidR="00CB689D"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European Journal of Science and Technology</w:t>
      </w:r>
      <w:r w:rsidRPr="00CC7883">
        <w:rPr>
          <w:rFonts w:ascii="Times New Roman" w:hAnsi="Times New Roman"/>
          <w:color w:val="000000" w:themeColor="text1"/>
          <w:sz w:val="28"/>
          <w:szCs w:val="28"/>
        </w:rPr>
        <w:t>. 2021.</w:t>
      </w:r>
      <w:r w:rsidR="00CB689D"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23. P. 440–447. URL:</w:t>
      </w:r>
      <w:r w:rsidR="0055592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http://dergipark.gov.tr/ejosat.</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Yancheva S., Marchev P., Yaneva V., Roichev V., Tsvetkov I. </w:t>
      </w:r>
      <w:r w:rsidRPr="00CC7883">
        <w:rPr>
          <w:rFonts w:ascii="Times New Roman" w:hAnsi="Times New Roman"/>
          <w:i/>
          <w:color w:val="000000" w:themeColor="text1"/>
          <w:sz w:val="28"/>
          <w:szCs w:val="28"/>
        </w:rPr>
        <w:t>In</w:t>
      </w:r>
      <w:r w:rsidR="00271886"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 xml:space="preserve"> propagation of grape cultivars and rootstocks for production of pre-basic planting material.</w:t>
      </w:r>
      <w:r w:rsidR="00AD6443"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Bulgarian Journal of Agricultural Science</w:t>
      </w:r>
      <w:r w:rsidRPr="00CC7883">
        <w:rPr>
          <w:rFonts w:ascii="Times New Roman" w:hAnsi="Times New Roman"/>
          <w:color w:val="000000" w:themeColor="text1"/>
          <w:sz w:val="28"/>
          <w:szCs w:val="28"/>
        </w:rPr>
        <w:t>. 2018. Vol. 24,</w:t>
      </w:r>
      <w:r w:rsidR="00AD644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5. P. 801–806.</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Yang X., Pei Q., He S., Lu M., Jia H. Pi’ao ni putao butong jizhi zaipei tiaojian xia de shengzhang yu guoshi pinzhi fenxi.</w:t>
      </w:r>
      <w:r w:rsidR="00AD6443"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Zhejiang Nongye Xuebao (</w:t>
      </w:r>
      <w:r w:rsidRPr="00CC7883">
        <w:rPr>
          <w:rFonts w:ascii="MS Gothic" w:eastAsia="MS Gothic" w:hAnsi="MS Gothic" w:cs="MS Gothic" w:hint="eastAsia"/>
          <w:i/>
          <w:color w:val="000000" w:themeColor="text1"/>
          <w:sz w:val="28"/>
          <w:szCs w:val="28"/>
        </w:rPr>
        <w:t>浙江</w:t>
      </w:r>
      <w:r w:rsidRPr="00CC7883">
        <w:rPr>
          <w:rFonts w:ascii="Times New Roman" w:eastAsia="Microsoft JhengHei" w:hAnsi="Times New Roman"/>
          <w:i/>
          <w:color w:val="000000" w:themeColor="text1"/>
          <w:sz w:val="28"/>
          <w:szCs w:val="28"/>
        </w:rPr>
        <w:t>农业</w:t>
      </w:r>
      <w:r w:rsidRPr="00CC7883">
        <w:rPr>
          <w:rFonts w:ascii="Times New Roman" w:eastAsia="Yu Gothic UI" w:hAnsi="Times New Roman"/>
          <w:i/>
          <w:color w:val="000000" w:themeColor="text1"/>
          <w:sz w:val="28"/>
          <w:szCs w:val="28"/>
        </w:rPr>
        <w:t>学</w:t>
      </w:r>
      <w:r w:rsidRPr="00CC7883">
        <w:rPr>
          <w:rFonts w:ascii="Times New Roman" w:eastAsia="Microsoft JhengHei" w:hAnsi="Times New Roman"/>
          <w:i/>
          <w:color w:val="000000" w:themeColor="text1"/>
          <w:sz w:val="28"/>
          <w:szCs w:val="28"/>
        </w:rPr>
        <w:t>报</w:t>
      </w:r>
      <w:r w:rsidRPr="00CC7883">
        <w:rPr>
          <w:rFonts w:ascii="Times New Roman" w:hAnsi="Times New Roman"/>
          <w:i/>
          <w:color w:val="000000" w:themeColor="text1"/>
          <w:sz w:val="28"/>
          <w:szCs w:val="28"/>
        </w:rPr>
        <w:t>)</w:t>
      </w:r>
      <w:r w:rsidRPr="00CC7883">
        <w:rPr>
          <w:rFonts w:ascii="Times New Roman" w:hAnsi="Times New Roman"/>
          <w:color w:val="000000" w:themeColor="text1"/>
          <w:sz w:val="28"/>
          <w:szCs w:val="28"/>
        </w:rPr>
        <w:t>. 2014. Vol. 26,</w:t>
      </w:r>
      <w:r w:rsidR="00833E6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4. P. 929–932.</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Yıldırım H., Ozdemir G. Influence of BAP concentrations and nutrient medium composition on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regeneration of ‘Öküzgözü’ and ‘Boğazkere’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cultivars.</w:t>
      </w:r>
      <w:r w:rsidR="00271886"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Erwerbs-Obstbau</w:t>
      </w:r>
      <w:r w:rsidRPr="00CC7883">
        <w:rPr>
          <w:rFonts w:ascii="Times New Roman" w:hAnsi="Times New Roman"/>
          <w:color w:val="000000" w:themeColor="text1"/>
          <w:sz w:val="28"/>
          <w:szCs w:val="28"/>
        </w:rPr>
        <w:t>. 2018. Vol. 60,</w:t>
      </w:r>
      <w:r w:rsidR="00AD6443"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No. 3. DOI:</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https://doi.org/10.1007/s10341-018-0393-7.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Zawadzka M., Trzciński P., Nowak K., Orlikowska T. The impact of three bacteria isolated from contaminated plant cultures on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multiplication and </w:t>
      </w:r>
      <w:r w:rsidRPr="00CC7883">
        <w:rPr>
          <w:rFonts w:ascii="Times New Roman" w:hAnsi="Times New Roman"/>
          <w:color w:val="000000" w:themeColor="text1"/>
          <w:sz w:val="28"/>
          <w:szCs w:val="28"/>
        </w:rPr>
        <w:lastRenderedPageBreak/>
        <w:t>rooting of microshoots of four ornamental plants.</w:t>
      </w:r>
      <w:r w:rsidR="00AD6443"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Journal of Horticultural Research</w:t>
      </w:r>
      <w:r w:rsidRPr="00CC7883">
        <w:rPr>
          <w:rFonts w:ascii="Times New Roman" w:hAnsi="Times New Roman"/>
          <w:color w:val="000000" w:themeColor="text1"/>
          <w:sz w:val="28"/>
          <w:szCs w:val="28"/>
        </w:rPr>
        <w:t>. 2013. Vol. 21, No. 2. P. 41–51. DOI: https://doi.org/10.2478/johr-2013-0020.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Zein El Din A. F. M., Ibrahim M. F. M., Farag R., Abd El-Gawad H. G., El-Banhawy A., Alaraidh I. A., Rashad Y. M., Lashin I., Abou El-Yazied A., Elkelish A., Abd Elbar O. H. Influence of polyethylene glycol on leaf anatomy, stomatal behavior, water loss, and some physiological traits of date palm plantlets grown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and </w:t>
      </w:r>
      <w:r w:rsidRPr="00CC7883">
        <w:rPr>
          <w:rFonts w:ascii="Times New Roman" w:hAnsi="Times New Roman"/>
          <w:i/>
          <w:color w:val="000000" w:themeColor="text1"/>
          <w:sz w:val="28"/>
          <w:szCs w:val="28"/>
        </w:rPr>
        <w:t>ex</w:t>
      </w:r>
      <w:r w:rsidR="00271886" w:rsidRPr="00CC7883">
        <w:rPr>
          <w:rFonts w:ascii="Times New Roman" w:hAnsi="Times New Roman"/>
          <w:i/>
          <w:color w:val="000000" w:themeColor="text1"/>
          <w:sz w:val="28"/>
          <w:szCs w:val="28"/>
        </w:rPr>
        <w:t> </w:t>
      </w:r>
      <w:r w:rsidRPr="00CC7883">
        <w:rPr>
          <w:rFonts w:ascii="Times New Roman" w:hAnsi="Times New Roman"/>
          <w:i/>
          <w:color w:val="000000" w:themeColor="text1"/>
          <w:sz w:val="28"/>
          <w:szCs w:val="28"/>
        </w:rPr>
        <w:t>vitro</w:t>
      </w:r>
      <w:r w:rsidRPr="00CC7883">
        <w:rPr>
          <w:rFonts w:ascii="Times New Roman" w:hAnsi="Times New Roman"/>
          <w:color w:val="000000" w:themeColor="text1"/>
          <w:sz w:val="28"/>
          <w:szCs w:val="28"/>
        </w:rPr>
        <w:t>.</w:t>
      </w:r>
      <w:r w:rsidR="00271886"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Plants</w:t>
      </w:r>
      <w:r w:rsidRPr="00CC7883">
        <w:rPr>
          <w:rFonts w:ascii="Times New Roman" w:hAnsi="Times New Roman"/>
          <w:color w:val="000000" w:themeColor="text1"/>
          <w:sz w:val="28"/>
          <w:szCs w:val="28"/>
        </w:rPr>
        <w:t>. 2020. Vol. 9, No. 11. DOI:</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https://doi.org/10.3390/plants9111440.</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Zelenianska N. M., Samofalov M. O. Development of the root system of grape microclones on mineral nutrient substrates. </w:t>
      </w:r>
      <w:r w:rsidRPr="00CC7883">
        <w:rPr>
          <w:rFonts w:ascii="Times New Roman" w:hAnsi="Times New Roman"/>
          <w:i/>
          <w:color w:val="000000" w:themeColor="text1"/>
          <w:sz w:val="28"/>
          <w:szCs w:val="28"/>
        </w:rPr>
        <w:t>Şuşa və ətraf ərazilərin biomüxtəlifliyi, torpaq və su ehtiyatları: gələcəyə baxış</w:t>
      </w:r>
      <w:r w:rsidRPr="00CC7883">
        <w:rPr>
          <w:rFonts w:ascii="Times New Roman" w:hAnsi="Times New Roman"/>
          <w:color w:val="000000" w:themeColor="text1"/>
          <w:sz w:val="28"/>
          <w:szCs w:val="28"/>
        </w:rPr>
        <w:t xml:space="preserve"> : beynəlxalq konfransın materialları.</w:t>
      </w:r>
      <w:r w:rsidR="00D67B8B"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(Şuşа, 22–24 sen. 2022 il). Bakı, 2022. Səh. 135–136. URL:</w:t>
      </w:r>
      <w:r w:rsidR="00555929"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s://www.researchgate.net/profile/Fakhraddin-Karimov/publication/376487142AZRBAYCANIN_QARABAG_V_SRQI_ZNGZUR_IQTISADI_RAYONLARINDA_YASIL_ENERGETIKANIN_INKISAFI_IMKANLARININ_QIYMTLNDIRILMSI/links/657aa831ea5f7f02056d5b43/AZRBAYCANIN-QARABAG-V-SRQI-ZNGZUR-IQTISADI-RAYONLARINDA-YASIL-ENERGETIKANIN-INKISAFI-IMKANLARININ-QIYMTLNDIRILMSI.pdf.</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Zelenianskaya N. N., Samofalov M. O. Manifestation of the regenerative ability of rootstock and technical variety of grapes (</w:t>
      </w:r>
      <w:r w:rsidRPr="00CC7883">
        <w:rPr>
          <w:rFonts w:ascii="Times New Roman" w:hAnsi="Times New Roman"/>
          <w:i/>
          <w:color w:val="000000" w:themeColor="text1"/>
          <w:sz w:val="28"/>
          <w:szCs w:val="28"/>
        </w:rPr>
        <w:t>Vitis vinifera</w:t>
      </w:r>
      <w:r w:rsidRPr="00CC7883">
        <w:rPr>
          <w:rFonts w:ascii="Times New Roman" w:hAnsi="Times New Roman"/>
          <w:color w:val="000000" w:themeColor="text1"/>
          <w:sz w:val="28"/>
          <w:szCs w:val="28"/>
        </w:rPr>
        <w:t xml:space="preserve"> L.) on mineral substrates </w:t>
      </w:r>
      <w:r w:rsidR="00271886" w:rsidRPr="00CC7883">
        <w:rPr>
          <w:rFonts w:ascii="Times New Roman" w:hAnsi="Times New Roman" w:cs="Times New Roman"/>
          <w:i/>
          <w:iCs/>
          <w:color w:val="000000" w:themeColor="text1"/>
          <w:sz w:val="28"/>
          <w:szCs w:val="28"/>
        </w:rPr>
        <w:t>in vitro</w:t>
      </w:r>
      <w:r w:rsidRPr="00CC7883">
        <w:rPr>
          <w:rFonts w:ascii="Times New Roman" w:hAnsi="Times New Roman"/>
          <w:color w:val="000000" w:themeColor="text1"/>
          <w:sz w:val="28"/>
          <w:szCs w:val="28"/>
        </w:rPr>
        <w:t xml:space="preserve"> conditions.</w:t>
      </w:r>
      <w:r w:rsidR="00271886"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Colloquium-journal</w:t>
      </w:r>
      <w:r w:rsidRPr="00CC7883">
        <w:rPr>
          <w:rFonts w:ascii="Times New Roman" w:hAnsi="Times New Roman"/>
          <w:color w:val="000000" w:themeColor="text1"/>
          <w:sz w:val="28"/>
          <w:szCs w:val="28"/>
        </w:rPr>
        <w:t>. 2022. Vol. 19, No. 142. С. 34–37. DOI:</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https://doi.org/10.24412/2520-6990-2022-19142-34-37.</w:t>
      </w:r>
    </w:p>
    <w:p w:rsidR="00DC052E" w:rsidRPr="00CC7883" w:rsidRDefault="00DC052E" w:rsidP="00047411">
      <w:pPr>
        <w:pStyle w:val="a7"/>
        <w:widowControl w:val="0"/>
        <w:numPr>
          <w:ilvl w:val="0"/>
          <w:numId w:val="36"/>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Zelenianska N. M., Ishchenko I. O., Samofalov M. O. Influence of nutrient media on the physiological parameters of grape microclones.</w:t>
      </w:r>
      <w:r w:rsidR="002E1740"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Scientific Horizons</w:t>
      </w:r>
      <w:r w:rsidRPr="00CC7883">
        <w:rPr>
          <w:rFonts w:ascii="Times New Roman" w:hAnsi="Times New Roman"/>
          <w:color w:val="000000" w:themeColor="text1"/>
          <w:sz w:val="28"/>
          <w:szCs w:val="28"/>
        </w:rPr>
        <w:t>. 2023. Vol. 6, No. 26. P. 71–84. DOI:</w:t>
      </w:r>
      <w:r w:rsidR="004D08D0"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https://doi.org/10.48077/scihor6.2023.7.</w:t>
      </w:r>
    </w:p>
    <w:p w:rsidR="00334672" w:rsidRPr="00CC7883" w:rsidRDefault="00DC052E" w:rsidP="00047411">
      <w:pPr>
        <w:pStyle w:val="a7"/>
        <w:widowControl w:val="0"/>
        <w:numPr>
          <w:ilvl w:val="0"/>
          <w:numId w:val="36"/>
        </w:numPr>
        <w:spacing w:after="0" w:line="360" w:lineRule="auto"/>
        <w:ind w:left="0" w:firstLine="0"/>
        <w:jc w:val="both"/>
        <w:rPr>
          <w:rFonts w:ascii="Times New Roman" w:eastAsia="Times New Roman" w:hAnsi="Times New Roman" w:cs="Times New Roman"/>
          <w:color w:val="000000" w:themeColor="text1"/>
          <w:kern w:val="0"/>
          <w:sz w:val="28"/>
          <w:szCs w:val="28"/>
          <w:lang w:eastAsia="uk-UA"/>
        </w:rPr>
      </w:pPr>
      <w:r w:rsidRPr="00CC7883">
        <w:rPr>
          <w:rFonts w:ascii="Times New Roman" w:hAnsi="Times New Roman"/>
          <w:color w:val="000000" w:themeColor="text1"/>
          <w:sz w:val="28"/>
          <w:szCs w:val="28"/>
        </w:rPr>
        <w:t xml:space="preserve">Zheng J., Ji F., He D., Niu G. Effect of light intensity on rooting and growth of hydroponic strawberry runner plants in a LED plant factory. </w:t>
      </w:r>
      <w:r w:rsidRPr="00CC7883">
        <w:rPr>
          <w:rFonts w:ascii="Times New Roman" w:hAnsi="Times New Roman"/>
          <w:i/>
          <w:color w:val="000000" w:themeColor="text1"/>
          <w:sz w:val="28"/>
          <w:szCs w:val="28"/>
        </w:rPr>
        <w:t>Agronomy</w:t>
      </w:r>
      <w:r w:rsidRPr="00CC7883">
        <w:rPr>
          <w:rFonts w:ascii="Times New Roman" w:hAnsi="Times New Roman"/>
          <w:color w:val="000000" w:themeColor="text1"/>
          <w:sz w:val="28"/>
          <w:szCs w:val="28"/>
        </w:rPr>
        <w:t>. 2019. No.</w:t>
      </w:r>
      <w:r w:rsidR="0022754E" w:rsidRPr="00CC7883">
        <w:rPr>
          <w:rFonts w:ascii="Times New Roman" w:hAnsi="Times New Roman"/>
          <w:color w:val="000000" w:themeColor="text1"/>
          <w:sz w:val="28"/>
          <w:szCs w:val="28"/>
        </w:rPr>
        <w:t xml:space="preserve"> </w:t>
      </w:r>
      <w:r w:rsidRPr="00CC7883">
        <w:rPr>
          <w:rFonts w:ascii="Times New Roman" w:hAnsi="Times New Roman"/>
          <w:color w:val="000000" w:themeColor="text1"/>
          <w:sz w:val="28"/>
          <w:szCs w:val="28"/>
        </w:rPr>
        <w:t>9. DOI: https://doi.org/10.3390/agronomy9120875.</w:t>
      </w:r>
      <w:r w:rsidR="00334672" w:rsidRPr="00CC7883">
        <w:rPr>
          <w:rFonts w:ascii="Times New Roman" w:eastAsia="Times New Roman" w:hAnsi="Times New Roman" w:cs="Times New Roman"/>
          <w:color w:val="000000" w:themeColor="text1"/>
          <w:kern w:val="0"/>
          <w:sz w:val="28"/>
          <w:szCs w:val="28"/>
          <w:lang w:eastAsia="uk-UA"/>
        </w:rPr>
        <w:br w:type="page"/>
      </w: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360" w:lineRule="auto"/>
        <w:ind w:firstLine="709"/>
        <w:jc w:val="both"/>
        <w:textAlignment w:val="baseline"/>
        <w:rPr>
          <w:rFonts w:ascii="Times New Roman" w:eastAsia="NSimSun" w:hAnsi="Times New Roman" w:cs="Times New Roman"/>
          <w:b/>
          <w:color w:val="000000" w:themeColor="text1"/>
          <w:kern w:val="3"/>
          <w:sz w:val="28"/>
          <w:szCs w:val="28"/>
          <w:lang w:eastAsia="zh-CN" w:bidi="hi-IN"/>
        </w:rPr>
      </w:pPr>
    </w:p>
    <w:p w:rsidR="00854E40" w:rsidRPr="00CC7883" w:rsidRDefault="00854E40" w:rsidP="00047411">
      <w:pPr>
        <w:widowControl w:val="0"/>
        <w:autoSpaceDN w:val="0"/>
        <w:spacing w:after="0" w:line="360" w:lineRule="auto"/>
        <w:jc w:val="center"/>
        <w:textAlignment w:val="baseline"/>
        <w:rPr>
          <w:rFonts w:ascii="Times New Roman" w:eastAsia="NSimSun" w:hAnsi="Times New Roman" w:cs="Times New Roman"/>
          <w:b/>
          <w:color w:val="000000" w:themeColor="text1"/>
          <w:kern w:val="3"/>
          <w:sz w:val="28"/>
          <w:szCs w:val="28"/>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360" w:lineRule="auto"/>
        <w:jc w:val="center"/>
        <w:textAlignment w:val="baseline"/>
        <w:outlineLvl w:val="0"/>
        <w:rPr>
          <w:rFonts w:ascii="Times New Roman" w:eastAsia="NSimSun" w:hAnsi="Times New Roman" w:cs="Times New Roman"/>
          <w:b/>
          <w:color w:val="000000" w:themeColor="text1"/>
          <w:kern w:val="3"/>
          <w:sz w:val="28"/>
          <w:szCs w:val="28"/>
          <w:lang w:eastAsia="zh-CN" w:bidi="hi-IN"/>
        </w:rPr>
      </w:pPr>
      <w:bookmarkStart w:id="127" w:name="_Toc220058973"/>
      <w:r w:rsidRPr="00CC7883">
        <w:rPr>
          <w:rFonts w:ascii="Times New Roman" w:eastAsia="NSimSun" w:hAnsi="Times New Roman" w:cs="Times New Roman"/>
          <w:b/>
          <w:color w:val="000000" w:themeColor="text1"/>
          <w:kern w:val="3"/>
          <w:sz w:val="28"/>
          <w:szCs w:val="28"/>
          <w:lang w:eastAsia="zh-CN" w:bidi="hi-IN"/>
        </w:rPr>
        <w:t>ДОДАТКИ</w:t>
      </w:r>
      <w:bookmarkEnd w:id="127"/>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pPr>
    </w:p>
    <w:p w:rsidR="00854E40" w:rsidRPr="00CC7883" w:rsidRDefault="00854E40" w:rsidP="00047411">
      <w:pPr>
        <w:widowControl w:val="0"/>
        <w:autoSpaceDN w:val="0"/>
        <w:spacing w:after="0" w:line="240" w:lineRule="auto"/>
        <w:textAlignment w:val="baseline"/>
        <w:rPr>
          <w:rFonts w:ascii="Times New Roman" w:eastAsia="NSimSun" w:hAnsi="Times New Roman" w:cs="Times New Roman"/>
          <w:color w:val="000000" w:themeColor="text1"/>
          <w:kern w:val="3"/>
          <w:lang w:eastAsia="zh-CN" w:bidi="hi-IN"/>
        </w:rPr>
        <w:sectPr w:rsidR="00854E40" w:rsidRPr="00CC7883" w:rsidSect="00B610AB">
          <w:pgSz w:w="11906" w:h="16838" w:code="9"/>
          <w:pgMar w:top="1134" w:right="851" w:bottom="1134" w:left="1701" w:header="709" w:footer="709" w:gutter="0"/>
          <w:cols w:space="708"/>
          <w:docGrid w:linePitch="360"/>
        </w:sectPr>
      </w:pPr>
    </w:p>
    <w:p w:rsidR="00854E40" w:rsidRPr="00CC7883" w:rsidRDefault="00B07113" w:rsidP="00047411">
      <w:pPr>
        <w:widowControl w:val="0"/>
        <w:spacing w:line="259" w:lineRule="auto"/>
        <w:jc w:val="center"/>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lastRenderedPageBreak/>
        <w:t>Додаток А.</w:t>
      </w:r>
      <w:r w:rsidR="00E33AC9">
        <w:rPr>
          <w:rFonts w:ascii="Times New Roman" w:eastAsia="NSimSun" w:hAnsi="Times New Roman" w:cs="Times New Roman"/>
          <w:color w:val="000000" w:themeColor="text1"/>
          <w:kern w:val="3"/>
          <w:sz w:val="28"/>
          <w:lang w:eastAsia="zh-CN" w:bidi="hi-IN"/>
        </w:rPr>
        <w:t xml:space="preserve"> </w:t>
      </w:r>
      <w:r w:rsidRPr="00CC7883">
        <w:rPr>
          <w:rFonts w:ascii="Times New Roman" w:eastAsia="NSimSun" w:hAnsi="Times New Roman" w:cs="Times New Roman"/>
          <w:color w:val="000000" w:themeColor="text1"/>
          <w:kern w:val="3"/>
          <w:sz w:val="28"/>
          <w:lang w:eastAsia="zh-CN" w:bidi="hi-IN"/>
        </w:rPr>
        <w:t>1</w:t>
      </w:r>
    </w:p>
    <w:p w:rsidR="00854E40" w:rsidRPr="00CC7883" w:rsidRDefault="00854E40" w:rsidP="00047411">
      <w:pPr>
        <w:widowControl w:val="0"/>
        <w:spacing w:line="259" w:lineRule="auto"/>
        <w:jc w:val="center"/>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noProof/>
          <w:color w:val="000000" w:themeColor="text1"/>
          <w:kern w:val="3"/>
          <w:sz w:val="28"/>
          <w:lang w:val="ru-RU" w:eastAsia="ru-RU"/>
        </w:rPr>
        <w:drawing>
          <wp:inline distT="0" distB="0" distL="0" distR="0">
            <wp:extent cx="6116320" cy="8524240"/>
            <wp:effectExtent l="19050" t="0" r="0" b="0"/>
            <wp:docPr id="233000343" name="Рисунок 1" descr="F:\Акт впровадження Самофалов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Акт впровадження Самофалов 1.jpeg"/>
                    <pic:cNvPicPr>
                      <a:picLocks noChangeAspect="1" noChangeArrowheads="1"/>
                    </pic:cNvPicPr>
                  </pic:nvPicPr>
                  <pic:blipFill>
                    <a:blip r:embed="rId204" cstate="print"/>
                    <a:srcRect/>
                    <a:stretch>
                      <a:fillRect/>
                    </a:stretch>
                  </pic:blipFill>
                  <pic:spPr bwMode="auto">
                    <a:xfrm>
                      <a:off x="0" y="0"/>
                      <a:ext cx="6116320" cy="8524240"/>
                    </a:xfrm>
                    <a:prstGeom prst="rect">
                      <a:avLst/>
                    </a:prstGeom>
                    <a:noFill/>
                    <a:ln w="9525">
                      <a:noFill/>
                      <a:miter lim="800000"/>
                      <a:headEnd/>
                      <a:tailEnd/>
                    </a:ln>
                  </pic:spPr>
                </pic:pic>
              </a:graphicData>
            </a:graphic>
          </wp:inline>
        </w:drawing>
      </w:r>
    </w:p>
    <w:p w:rsidR="00854E40" w:rsidRPr="00CC7883" w:rsidRDefault="00854E40" w:rsidP="00047411">
      <w:pPr>
        <w:widowControl w:val="0"/>
        <w:spacing w:line="259" w:lineRule="auto"/>
        <w:rPr>
          <w:rFonts w:ascii="Times New Roman" w:eastAsia="NSimSun" w:hAnsi="Times New Roman" w:cs="Times New Roman"/>
          <w:color w:val="000000" w:themeColor="text1"/>
          <w:kern w:val="3"/>
          <w:sz w:val="28"/>
          <w:lang w:eastAsia="zh-CN" w:bidi="hi-IN"/>
        </w:rPr>
        <w:sectPr w:rsidR="00854E40" w:rsidRPr="00CC7883" w:rsidSect="00854E40">
          <w:pgSz w:w="11906" w:h="16838"/>
          <w:pgMar w:top="850" w:right="850" w:bottom="850" w:left="1417" w:header="708" w:footer="708" w:gutter="0"/>
          <w:cols w:space="708"/>
          <w:docGrid w:linePitch="360"/>
        </w:sectPr>
      </w:pPr>
    </w:p>
    <w:p w:rsidR="00854E40" w:rsidRPr="00CC7883" w:rsidRDefault="00B07113" w:rsidP="00047411">
      <w:pPr>
        <w:widowControl w:val="0"/>
        <w:spacing w:line="259" w:lineRule="auto"/>
        <w:ind w:right="425"/>
        <w:jc w:val="right"/>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color w:val="000000" w:themeColor="text1"/>
          <w:kern w:val="3"/>
          <w:lang w:eastAsia="zh-CN" w:bidi="hi-IN"/>
        </w:rPr>
        <w:lastRenderedPageBreak/>
        <w:t>Продовження додатку А.</w:t>
      </w:r>
      <w:r w:rsidR="00E33AC9">
        <w:rPr>
          <w:rFonts w:ascii="Times New Roman" w:eastAsia="NSimSun" w:hAnsi="Times New Roman" w:cs="Times New Roman"/>
          <w:color w:val="000000" w:themeColor="text1"/>
          <w:kern w:val="3"/>
          <w:lang w:eastAsia="zh-CN" w:bidi="hi-IN"/>
        </w:rPr>
        <w:t xml:space="preserve"> </w:t>
      </w:r>
      <w:r w:rsidRPr="00CC7883">
        <w:rPr>
          <w:rFonts w:ascii="Times New Roman" w:eastAsia="NSimSun" w:hAnsi="Times New Roman" w:cs="Times New Roman"/>
          <w:color w:val="000000" w:themeColor="text1"/>
          <w:kern w:val="3"/>
          <w:lang w:eastAsia="zh-CN" w:bidi="hi-IN"/>
        </w:rPr>
        <w:t>1</w:t>
      </w:r>
    </w:p>
    <w:p w:rsidR="00854E40" w:rsidRPr="00CC7883" w:rsidRDefault="00854E40" w:rsidP="00047411">
      <w:pPr>
        <w:widowControl w:val="0"/>
        <w:spacing w:line="259" w:lineRule="auto"/>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noProof/>
          <w:color w:val="000000" w:themeColor="text1"/>
          <w:kern w:val="3"/>
          <w:sz w:val="28"/>
          <w:lang w:val="ru-RU" w:eastAsia="ru-RU"/>
        </w:rPr>
        <w:drawing>
          <wp:inline distT="0" distB="0" distL="0" distR="0">
            <wp:extent cx="6116320" cy="8524240"/>
            <wp:effectExtent l="19050" t="0" r="0" b="0"/>
            <wp:docPr id="537076825" name="Рисунок 2" descr="F:\Акт впровадження Самофалов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Акт впровадження Самофалов 2.jpeg"/>
                    <pic:cNvPicPr>
                      <a:picLocks noChangeAspect="1" noChangeArrowheads="1"/>
                    </pic:cNvPicPr>
                  </pic:nvPicPr>
                  <pic:blipFill>
                    <a:blip r:embed="rId205" cstate="print"/>
                    <a:srcRect/>
                    <a:stretch>
                      <a:fillRect/>
                    </a:stretch>
                  </pic:blipFill>
                  <pic:spPr bwMode="auto">
                    <a:xfrm>
                      <a:off x="0" y="0"/>
                      <a:ext cx="6116320" cy="8524240"/>
                    </a:xfrm>
                    <a:prstGeom prst="rect">
                      <a:avLst/>
                    </a:prstGeom>
                    <a:noFill/>
                    <a:ln w="9525">
                      <a:noFill/>
                      <a:miter lim="800000"/>
                      <a:headEnd/>
                      <a:tailEnd/>
                    </a:ln>
                  </pic:spPr>
                </pic:pic>
              </a:graphicData>
            </a:graphic>
          </wp:inline>
        </w:drawing>
      </w:r>
    </w:p>
    <w:p w:rsidR="00854E40" w:rsidRPr="00CC7883" w:rsidRDefault="00854E40" w:rsidP="00047411">
      <w:pPr>
        <w:widowControl w:val="0"/>
        <w:spacing w:line="259" w:lineRule="auto"/>
        <w:rPr>
          <w:rFonts w:ascii="Times New Roman" w:eastAsia="NSimSun" w:hAnsi="Times New Roman" w:cs="Times New Roman"/>
          <w:color w:val="000000" w:themeColor="text1"/>
          <w:kern w:val="3"/>
          <w:sz w:val="28"/>
          <w:lang w:eastAsia="zh-CN" w:bidi="hi-IN"/>
        </w:rPr>
      </w:pPr>
    </w:p>
    <w:p w:rsidR="00854E40" w:rsidRPr="00CC7883" w:rsidRDefault="00854E40" w:rsidP="00047411">
      <w:pPr>
        <w:widowControl w:val="0"/>
        <w:spacing w:line="259" w:lineRule="auto"/>
        <w:ind w:right="425"/>
        <w:jc w:val="right"/>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lang w:eastAsia="zh-CN" w:bidi="hi-IN"/>
        </w:rPr>
        <w:t>Продовження додатку</w:t>
      </w:r>
      <w:r w:rsidR="00B07113" w:rsidRPr="00CC7883">
        <w:rPr>
          <w:rFonts w:ascii="Times New Roman" w:eastAsia="NSimSun" w:hAnsi="Times New Roman" w:cs="Times New Roman"/>
          <w:color w:val="000000" w:themeColor="text1"/>
          <w:kern w:val="3"/>
          <w:lang w:eastAsia="zh-CN" w:bidi="hi-IN"/>
        </w:rPr>
        <w:t xml:space="preserve"> А.</w:t>
      </w:r>
      <w:r w:rsidR="00E33AC9">
        <w:rPr>
          <w:rFonts w:ascii="Times New Roman" w:eastAsia="NSimSun" w:hAnsi="Times New Roman" w:cs="Times New Roman"/>
          <w:color w:val="000000" w:themeColor="text1"/>
          <w:kern w:val="3"/>
          <w:lang w:eastAsia="zh-CN" w:bidi="hi-IN"/>
        </w:rPr>
        <w:t xml:space="preserve"> </w:t>
      </w:r>
      <w:r w:rsidR="00B07113" w:rsidRPr="00CC7883">
        <w:rPr>
          <w:rFonts w:ascii="Times New Roman" w:eastAsia="NSimSun" w:hAnsi="Times New Roman" w:cs="Times New Roman"/>
          <w:color w:val="000000" w:themeColor="text1"/>
          <w:kern w:val="3"/>
          <w:lang w:eastAsia="zh-CN" w:bidi="hi-IN"/>
        </w:rPr>
        <w:t>1</w:t>
      </w:r>
      <w:r w:rsidRPr="00CC7883">
        <w:rPr>
          <w:rFonts w:ascii="Times New Roman" w:eastAsia="NSimSun" w:hAnsi="Times New Roman" w:cs="Times New Roman"/>
          <w:noProof/>
          <w:color w:val="000000" w:themeColor="text1"/>
          <w:kern w:val="3"/>
          <w:sz w:val="28"/>
          <w:lang w:val="ru-RU" w:eastAsia="ru-RU"/>
        </w:rPr>
        <w:drawing>
          <wp:inline distT="0" distB="0" distL="0" distR="0">
            <wp:extent cx="6116320" cy="8524240"/>
            <wp:effectExtent l="19050" t="0" r="0" b="0"/>
            <wp:docPr id="809763410" name="Рисунок 3" descr="F:\Акт впровадження Самофалов 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Акт впровадження Самофалов 3.jpeg"/>
                    <pic:cNvPicPr>
                      <a:picLocks noChangeAspect="1" noChangeArrowheads="1"/>
                    </pic:cNvPicPr>
                  </pic:nvPicPr>
                  <pic:blipFill>
                    <a:blip r:embed="rId206" cstate="print"/>
                    <a:srcRect/>
                    <a:stretch>
                      <a:fillRect/>
                    </a:stretch>
                  </pic:blipFill>
                  <pic:spPr bwMode="auto">
                    <a:xfrm>
                      <a:off x="0" y="0"/>
                      <a:ext cx="6116320" cy="8524240"/>
                    </a:xfrm>
                    <a:prstGeom prst="rect">
                      <a:avLst/>
                    </a:prstGeom>
                    <a:noFill/>
                    <a:ln w="9525">
                      <a:noFill/>
                      <a:miter lim="800000"/>
                      <a:headEnd/>
                      <a:tailEnd/>
                    </a:ln>
                  </pic:spPr>
                </pic:pic>
              </a:graphicData>
            </a:graphic>
          </wp:inline>
        </w:drawing>
      </w:r>
    </w:p>
    <w:p w:rsidR="00854E40" w:rsidRPr="00CC7883" w:rsidRDefault="00854E40" w:rsidP="00047411">
      <w:pPr>
        <w:widowControl w:val="0"/>
        <w:spacing w:line="259" w:lineRule="auto"/>
        <w:jc w:val="right"/>
        <w:rPr>
          <w:rFonts w:ascii="Times New Roman" w:eastAsia="NSimSun" w:hAnsi="Times New Roman" w:cs="Times New Roman"/>
          <w:color w:val="000000" w:themeColor="text1"/>
          <w:kern w:val="3"/>
          <w:sz w:val="28"/>
          <w:lang w:eastAsia="zh-CN" w:bidi="hi-IN"/>
        </w:rPr>
        <w:sectPr w:rsidR="00854E40" w:rsidRPr="00CC7883" w:rsidSect="00854E40">
          <w:pgSz w:w="11906" w:h="16838"/>
          <w:pgMar w:top="850" w:right="850" w:bottom="850" w:left="1417" w:header="708" w:footer="708" w:gutter="0"/>
          <w:cols w:space="708"/>
          <w:docGrid w:linePitch="360"/>
        </w:sectPr>
      </w:pPr>
    </w:p>
    <w:p w:rsidR="00854E40" w:rsidRPr="00CC7883" w:rsidRDefault="00B07113" w:rsidP="00047411">
      <w:pPr>
        <w:widowControl w:val="0"/>
        <w:spacing w:line="259" w:lineRule="auto"/>
        <w:ind w:right="425"/>
        <w:jc w:val="right"/>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color w:val="000000" w:themeColor="text1"/>
          <w:kern w:val="3"/>
          <w:lang w:eastAsia="zh-CN" w:bidi="hi-IN"/>
        </w:rPr>
        <w:lastRenderedPageBreak/>
        <w:t>Продовження додатку А.</w:t>
      </w:r>
      <w:r w:rsidR="00E33AC9">
        <w:rPr>
          <w:rFonts w:ascii="Times New Roman" w:eastAsia="NSimSun" w:hAnsi="Times New Roman" w:cs="Times New Roman"/>
          <w:color w:val="000000" w:themeColor="text1"/>
          <w:kern w:val="3"/>
          <w:lang w:eastAsia="zh-CN" w:bidi="hi-IN"/>
        </w:rPr>
        <w:t xml:space="preserve"> </w:t>
      </w:r>
      <w:r w:rsidRPr="00CC7883">
        <w:rPr>
          <w:rFonts w:ascii="Times New Roman" w:eastAsia="NSimSun" w:hAnsi="Times New Roman" w:cs="Times New Roman"/>
          <w:color w:val="000000" w:themeColor="text1"/>
          <w:kern w:val="3"/>
          <w:lang w:eastAsia="zh-CN" w:bidi="hi-IN"/>
        </w:rPr>
        <w:t>1</w:t>
      </w:r>
    </w:p>
    <w:p w:rsidR="00854E40" w:rsidRPr="00CC7883" w:rsidRDefault="00854E40" w:rsidP="00047411">
      <w:pPr>
        <w:widowControl w:val="0"/>
        <w:spacing w:line="259" w:lineRule="auto"/>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noProof/>
          <w:color w:val="000000" w:themeColor="text1"/>
          <w:kern w:val="3"/>
          <w:sz w:val="28"/>
          <w:lang w:val="ru-RU" w:eastAsia="ru-RU"/>
        </w:rPr>
        <w:drawing>
          <wp:inline distT="0" distB="0" distL="0" distR="0">
            <wp:extent cx="6116320" cy="8524240"/>
            <wp:effectExtent l="19050" t="0" r="0" b="0"/>
            <wp:docPr id="1394440721" name="Рисунок 4" descr="F:\Акт впровадження Самофалов 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Акт впровадження Самофалов 4.jpeg"/>
                    <pic:cNvPicPr>
                      <a:picLocks noChangeAspect="1" noChangeArrowheads="1"/>
                    </pic:cNvPicPr>
                  </pic:nvPicPr>
                  <pic:blipFill>
                    <a:blip r:embed="rId207" cstate="print"/>
                    <a:srcRect/>
                    <a:stretch>
                      <a:fillRect/>
                    </a:stretch>
                  </pic:blipFill>
                  <pic:spPr bwMode="auto">
                    <a:xfrm>
                      <a:off x="0" y="0"/>
                      <a:ext cx="6116320" cy="8524240"/>
                    </a:xfrm>
                    <a:prstGeom prst="rect">
                      <a:avLst/>
                    </a:prstGeom>
                    <a:noFill/>
                    <a:ln w="9525">
                      <a:noFill/>
                      <a:miter lim="800000"/>
                      <a:headEnd/>
                      <a:tailEnd/>
                    </a:ln>
                  </pic:spPr>
                </pic:pic>
              </a:graphicData>
            </a:graphic>
          </wp:inline>
        </w:drawing>
      </w:r>
    </w:p>
    <w:p w:rsidR="00854E40" w:rsidRPr="00CC7883" w:rsidRDefault="00854E40" w:rsidP="00047411">
      <w:pPr>
        <w:widowControl w:val="0"/>
        <w:spacing w:line="259" w:lineRule="auto"/>
        <w:jc w:val="right"/>
        <w:rPr>
          <w:rFonts w:ascii="Times New Roman" w:eastAsia="NSimSun" w:hAnsi="Times New Roman" w:cs="Times New Roman"/>
          <w:color w:val="000000" w:themeColor="text1"/>
          <w:kern w:val="3"/>
          <w:sz w:val="28"/>
          <w:lang w:eastAsia="zh-CN" w:bidi="hi-IN"/>
        </w:rPr>
        <w:sectPr w:rsidR="00854E40" w:rsidRPr="00CC7883" w:rsidSect="00854E40">
          <w:pgSz w:w="11906" w:h="16838"/>
          <w:pgMar w:top="850" w:right="850" w:bottom="850" w:left="1417" w:header="708" w:footer="708" w:gutter="0"/>
          <w:cols w:space="708"/>
          <w:docGrid w:linePitch="360"/>
        </w:sectPr>
      </w:pPr>
    </w:p>
    <w:p w:rsidR="00854E40" w:rsidRPr="00CC7883" w:rsidRDefault="00B07113" w:rsidP="00047411">
      <w:pPr>
        <w:widowControl w:val="0"/>
        <w:spacing w:line="259" w:lineRule="auto"/>
        <w:ind w:right="425"/>
        <w:jc w:val="right"/>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lang w:eastAsia="zh-CN" w:bidi="hi-IN"/>
        </w:rPr>
        <w:lastRenderedPageBreak/>
        <w:t>Продовження додатку А.</w:t>
      </w:r>
      <w:r w:rsidR="00E33AC9">
        <w:rPr>
          <w:rFonts w:ascii="Times New Roman" w:eastAsia="NSimSun" w:hAnsi="Times New Roman" w:cs="Times New Roman"/>
          <w:color w:val="000000" w:themeColor="text1"/>
          <w:kern w:val="3"/>
          <w:lang w:eastAsia="zh-CN" w:bidi="hi-IN"/>
        </w:rPr>
        <w:t xml:space="preserve"> </w:t>
      </w:r>
      <w:r w:rsidRPr="00CC7883">
        <w:rPr>
          <w:rFonts w:ascii="Times New Roman" w:eastAsia="NSimSun" w:hAnsi="Times New Roman" w:cs="Times New Roman"/>
          <w:color w:val="000000" w:themeColor="text1"/>
          <w:kern w:val="3"/>
          <w:lang w:eastAsia="zh-CN" w:bidi="hi-IN"/>
        </w:rPr>
        <w:t>1</w:t>
      </w:r>
    </w:p>
    <w:p w:rsidR="00854E40" w:rsidRPr="00CC7883" w:rsidRDefault="00854E40" w:rsidP="00047411">
      <w:pPr>
        <w:widowControl w:val="0"/>
        <w:spacing w:line="259" w:lineRule="auto"/>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noProof/>
          <w:color w:val="000000" w:themeColor="text1"/>
          <w:kern w:val="3"/>
          <w:sz w:val="28"/>
          <w:lang w:val="ru-RU" w:eastAsia="ru-RU"/>
        </w:rPr>
        <w:drawing>
          <wp:inline distT="0" distB="0" distL="0" distR="0">
            <wp:extent cx="6116320" cy="8524240"/>
            <wp:effectExtent l="19050" t="0" r="0" b="0"/>
            <wp:docPr id="772681322" name="Рисунок 5" descr="F:\Акт впровадження Самофалов 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Акт впровадження Самофалов 5.jpeg"/>
                    <pic:cNvPicPr>
                      <a:picLocks noChangeAspect="1" noChangeArrowheads="1"/>
                    </pic:cNvPicPr>
                  </pic:nvPicPr>
                  <pic:blipFill>
                    <a:blip r:embed="rId208" cstate="print"/>
                    <a:srcRect/>
                    <a:stretch>
                      <a:fillRect/>
                    </a:stretch>
                  </pic:blipFill>
                  <pic:spPr bwMode="auto">
                    <a:xfrm>
                      <a:off x="0" y="0"/>
                      <a:ext cx="6116320" cy="8524240"/>
                    </a:xfrm>
                    <a:prstGeom prst="rect">
                      <a:avLst/>
                    </a:prstGeom>
                    <a:noFill/>
                    <a:ln w="9525">
                      <a:noFill/>
                      <a:miter lim="800000"/>
                      <a:headEnd/>
                      <a:tailEnd/>
                    </a:ln>
                  </pic:spPr>
                </pic:pic>
              </a:graphicData>
            </a:graphic>
          </wp:inline>
        </w:drawing>
      </w:r>
    </w:p>
    <w:p w:rsidR="00854E40" w:rsidRPr="00CC7883" w:rsidRDefault="00854E40" w:rsidP="00047411">
      <w:pPr>
        <w:widowControl w:val="0"/>
        <w:spacing w:line="259" w:lineRule="auto"/>
        <w:jc w:val="right"/>
        <w:rPr>
          <w:rFonts w:ascii="Times New Roman" w:eastAsia="NSimSun" w:hAnsi="Times New Roman" w:cs="Times New Roman"/>
          <w:color w:val="000000" w:themeColor="text1"/>
          <w:kern w:val="3"/>
          <w:sz w:val="28"/>
          <w:lang w:eastAsia="zh-CN" w:bidi="hi-IN"/>
        </w:rPr>
        <w:sectPr w:rsidR="00854E40" w:rsidRPr="00CC7883" w:rsidSect="00854E40">
          <w:pgSz w:w="11906" w:h="16838"/>
          <w:pgMar w:top="850" w:right="850" w:bottom="850" w:left="1417" w:header="708" w:footer="708" w:gutter="0"/>
          <w:cols w:space="708"/>
          <w:docGrid w:linePitch="360"/>
        </w:sectPr>
      </w:pPr>
    </w:p>
    <w:p w:rsidR="00854E40" w:rsidRPr="00CC7883" w:rsidRDefault="00B07113" w:rsidP="00047411">
      <w:pPr>
        <w:widowControl w:val="0"/>
        <w:spacing w:line="259" w:lineRule="auto"/>
        <w:ind w:right="425"/>
        <w:jc w:val="right"/>
        <w:rPr>
          <w:rFonts w:ascii="Times New Roman" w:eastAsia="NSimSun" w:hAnsi="Times New Roman" w:cs="Times New Roman"/>
          <w:color w:val="000000" w:themeColor="text1"/>
          <w:kern w:val="3"/>
          <w:lang w:eastAsia="zh-CN" w:bidi="hi-IN"/>
        </w:rPr>
      </w:pPr>
      <w:r w:rsidRPr="00CC7883">
        <w:rPr>
          <w:rFonts w:ascii="Times New Roman" w:eastAsia="NSimSun" w:hAnsi="Times New Roman" w:cs="Times New Roman"/>
          <w:color w:val="000000" w:themeColor="text1"/>
          <w:kern w:val="3"/>
          <w:lang w:eastAsia="zh-CN" w:bidi="hi-IN"/>
        </w:rPr>
        <w:lastRenderedPageBreak/>
        <w:t>Продовження додатку А.</w:t>
      </w:r>
      <w:r w:rsidR="00E33AC9">
        <w:rPr>
          <w:rFonts w:ascii="Times New Roman" w:eastAsia="NSimSun" w:hAnsi="Times New Roman" w:cs="Times New Roman"/>
          <w:color w:val="000000" w:themeColor="text1"/>
          <w:kern w:val="3"/>
          <w:lang w:eastAsia="zh-CN" w:bidi="hi-IN"/>
        </w:rPr>
        <w:t xml:space="preserve"> </w:t>
      </w:r>
      <w:r w:rsidRPr="00CC7883">
        <w:rPr>
          <w:rFonts w:ascii="Times New Roman" w:eastAsia="NSimSun" w:hAnsi="Times New Roman" w:cs="Times New Roman"/>
          <w:color w:val="000000" w:themeColor="text1"/>
          <w:kern w:val="3"/>
          <w:lang w:eastAsia="zh-CN" w:bidi="hi-IN"/>
        </w:rPr>
        <w:t>1</w:t>
      </w:r>
    </w:p>
    <w:p w:rsidR="00854E40" w:rsidRPr="00CC7883" w:rsidRDefault="00854E40" w:rsidP="00047411">
      <w:pPr>
        <w:widowControl w:val="0"/>
        <w:spacing w:line="259" w:lineRule="auto"/>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noProof/>
          <w:color w:val="000000" w:themeColor="text1"/>
          <w:kern w:val="3"/>
          <w:sz w:val="28"/>
          <w:lang w:val="ru-RU" w:eastAsia="ru-RU"/>
        </w:rPr>
        <w:drawing>
          <wp:inline distT="0" distB="0" distL="0" distR="0">
            <wp:extent cx="6116320" cy="8524240"/>
            <wp:effectExtent l="19050" t="0" r="0" b="0"/>
            <wp:docPr id="62233440" name="Рисунок 6" descr="F:\Акт впровадження Самофалов 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Акт впровадження Самофалов 6.jpeg"/>
                    <pic:cNvPicPr>
                      <a:picLocks noChangeAspect="1" noChangeArrowheads="1"/>
                    </pic:cNvPicPr>
                  </pic:nvPicPr>
                  <pic:blipFill>
                    <a:blip r:embed="rId209" cstate="print"/>
                    <a:srcRect/>
                    <a:stretch>
                      <a:fillRect/>
                    </a:stretch>
                  </pic:blipFill>
                  <pic:spPr bwMode="auto">
                    <a:xfrm>
                      <a:off x="0" y="0"/>
                      <a:ext cx="6116320" cy="8524240"/>
                    </a:xfrm>
                    <a:prstGeom prst="rect">
                      <a:avLst/>
                    </a:prstGeom>
                    <a:noFill/>
                    <a:ln w="9525">
                      <a:noFill/>
                      <a:miter lim="800000"/>
                      <a:headEnd/>
                      <a:tailEnd/>
                    </a:ln>
                  </pic:spPr>
                </pic:pic>
              </a:graphicData>
            </a:graphic>
          </wp:inline>
        </w:drawing>
      </w:r>
    </w:p>
    <w:p w:rsidR="00854E40" w:rsidRPr="00CC7883" w:rsidRDefault="00854E40" w:rsidP="00047411">
      <w:pPr>
        <w:widowControl w:val="0"/>
        <w:spacing w:line="259" w:lineRule="auto"/>
        <w:rPr>
          <w:rFonts w:ascii="Times New Roman" w:eastAsia="NSimSun" w:hAnsi="Times New Roman" w:cs="Times New Roman"/>
          <w:color w:val="000000" w:themeColor="text1"/>
          <w:kern w:val="3"/>
          <w:sz w:val="28"/>
          <w:lang w:eastAsia="zh-CN" w:bidi="hi-IN"/>
        </w:rPr>
      </w:pPr>
    </w:p>
    <w:p w:rsidR="00854E40" w:rsidRPr="00CC7883" w:rsidRDefault="00B07113" w:rsidP="00047411">
      <w:pPr>
        <w:widowControl w:val="0"/>
        <w:spacing w:line="259" w:lineRule="auto"/>
        <w:ind w:right="425"/>
        <w:jc w:val="right"/>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lang w:eastAsia="zh-CN" w:bidi="hi-IN"/>
        </w:rPr>
        <w:t>Продовження додатку А.</w:t>
      </w:r>
      <w:r w:rsidR="00E33AC9">
        <w:rPr>
          <w:rFonts w:ascii="Times New Roman" w:eastAsia="NSimSun" w:hAnsi="Times New Roman" w:cs="Times New Roman"/>
          <w:color w:val="000000" w:themeColor="text1"/>
          <w:kern w:val="3"/>
          <w:lang w:eastAsia="zh-CN" w:bidi="hi-IN"/>
        </w:rPr>
        <w:t xml:space="preserve"> </w:t>
      </w:r>
      <w:r w:rsidRPr="00CC7883">
        <w:rPr>
          <w:rFonts w:ascii="Times New Roman" w:eastAsia="NSimSun" w:hAnsi="Times New Roman" w:cs="Times New Roman"/>
          <w:color w:val="000000" w:themeColor="text1"/>
          <w:kern w:val="3"/>
          <w:lang w:eastAsia="zh-CN" w:bidi="hi-IN"/>
        </w:rPr>
        <w:t>1</w:t>
      </w:r>
      <w:r w:rsidR="00854E40" w:rsidRPr="00CC7883">
        <w:rPr>
          <w:rFonts w:ascii="Times New Roman" w:eastAsia="NSimSun" w:hAnsi="Times New Roman" w:cs="Times New Roman"/>
          <w:noProof/>
          <w:color w:val="000000" w:themeColor="text1"/>
          <w:kern w:val="3"/>
          <w:sz w:val="28"/>
          <w:lang w:val="ru-RU" w:eastAsia="ru-RU"/>
        </w:rPr>
        <w:drawing>
          <wp:inline distT="0" distB="0" distL="0" distR="0">
            <wp:extent cx="6116320" cy="8524240"/>
            <wp:effectExtent l="19050" t="0" r="0" b="0"/>
            <wp:docPr id="1898191914" name="Рисунок 7" descr="F:\Акт впровадження Самофалов 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Акт впровадження Самофалов 7.jpeg"/>
                    <pic:cNvPicPr>
                      <a:picLocks noChangeAspect="1" noChangeArrowheads="1"/>
                    </pic:cNvPicPr>
                  </pic:nvPicPr>
                  <pic:blipFill>
                    <a:blip r:embed="rId210" cstate="print"/>
                    <a:srcRect/>
                    <a:stretch>
                      <a:fillRect/>
                    </a:stretch>
                  </pic:blipFill>
                  <pic:spPr bwMode="auto">
                    <a:xfrm>
                      <a:off x="0" y="0"/>
                      <a:ext cx="6116320" cy="8524240"/>
                    </a:xfrm>
                    <a:prstGeom prst="rect">
                      <a:avLst/>
                    </a:prstGeom>
                    <a:noFill/>
                    <a:ln w="9525">
                      <a:noFill/>
                      <a:miter lim="800000"/>
                      <a:headEnd/>
                      <a:tailEnd/>
                    </a:ln>
                  </pic:spPr>
                </pic:pic>
              </a:graphicData>
            </a:graphic>
          </wp:inline>
        </w:drawing>
      </w:r>
    </w:p>
    <w:p w:rsidR="00854E40" w:rsidRPr="00CC7883" w:rsidRDefault="00854E40" w:rsidP="00047411">
      <w:pPr>
        <w:widowControl w:val="0"/>
        <w:spacing w:line="259" w:lineRule="auto"/>
        <w:rPr>
          <w:rFonts w:ascii="Times New Roman" w:eastAsia="NSimSun" w:hAnsi="Times New Roman" w:cs="Times New Roman"/>
          <w:color w:val="000000" w:themeColor="text1"/>
          <w:kern w:val="3"/>
          <w:sz w:val="28"/>
          <w:lang w:eastAsia="zh-CN" w:bidi="hi-IN"/>
        </w:rPr>
      </w:pPr>
    </w:p>
    <w:p w:rsidR="00FC0497" w:rsidRPr="00CC7883" w:rsidRDefault="00B07113" w:rsidP="00047411">
      <w:pPr>
        <w:widowControl w:val="0"/>
        <w:spacing w:line="259" w:lineRule="auto"/>
        <w:jc w:val="center"/>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Додаток А.</w:t>
      </w:r>
      <w:r w:rsidR="00E33AC9">
        <w:rPr>
          <w:rFonts w:ascii="Times New Roman" w:eastAsia="NSimSun" w:hAnsi="Times New Roman" w:cs="Times New Roman"/>
          <w:color w:val="000000" w:themeColor="text1"/>
          <w:kern w:val="3"/>
          <w:sz w:val="28"/>
          <w:lang w:eastAsia="zh-CN" w:bidi="hi-IN"/>
        </w:rPr>
        <w:t xml:space="preserve"> </w:t>
      </w:r>
      <w:r w:rsidRPr="00CC7883">
        <w:rPr>
          <w:rFonts w:ascii="Times New Roman" w:eastAsia="NSimSun" w:hAnsi="Times New Roman" w:cs="Times New Roman"/>
          <w:color w:val="000000" w:themeColor="text1"/>
          <w:kern w:val="3"/>
          <w:sz w:val="28"/>
          <w:lang w:eastAsia="zh-CN" w:bidi="hi-IN"/>
        </w:rPr>
        <w:t>2</w:t>
      </w:r>
      <w:r w:rsidR="00FC0497" w:rsidRPr="00CC7883">
        <w:rPr>
          <w:rFonts w:ascii="Times New Roman" w:eastAsia="NSimSun" w:hAnsi="Times New Roman" w:cs="Times New Roman"/>
          <w:noProof/>
          <w:color w:val="000000" w:themeColor="text1"/>
          <w:kern w:val="3"/>
          <w:sz w:val="28"/>
          <w:lang w:val="ru-RU" w:eastAsia="ru-RU"/>
        </w:rPr>
        <w:drawing>
          <wp:inline distT="0" distB="0" distL="0" distR="0">
            <wp:extent cx="6115050" cy="8524875"/>
            <wp:effectExtent l="0" t="0" r="0" b="9525"/>
            <wp:docPr id="20436539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15050" cy="8524875"/>
                    </a:xfrm>
                    <a:prstGeom prst="rect">
                      <a:avLst/>
                    </a:prstGeom>
                    <a:noFill/>
                    <a:ln>
                      <a:noFill/>
                    </a:ln>
                  </pic:spPr>
                </pic:pic>
              </a:graphicData>
            </a:graphic>
          </wp:inline>
        </w:drawing>
      </w:r>
    </w:p>
    <w:p w:rsidR="00B07113" w:rsidRPr="00CC7883" w:rsidRDefault="00B07113"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lang w:eastAsia="zh-CN" w:bidi="hi-IN"/>
        </w:rPr>
        <w:sectPr w:rsidR="00B07113" w:rsidRPr="00CC7883" w:rsidSect="00854E40">
          <w:pgSz w:w="11906" w:h="16838"/>
          <w:pgMar w:top="850" w:right="850" w:bottom="850" w:left="1417" w:header="708" w:footer="708" w:gutter="0"/>
          <w:cols w:space="708"/>
          <w:docGrid w:linePitch="360"/>
        </w:sectPr>
      </w:pPr>
    </w:p>
    <w:p w:rsidR="00495642" w:rsidRDefault="00495642"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p>
    <w:p w:rsidR="00B07113" w:rsidRPr="00CC7883" w:rsidRDefault="00B07113"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Додаток Б</w:t>
      </w:r>
    </w:p>
    <w:p w:rsidR="00B07113" w:rsidRPr="00CC7883" w:rsidRDefault="00B07113" w:rsidP="00047411">
      <w:pPr>
        <w:widowControl w:val="0"/>
        <w:autoSpaceDN w:val="0"/>
        <w:spacing w:after="0" w:line="240" w:lineRule="auto"/>
        <w:textAlignment w:val="baseline"/>
        <w:rPr>
          <w:rFonts w:ascii="Times New Roman" w:eastAsia="NSimSun" w:hAnsi="Times New Roman" w:cs="Times New Roman"/>
          <w:color w:val="000000" w:themeColor="text1"/>
          <w:kern w:val="3"/>
          <w:sz w:val="28"/>
          <w:lang w:eastAsia="zh-CN" w:bidi="hi-IN"/>
        </w:rPr>
      </w:pPr>
    </w:p>
    <w:p w:rsidR="00B07113" w:rsidRPr="00CC7883" w:rsidRDefault="00B07113" w:rsidP="00047411">
      <w:pPr>
        <w:widowControl w:val="0"/>
        <w:autoSpaceDN w:val="0"/>
        <w:spacing w:after="0" w:line="360" w:lineRule="auto"/>
        <w:jc w:val="center"/>
        <w:textAlignment w:val="baseline"/>
        <w:rPr>
          <w:rFonts w:ascii="Times New Roman" w:eastAsia="NSimSun" w:hAnsi="Times New Roman" w:cs="Times New Roman"/>
          <w:b/>
          <w:bCs/>
          <w:color w:val="000000" w:themeColor="text1"/>
          <w:kern w:val="3"/>
          <w:sz w:val="28"/>
          <w:szCs w:val="28"/>
          <w:lang w:eastAsia="zh-CN" w:bidi="hi-IN"/>
        </w:rPr>
      </w:pPr>
      <w:r w:rsidRPr="00CC7883">
        <w:rPr>
          <w:rFonts w:ascii="Times New Roman" w:eastAsia="NSimSun" w:hAnsi="Times New Roman" w:cs="Times New Roman"/>
          <w:b/>
          <w:bCs/>
          <w:color w:val="000000" w:themeColor="text1"/>
          <w:kern w:val="3"/>
          <w:sz w:val="28"/>
          <w:szCs w:val="28"/>
          <w:lang w:eastAsia="zh-CN" w:bidi="hi-IN"/>
        </w:rPr>
        <w:t>СПИСОК ОПУБЛІКОВАНИХ ПРАЦЬ ЗА ТЕМОЮ ДИСЕРТАЦІЇ</w:t>
      </w:r>
    </w:p>
    <w:p w:rsidR="00B07113" w:rsidRPr="00CC7883" w:rsidRDefault="00B07113" w:rsidP="00047411">
      <w:pPr>
        <w:widowControl w:val="0"/>
        <w:autoSpaceDN w:val="0"/>
        <w:spacing w:after="0" w:line="240" w:lineRule="auto"/>
        <w:textAlignment w:val="baseline"/>
        <w:rPr>
          <w:rFonts w:ascii="Times New Roman" w:eastAsia="NSimSun" w:hAnsi="Times New Roman" w:cs="Times New Roman"/>
          <w:color w:val="000000" w:themeColor="text1"/>
          <w:kern w:val="3"/>
          <w:sz w:val="28"/>
          <w:lang w:eastAsia="zh-CN" w:bidi="hi-IN"/>
        </w:rPr>
      </w:pPr>
    </w:p>
    <w:p w:rsidR="00B07113" w:rsidRPr="00CC7883" w:rsidRDefault="00B07113" w:rsidP="00047411">
      <w:pPr>
        <w:widowControl w:val="0"/>
        <w:autoSpaceDN w:val="0"/>
        <w:spacing w:after="0" w:line="360" w:lineRule="auto"/>
        <w:jc w:val="center"/>
        <w:textAlignment w:val="baseline"/>
        <w:rPr>
          <w:rFonts w:ascii="Times New Roman" w:eastAsia="NSimSun" w:hAnsi="Times New Roman" w:cs="Times New Roman"/>
          <w:b/>
          <w:color w:val="000000" w:themeColor="text1"/>
          <w:kern w:val="3"/>
          <w:sz w:val="28"/>
          <w:szCs w:val="28"/>
          <w:lang w:eastAsia="zh-CN" w:bidi="hi-IN"/>
        </w:rPr>
      </w:pPr>
      <w:r w:rsidRPr="00CC7883">
        <w:rPr>
          <w:rFonts w:ascii="Times New Roman" w:eastAsia="NSimSun" w:hAnsi="Times New Roman" w:cs="Times New Roman"/>
          <w:b/>
          <w:color w:val="000000" w:themeColor="text1"/>
          <w:kern w:val="3"/>
          <w:sz w:val="28"/>
          <w:szCs w:val="28"/>
          <w:lang w:eastAsia="zh-CN" w:bidi="hi-IN"/>
        </w:rPr>
        <w:t>Статті у наукових фахових виданнях України</w:t>
      </w:r>
    </w:p>
    <w:p w:rsidR="00B07113" w:rsidRPr="00CC7883" w:rsidRDefault="00B07113"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w:t>
      </w:r>
      <w:r w:rsidRPr="00CC7883">
        <w:rPr>
          <w:rFonts w:ascii="Times New Roman" w:eastAsia="NSimSun" w:hAnsi="Times New Roman" w:cs="Times New Roman"/>
          <w:color w:val="000000" w:themeColor="text1"/>
          <w:kern w:val="3"/>
          <w:sz w:val="28"/>
          <w:szCs w:val="28"/>
          <w:lang w:eastAsia="zh-CN" w:bidi="hi-IN"/>
        </w:rPr>
        <w:tab/>
        <w:t xml:space="preserve">Зеленянська Н. М., Самофалов М. О. Регенераційна здатність підщепних і технічних сортів винограду в культурі тканин і органів </w:t>
      </w:r>
      <w:r w:rsidRPr="00CC7883">
        <w:rPr>
          <w:rFonts w:ascii="Times New Roman" w:hAnsi="Times New Roman" w:cs="Times New Roman"/>
          <w:i/>
          <w:iCs/>
          <w:color w:val="000000" w:themeColor="text1"/>
          <w:sz w:val="28"/>
          <w:szCs w:val="28"/>
        </w:rPr>
        <w:t>in vitro</w:t>
      </w:r>
      <w:r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i/>
          <w:color w:val="000000" w:themeColor="text1"/>
          <w:kern w:val="3"/>
          <w:sz w:val="28"/>
          <w:szCs w:val="28"/>
          <w:lang w:eastAsia="zh-CN" w:bidi="hi-IN"/>
        </w:rPr>
        <w:t>Таврійський науковий вісник</w:t>
      </w:r>
      <w:r w:rsidRPr="00CC7883">
        <w:rPr>
          <w:rFonts w:ascii="Times New Roman" w:eastAsia="NSimSun" w:hAnsi="Times New Roman" w:cs="Times New Roman"/>
          <w:color w:val="000000" w:themeColor="text1"/>
          <w:kern w:val="3"/>
          <w:sz w:val="28"/>
          <w:szCs w:val="28"/>
          <w:lang w:eastAsia="zh-CN" w:bidi="hi-IN"/>
        </w:rPr>
        <w:t>. 2022. № 123. С. 67–76. DOI: https://doi.org/10.32851/2226-0099.2022.123.10.</w:t>
      </w:r>
    </w:p>
    <w:p w:rsidR="00B07113" w:rsidRPr="00CC7883" w:rsidRDefault="00B07113"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2.</w:t>
      </w:r>
      <w:r w:rsidRPr="00CC7883">
        <w:rPr>
          <w:rFonts w:ascii="Times New Roman" w:eastAsia="NSimSun" w:hAnsi="Times New Roman" w:cs="Times New Roman"/>
          <w:color w:val="000000" w:themeColor="text1"/>
          <w:kern w:val="3"/>
          <w:sz w:val="28"/>
          <w:szCs w:val="28"/>
          <w:lang w:eastAsia="zh-CN" w:bidi="hi-IN"/>
        </w:rPr>
        <w:tab/>
        <w:t xml:space="preserve">Зеленянська Н. М., Самофалов М. О. Підвищення адаптивності мікроклонів винограду в умовах </w:t>
      </w:r>
      <w:r w:rsidRPr="00CC7883">
        <w:rPr>
          <w:rFonts w:ascii="Times New Roman" w:hAnsi="Times New Roman" w:cs="Times New Roman"/>
          <w:i/>
          <w:iCs/>
          <w:color w:val="000000" w:themeColor="text1"/>
          <w:sz w:val="28"/>
          <w:szCs w:val="28"/>
        </w:rPr>
        <w:t>in vitro</w:t>
      </w:r>
      <w:r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i/>
          <w:color w:val="000000" w:themeColor="text1"/>
          <w:kern w:val="3"/>
          <w:sz w:val="28"/>
          <w:szCs w:val="28"/>
          <w:lang w:eastAsia="zh-CN" w:bidi="hi-IN"/>
        </w:rPr>
        <w:t>Аграрні інновації</w:t>
      </w:r>
      <w:r w:rsidRPr="00CC7883">
        <w:rPr>
          <w:rFonts w:ascii="Times New Roman" w:eastAsia="NSimSun" w:hAnsi="Times New Roman" w:cs="Times New Roman"/>
          <w:color w:val="000000" w:themeColor="text1"/>
          <w:kern w:val="3"/>
          <w:sz w:val="28"/>
          <w:szCs w:val="28"/>
          <w:lang w:eastAsia="zh-CN" w:bidi="hi-IN"/>
        </w:rPr>
        <w:t>. 2022. № 11. С. 25–31. DOI: https://doi.org/10.32848/agrar.innov.2022.11.3.</w:t>
      </w:r>
    </w:p>
    <w:p w:rsidR="00B07113" w:rsidRPr="00CC7883" w:rsidRDefault="00B07113"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3.</w:t>
      </w:r>
      <w:r w:rsidRPr="00CC7883">
        <w:rPr>
          <w:rFonts w:ascii="Times New Roman" w:eastAsia="NSimSun" w:hAnsi="Times New Roman" w:cs="Times New Roman"/>
          <w:color w:val="000000" w:themeColor="text1"/>
          <w:kern w:val="3"/>
          <w:sz w:val="28"/>
          <w:szCs w:val="28"/>
          <w:lang w:eastAsia="zh-CN" w:bidi="hi-IN"/>
        </w:rPr>
        <w:tab/>
        <w:t xml:space="preserve">Зеленянська Н. М., Самофалов М. О. Вплив умов культивування мікроклонів винограду </w:t>
      </w:r>
      <w:r w:rsidRPr="00CC7883">
        <w:rPr>
          <w:rFonts w:ascii="Times New Roman" w:hAnsi="Times New Roman" w:cs="Times New Roman"/>
          <w:i/>
          <w:iCs/>
          <w:color w:val="000000" w:themeColor="text1"/>
          <w:sz w:val="28"/>
          <w:szCs w:val="28"/>
        </w:rPr>
        <w:t>in vitro</w:t>
      </w:r>
      <w:r w:rsidRPr="00CC7883">
        <w:rPr>
          <w:rFonts w:ascii="Times New Roman" w:eastAsia="NSimSun" w:hAnsi="Times New Roman" w:cs="Times New Roman"/>
          <w:color w:val="000000" w:themeColor="text1"/>
          <w:kern w:val="3"/>
          <w:sz w:val="28"/>
          <w:szCs w:val="28"/>
          <w:lang w:eastAsia="zh-CN" w:bidi="hi-IN"/>
        </w:rPr>
        <w:t xml:space="preserve"> на їх приживлюваність </w:t>
      </w:r>
      <w:r w:rsidRPr="00CC7883">
        <w:rPr>
          <w:rFonts w:ascii="Times New Roman" w:eastAsia="NSimSun" w:hAnsi="Times New Roman" w:cs="Times New Roman"/>
          <w:i/>
          <w:iCs/>
          <w:color w:val="000000" w:themeColor="text1"/>
          <w:kern w:val="3"/>
          <w:sz w:val="28"/>
          <w:szCs w:val="28"/>
        </w:rPr>
        <w:t>in vivo</w:t>
      </w:r>
      <w:r w:rsidRPr="00CC7883">
        <w:rPr>
          <w:rFonts w:ascii="Times New Roman" w:eastAsia="NSimSun" w:hAnsi="Times New Roman" w:cs="Times New Roman"/>
          <w:color w:val="000000" w:themeColor="text1"/>
          <w:kern w:val="3"/>
          <w:sz w:val="28"/>
          <w:szCs w:val="28"/>
          <w:lang w:eastAsia="zh-CN" w:bidi="hi-IN"/>
        </w:rPr>
        <w:t xml:space="preserve">. </w:t>
      </w:r>
      <w:r w:rsidRPr="00CC7883">
        <w:rPr>
          <w:rFonts w:ascii="Times New Roman" w:eastAsia="NSimSun" w:hAnsi="Times New Roman" w:cs="Times New Roman"/>
          <w:i/>
          <w:color w:val="000000" w:themeColor="text1"/>
          <w:kern w:val="3"/>
          <w:sz w:val="28"/>
          <w:szCs w:val="28"/>
          <w:lang w:eastAsia="zh-CN" w:bidi="hi-IN"/>
        </w:rPr>
        <w:t>Таврійський науковий вісник</w:t>
      </w:r>
      <w:r w:rsidRPr="00CC7883">
        <w:rPr>
          <w:rFonts w:ascii="Times New Roman" w:eastAsia="NSimSun" w:hAnsi="Times New Roman" w:cs="Times New Roman"/>
          <w:color w:val="000000" w:themeColor="text1"/>
          <w:kern w:val="3"/>
          <w:sz w:val="28"/>
          <w:szCs w:val="28"/>
          <w:lang w:eastAsia="zh-CN" w:bidi="hi-IN"/>
        </w:rPr>
        <w:t>. 2022. № 127. С. 64–71. DOI: https://doi.org/10.32851/2226-0099.2022.127.8.</w:t>
      </w:r>
    </w:p>
    <w:p w:rsidR="00B07113" w:rsidRPr="00CC7883" w:rsidRDefault="00B07113"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szCs w:val="28"/>
          <w:lang w:eastAsia="zh-CN" w:bidi="hi-IN"/>
        </w:rPr>
      </w:pPr>
    </w:p>
    <w:p w:rsidR="00353BE1" w:rsidRPr="00CC7883" w:rsidRDefault="00B07113" w:rsidP="00495642">
      <w:pPr>
        <w:widowControl w:val="0"/>
        <w:spacing w:after="0" w:line="360" w:lineRule="auto"/>
        <w:ind w:left="720"/>
        <w:contextualSpacing/>
        <w:jc w:val="center"/>
        <w:rPr>
          <w:rFonts w:ascii="Times New Roman" w:eastAsia="Calibri" w:hAnsi="Times New Roman" w:cs="Times New Roman"/>
          <w:color w:val="000000" w:themeColor="text1"/>
          <w:kern w:val="3"/>
          <w:sz w:val="28"/>
          <w:szCs w:val="28"/>
          <w:lang w:eastAsia="ar-SA"/>
        </w:rPr>
      </w:pPr>
      <w:r w:rsidRPr="00CC7883">
        <w:rPr>
          <w:rFonts w:ascii="Times New Roman" w:eastAsia="Calibri" w:hAnsi="Times New Roman" w:cs="Times New Roman"/>
          <w:b/>
          <w:color w:val="000000" w:themeColor="text1"/>
          <w:kern w:val="0"/>
          <w:sz w:val="28"/>
          <w:szCs w:val="28"/>
        </w:rPr>
        <w:t>Статті у науковому фаховому виданні України, проіндексованому в базах даних Scopus</w:t>
      </w:r>
    </w:p>
    <w:p w:rsidR="00B07113" w:rsidRPr="00CC7883" w:rsidRDefault="00B07113" w:rsidP="00047411">
      <w:pPr>
        <w:pStyle w:val="a7"/>
        <w:widowControl w:val="0"/>
        <w:numPr>
          <w:ilvl w:val="0"/>
          <w:numId w:val="45"/>
        </w:numPr>
        <w:autoSpaceDN w:val="0"/>
        <w:spacing w:after="0" w:line="360" w:lineRule="auto"/>
        <w:ind w:left="0" w:firstLine="0"/>
        <w:jc w:val="both"/>
        <w:textAlignment w:val="baseline"/>
        <w:rPr>
          <w:rFonts w:ascii="Times New Roman" w:eastAsia="Calibri" w:hAnsi="Times New Roman" w:cs="Times New Roman"/>
          <w:color w:val="000000" w:themeColor="text1"/>
          <w:kern w:val="3"/>
          <w:sz w:val="28"/>
          <w:szCs w:val="28"/>
          <w:lang w:eastAsia="ar-SA"/>
        </w:rPr>
      </w:pPr>
      <w:r w:rsidRPr="00CC7883">
        <w:rPr>
          <w:rFonts w:ascii="Times New Roman" w:eastAsia="Calibri" w:hAnsi="Times New Roman" w:cs="Times New Roman"/>
          <w:color w:val="000000" w:themeColor="text1"/>
          <w:kern w:val="3"/>
          <w:sz w:val="28"/>
          <w:szCs w:val="28"/>
          <w:lang w:eastAsia="ar-SA"/>
        </w:rPr>
        <w:t>Zeleni</w:t>
      </w:r>
      <w:r w:rsidR="00FA2251">
        <w:rPr>
          <w:rFonts w:ascii="Times New Roman" w:eastAsia="Calibri" w:hAnsi="Times New Roman" w:cs="Times New Roman"/>
          <w:color w:val="000000" w:themeColor="text1"/>
          <w:kern w:val="3"/>
          <w:sz w:val="28"/>
          <w:szCs w:val="28"/>
          <w:lang w:val="en-US" w:eastAsia="ar-SA"/>
        </w:rPr>
        <w:t>a</w:t>
      </w:r>
      <w:r w:rsidRPr="00CC7883">
        <w:rPr>
          <w:rFonts w:ascii="Times New Roman" w:eastAsia="Calibri" w:hAnsi="Times New Roman" w:cs="Times New Roman"/>
          <w:color w:val="000000" w:themeColor="text1"/>
          <w:kern w:val="3"/>
          <w:sz w:val="28"/>
          <w:szCs w:val="28"/>
          <w:lang w:eastAsia="ar-SA"/>
        </w:rPr>
        <w:t xml:space="preserve">nska N. M., Ishchenko I. O., Samofalov M. O. Influence of nutrient media on the physiological parameters of grape microclones. </w:t>
      </w:r>
      <w:r w:rsidRPr="00CC7883">
        <w:rPr>
          <w:rFonts w:ascii="Times New Roman" w:eastAsia="Calibri" w:hAnsi="Times New Roman" w:cs="Times New Roman"/>
          <w:i/>
          <w:color w:val="000000" w:themeColor="text1"/>
          <w:kern w:val="3"/>
          <w:sz w:val="28"/>
          <w:szCs w:val="28"/>
          <w:lang w:eastAsia="ar-SA"/>
        </w:rPr>
        <w:t>Scientific Horizons</w:t>
      </w:r>
      <w:r w:rsidRPr="00CC7883">
        <w:rPr>
          <w:rFonts w:ascii="Times New Roman" w:eastAsia="Calibri" w:hAnsi="Times New Roman" w:cs="Times New Roman"/>
          <w:color w:val="000000" w:themeColor="text1"/>
          <w:kern w:val="3"/>
          <w:sz w:val="28"/>
          <w:szCs w:val="28"/>
          <w:lang w:eastAsia="ar-SA"/>
        </w:rPr>
        <w:t xml:space="preserve">. 2023. Vol. 6, No. 26. P. 71–84. </w:t>
      </w:r>
      <w:r w:rsidR="00911A5A" w:rsidRPr="00911A5A">
        <w:rPr>
          <w:rFonts w:ascii="Times New Roman" w:hAnsi="Times New Roman" w:cs="Times New Roman"/>
          <w:sz w:val="28"/>
          <w:szCs w:val="28"/>
        </w:rPr>
        <w:t>DOI: https://doi.org/10.48077/scihor6.2023.7</w:t>
      </w:r>
      <w:r w:rsidRPr="00CC7883">
        <w:rPr>
          <w:rFonts w:ascii="Times New Roman" w:eastAsia="Calibri" w:hAnsi="Times New Roman" w:cs="Times New Roman"/>
          <w:color w:val="000000" w:themeColor="text1"/>
          <w:kern w:val="3"/>
          <w:sz w:val="28"/>
          <w:szCs w:val="28"/>
          <w:lang w:eastAsia="ar-SA"/>
        </w:rPr>
        <w:t>.</w:t>
      </w:r>
    </w:p>
    <w:p w:rsidR="00B07113" w:rsidRPr="00CC7883" w:rsidRDefault="00B07113" w:rsidP="00047411">
      <w:pPr>
        <w:widowControl w:val="0"/>
        <w:autoSpaceDN w:val="0"/>
        <w:spacing w:after="0" w:line="360" w:lineRule="auto"/>
        <w:textAlignment w:val="baseline"/>
        <w:rPr>
          <w:rFonts w:ascii="Times New Roman" w:eastAsia="NSimSun" w:hAnsi="Times New Roman" w:cs="Times New Roman"/>
          <w:b/>
          <w:color w:val="000000" w:themeColor="text1"/>
          <w:kern w:val="3"/>
          <w:sz w:val="28"/>
          <w:szCs w:val="28"/>
          <w:lang w:eastAsia="zh-CN" w:bidi="hi-IN"/>
        </w:rPr>
      </w:pPr>
    </w:p>
    <w:p w:rsidR="00B07113" w:rsidRPr="00CC7883" w:rsidRDefault="00B07113" w:rsidP="00047411">
      <w:pPr>
        <w:widowControl w:val="0"/>
        <w:autoSpaceDN w:val="0"/>
        <w:spacing w:after="0" w:line="360" w:lineRule="auto"/>
        <w:jc w:val="center"/>
        <w:textAlignment w:val="baseline"/>
        <w:rPr>
          <w:rFonts w:ascii="Times New Roman" w:eastAsia="NSimSun" w:hAnsi="Times New Roman" w:cs="Times New Roman"/>
          <w:b/>
          <w:color w:val="000000" w:themeColor="text1"/>
          <w:kern w:val="3"/>
          <w:sz w:val="28"/>
          <w:szCs w:val="28"/>
          <w:lang w:eastAsia="zh-CN" w:bidi="hi-IN"/>
        </w:rPr>
      </w:pPr>
      <w:r w:rsidRPr="00CC7883">
        <w:rPr>
          <w:rFonts w:ascii="Times New Roman" w:eastAsia="NSimSun" w:hAnsi="Times New Roman" w:cs="Times New Roman"/>
          <w:b/>
          <w:color w:val="000000" w:themeColor="text1"/>
          <w:kern w:val="3"/>
          <w:sz w:val="28"/>
          <w:szCs w:val="28"/>
          <w:lang w:eastAsia="zh-CN" w:bidi="hi-IN"/>
        </w:rPr>
        <w:t>Статті в іншому науковому виданні</w:t>
      </w:r>
    </w:p>
    <w:p w:rsidR="00B07113" w:rsidRPr="00CC7883" w:rsidRDefault="00B07113" w:rsidP="00047411">
      <w:pPr>
        <w:pStyle w:val="a7"/>
        <w:widowControl w:val="0"/>
        <w:numPr>
          <w:ilvl w:val="0"/>
          <w:numId w:val="45"/>
        </w:numPr>
        <w:autoSpaceDN w:val="0"/>
        <w:spacing w:after="0" w:line="360" w:lineRule="auto"/>
        <w:ind w:left="0" w:firstLine="0"/>
        <w:jc w:val="both"/>
        <w:textAlignment w:val="baseline"/>
        <w:rPr>
          <w:rFonts w:ascii="Times New Roman" w:eastAsia="NSimSun" w:hAnsi="Times New Roman" w:cs="Times New Roman"/>
          <w:color w:val="000000" w:themeColor="text1"/>
          <w:kern w:val="0"/>
          <w:sz w:val="28"/>
          <w:szCs w:val="28"/>
          <w:lang w:bidi="hi-IN"/>
        </w:rPr>
      </w:pPr>
      <w:r w:rsidRPr="00CC7883">
        <w:rPr>
          <w:rFonts w:ascii="Times New Roman" w:eastAsia="NSimSun" w:hAnsi="Times New Roman" w:cs="Times New Roman"/>
          <w:color w:val="000000" w:themeColor="text1"/>
          <w:kern w:val="0"/>
          <w:sz w:val="28"/>
          <w:szCs w:val="28"/>
          <w:lang w:bidi="hi-IN"/>
        </w:rPr>
        <w:t>Zelenianskaya N. N., Samofalov M. O. Manifestation of the regenerative ability of rootstock and technical variety of grapes (</w:t>
      </w:r>
      <w:r w:rsidRPr="00CC7883">
        <w:rPr>
          <w:rFonts w:ascii="Times New Roman" w:eastAsia="NSimSun" w:hAnsi="Times New Roman" w:cs="Times New Roman"/>
          <w:i/>
          <w:color w:val="000000" w:themeColor="text1"/>
          <w:kern w:val="0"/>
          <w:sz w:val="28"/>
          <w:szCs w:val="28"/>
          <w:lang w:bidi="hi-IN"/>
        </w:rPr>
        <w:t xml:space="preserve">Vitis vinifera </w:t>
      </w:r>
      <w:r w:rsidRPr="00CC7883">
        <w:rPr>
          <w:rFonts w:ascii="Times New Roman" w:eastAsia="NSimSun" w:hAnsi="Times New Roman" w:cs="Times New Roman"/>
          <w:color w:val="000000" w:themeColor="text1"/>
          <w:kern w:val="0"/>
          <w:sz w:val="28"/>
          <w:szCs w:val="28"/>
          <w:lang w:bidi="hi-IN"/>
        </w:rPr>
        <w:t xml:space="preserve">L.) on mineral substrates </w:t>
      </w:r>
      <w:r w:rsidRPr="00CC7883">
        <w:rPr>
          <w:rFonts w:ascii="Times New Roman" w:hAnsi="Times New Roman" w:cs="Times New Roman"/>
          <w:i/>
          <w:iCs/>
          <w:color w:val="000000" w:themeColor="text1"/>
          <w:sz w:val="28"/>
          <w:szCs w:val="28"/>
        </w:rPr>
        <w:t>in vitro</w:t>
      </w:r>
      <w:r w:rsidRPr="00CC7883">
        <w:rPr>
          <w:rFonts w:ascii="Times New Roman" w:eastAsia="NSimSun" w:hAnsi="Times New Roman" w:cs="Times New Roman"/>
          <w:color w:val="000000" w:themeColor="text1"/>
          <w:kern w:val="0"/>
          <w:sz w:val="28"/>
          <w:szCs w:val="28"/>
          <w:lang w:bidi="hi-IN"/>
        </w:rPr>
        <w:t xml:space="preserve"> conditions. </w:t>
      </w:r>
      <w:r w:rsidRPr="00CC7883">
        <w:rPr>
          <w:rFonts w:ascii="Times New Roman" w:eastAsia="NSimSun" w:hAnsi="Times New Roman" w:cs="Times New Roman"/>
          <w:i/>
          <w:color w:val="000000" w:themeColor="text1"/>
          <w:kern w:val="0"/>
          <w:sz w:val="28"/>
          <w:szCs w:val="28"/>
          <w:lang w:bidi="hi-IN"/>
        </w:rPr>
        <w:t>Colloquium-journal</w:t>
      </w:r>
      <w:r w:rsidRPr="00CC7883">
        <w:rPr>
          <w:rFonts w:ascii="Times New Roman" w:eastAsia="NSimSun" w:hAnsi="Times New Roman" w:cs="Times New Roman"/>
          <w:color w:val="000000" w:themeColor="text1"/>
          <w:kern w:val="0"/>
          <w:sz w:val="28"/>
          <w:szCs w:val="28"/>
          <w:lang w:bidi="hi-IN"/>
        </w:rPr>
        <w:t>. 2022. Vol. 19, No. 142. P. 34–37. DOI: https://doi.org/10.24412/2520-6990-2022-19142-34-37.</w:t>
      </w:r>
    </w:p>
    <w:p w:rsidR="00B07113" w:rsidRPr="00CC7883" w:rsidRDefault="00B07113" w:rsidP="00047411">
      <w:pPr>
        <w:widowControl w:val="0"/>
        <w:spacing w:line="259" w:lineRule="auto"/>
        <w:rPr>
          <w:rFonts w:ascii="Times New Roman" w:eastAsia="NSimSun" w:hAnsi="Times New Roman" w:cs="Times New Roman"/>
          <w:b/>
          <w:color w:val="000000" w:themeColor="text1"/>
          <w:kern w:val="3"/>
          <w:sz w:val="28"/>
          <w:szCs w:val="28"/>
          <w:lang w:eastAsia="zh-CN" w:bidi="hi-IN"/>
        </w:rPr>
      </w:pPr>
    </w:p>
    <w:p w:rsidR="00495642" w:rsidRDefault="00495642" w:rsidP="00047411">
      <w:pPr>
        <w:widowControl w:val="0"/>
        <w:autoSpaceDN w:val="0"/>
        <w:spacing w:after="0" w:line="360" w:lineRule="auto"/>
        <w:jc w:val="center"/>
        <w:textAlignment w:val="baseline"/>
        <w:rPr>
          <w:rFonts w:ascii="Times New Roman" w:eastAsia="NSimSun" w:hAnsi="Times New Roman" w:cs="Times New Roman"/>
          <w:b/>
          <w:color w:val="000000" w:themeColor="text1"/>
          <w:kern w:val="3"/>
          <w:sz w:val="28"/>
          <w:szCs w:val="28"/>
          <w:lang w:eastAsia="zh-CN" w:bidi="hi-IN"/>
        </w:rPr>
      </w:pPr>
    </w:p>
    <w:p w:rsidR="00495642" w:rsidRDefault="00495642" w:rsidP="00047411">
      <w:pPr>
        <w:widowControl w:val="0"/>
        <w:autoSpaceDN w:val="0"/>
        <w:spacing w:after="0" w:line="360" w:lineRule="auto"/>
        <w:jc w:val="center"/>
        <w:textAlignment w:val="baseline"/>
        <w:rPr>
          <w:rFonts w:ascii="Times New Roman" w:eastAsia="NSimSun" w:hAnsi="Times New Roman" w:cs="Times New Roman"/>
          <w:b/>
          <w:color w:val="000000" w:themeColor="text1"/>
          <w:kern w:val="3"/>
          <w:sz w:val="28"/>
          <w:szCs w:val="28"/>
          <w:lang w:eastAsia="zh-CN" w:bidi="hi-IN"/>
        </w:rPr>
      </w:pPr>
    </w:p>
    <w:p w:rsidR="00B07113" w:rsidRPr="00CC7883" w:rsidRDefault="00B07113" w:rsidP="00047411">
      <w:pPr>
        <w:widowControl w:val="0"/>
        <w:autoSpaceDN w:val="0"/>
        <w:spacing w:after="0" w:line="360" w:lineRule="auto"/>
        <w:jc w:val="center"/>
        <w:textAlignment w:val="baseline"/>
        <w:rPr>
          <w:rFonts w:ascii="Times New Roman" w:eastAsia="NSimSun" w:hAnsi="Times New Roman" w:cs="Times New Roman"/>
          <w:b/>
          <w:color w:val="000000" w:themeColor="text1"/>
          <w:kern w:val="3"/>
          <w:sz w:val="28"/>
          <w:szCs w:val="28"/>
          <w:lang w:eastAsia="zh-CN" w:bidi="hi-IN"/>
        </w:rPr>
      </w:pPr>
      <w:r w:rsidRPr="00CC7883">
        <w:rPr>
          <w:rFonts w:ascii="Times New Roman" w:eastAsia="NSimSun" w:hAnsi="Times New Roman" w:cs="Times New Roman"/>
          <w:b/>
          <w:color w:val="000000" w:themeColor="text1"/>
          <w:kern w:val="3"/>
          <w:sz w:val="28"/>
          <w:szCs w:val="28"/>
          <w:lang w:eastAsia="zh-CN" w:bidi="hi-IN"/>
        </w:rPr>
        <w:t>Наукові праці, які засвідчують апробацію матеріалів дисертації</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Вплив умов культивування на фізіолого-біохімічні показники мікроклонів винограду. </w:t>
      </w:r>
      <w:r w:rsidRPr="00CC7883">
        <w:rPr>
          <w:rFonts w:ascii="Times New Roman" w:hAnsi="Times New Roman"/>
          <w:i/>
          <w:color w:val="000000" w:themeColor="text1"/>
          <w:sz w:val="28"/>
          <w:szCs w:val="28"/>
        </w:rPr>
        <w:t>Modern research in world science</w:t>
      </w:r>
      <w:r w:rsidRPr="00CC7883">
        <w:rPr>
          <w:rFonts w:ascii="Times New Roman" w:hAnsi="Times New Roman"/>
          <w:color w:val="000000" w:themeColor="text1"/>
          <w:sz w:val="28"/>
          <w:szCs w:val="28"/>
        </w:rPr>
        <w:t xml:space="preserve"> : Proceedings of the 5th International scientific and practical conference. (Львів, 7–9 серпня 2022 р.). Львів, 2022. С. 24–28. URL: https://sci-conf.com.ua/v-mizhnarodna-naukovo-praktichna-konferentsiya-modern-research-in-world-science-7-9-08-2022-lviv-ukrayina-arhiv.</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Визначення основних фізіолого-біохімічних показників мікроклонів винограду. </w:t>
      </w:r>
      <w:r w:rsidRPr="00CC7883">
        <w:rPr>
          <w:rFonts w:ascii="Times New Roman" w:hAnsi="Times New Roman"/>
          <w:i/>
          <w:color w:val="000000" w:themeColor="text1"/>
          <w:sz w:val="28"/>
          <w:szCs w:val="28"/>
        </w:rPr>
        <w:t>Розвиток наукових міжгалузевих досліджень</w:t>
      </w:r>
      <w:r w:rsidRPr="00CC7883">
        <w:rPr>
          <w:rFonts w:ascii="Times New Roman" w:hAnsi="Times New Roman"/>
          <w:color w:val="000000" w:themeColor="text1"/>
          <w:sz w:val="28"/>
          <w:szCs w:val="28"/>
        </w:rPr>
        <w:t xml:space="preserve"> : матеріали наук.-практ. конф., (Вінниця, 26–27 листопада 2021 р.). Херсон, 2021. С. 32–35. URL:</w:t>
      </w:r>
      <w:r w:rsidRPr="00CC7883">
        <w:rPr>
          <w:color w:val="000000" w:themeColor="text1"/>
        </w:rPr>
        <w:t xml:space="preserve"> </w:t>
      </w:r>
      <w:r w:rsidRPr="00CC7883">
        <w:rPr>
          <w:rFonts w:ascii="Times New Roman" w:hAnsi="Times New Roman"/>
          <w:color w:val="000000" w:themeColor="text1"/>
          <w:sz w:val="28"/>
          <w:szCs w:val="28"/>
        </w:rPr>
        <w:t>http://molodyvcheny.in.ua/ua/conf/sociol/archive/1622/.</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Особливості росту та розвитку мікроклонів винограду на модифікованих поживних середовищах. </w:t>
      </w:r>
      <w:r w:rsidRPr="00CC7883">
        <w:rPr>
          <w:rFonts w:ascii="Times New Roman" w:hAnsi="Times New Roman"/>
          <w:i/>
          <w:color w:val="000000" w:themeColor="text1"/>
          <w:sz w:val="28"/>
          <w:szCs w:val="28"/>
        </w:rPr>
        <w:t>The Globalization of Scientific Knowledge</w:t>
      </w:r>
      <w:r w:rsidRPr="00CC7883">
        <w:rPr>
          <w:rFonts w:ascii="Times New Roman" w:hAnsi="Times New Roman"/>
          <w:color w:val="000000" w:themeColor="text1"/>
          <w:sz w:val="28"/>
          <w:szCs w:val="28"/>
        </w:rPr>
        <w:t xml:space="preserve"> : Theoretical and Practical Research : conf. proceedings. (Рига, 17–18 грудня 2021 р.). Рига, 2021. С. 15–19. DOI: https://doi.org/10.30525/978-9934-26-164-0-5.</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Регенераційний потенціал різних сортів винограду в культурі тканин і органів </w:t>
      </w:r>
      <w:r w:rsidRPr="00CC7883">
        <w:rPr>
          <w:rFonts w:ascii="Times New Roman" w:hAnsi="Times New Roman"/>
          <w:i/>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The latest scientific achievements in the modern agro-industrial complex</w:t>
      </w:r>
      <w:r w:rsidRPr="00CC7883">
        <w:rPr>
          <w:rFonts w:ascii="Times New Roman" w:hAnsi="Times New Roman"/>
          <w:color w:val="000000" w:themeColor="text1"/>
          <w:sz w:val="28"/>
          <w:szCs w:val="28"/>
        </w:rPr>
        <w:t xml:space="preserve"> : conf. proceedings. (Люблін, 28–29 грудня 2021 р.). Рига, 2021. С. 52–56. DOI: https://doi.org/10.30525/978-9934-26-184-8-12.</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Визначення регенераційної здатності винограду </w:t>
      </w:r>
      <w:r w:rsidRPr="00CC7883">
        <w:rPr>
          <w:rFonts w:ascii="Times New Roman" w:hAnsi="Times New Roman"/>
          <w:i/>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International scientific innovations in human life</w:t>
      </w:r>
      <w:r w:rsidRPr="00CC7883">
        <w:rPr>
          <w:rFonts w:ascii="Times New Roman" w:hAnsi="Times New Roman"/>
          <w:color w:val="000000" w:themeColor="text1"/>
          <w:sz w:val="28"/>
          <w:szCs w:val="28"/>
        </w:rPr>
        <w:t xml:space="preserve"> : The 7th Int. sci.-pract. conf. (Манчестер, 19–21 січня 2022 р.). Манчестер, 2022. С. 20–28. URL: https://sci-conf.com.ua/wp-content/uploads/2022/01/INTERNATIONAL-SCIENTIFIC-INNOVATIONS-IN-HUMAN-LIFE-19-21.01.22.pdf.</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Вплив модифікованого поживного середовища на розвиток вегетативної маси мікроклонів винограду. </w:t>
      </w:r>
      <w:r w:rsidR="00FA2251" w:rsidRPr="00CC7883">
        <w:rPr>
          <w:rFonts w:ascii="Times New Roman" w:hAnsi="Times New Roman"/>
          <w:i/>
          <w:color w:val="000000" w:themeColor="text1"/>
          <w:sz w:val="28"/>
          <w:szCs w:val="28"/>
        </w:rPr>
        <w:t xml:space="preserve">Scientific </w:t>
      </w:r>
      <w:r w:rsidR="00FA2251" w:rsidRPr="00CC7883">
        <w:rPr>
          <w:rFonts w:ascii="Times New Roman" w:hAnsi="Times New Roman"/>
          <w:i/>
          <w:color w:val="000000" w:themeColor="text1"/>
          <w:sz w:val="28"/>
          <w:szCs w:val="28"/>
        </w:rPr>
        <w:lastRenderedPageBreak/>
        <w:t>Collection</w:t>
      </w:r>
      <w:r w:rsidR="00FA2251">
        <w:rPr>
          <w:rFonts w:ascii="Times New Roman" w:hAnsi="Times New Roman"/>
          <w:i/>
          <w:color w:val="000000" w:themeColor="text1"/>
          <w:sz w:val="28"/>
          <w:szCs w:val="28"/>
          <w:lang w:val="en-US"/>
        </w:rPr>
        <w:t xml:space="preserve"> </w:t>
      </w:r>
      <w:r w:rsidR="00FA2251" w:rsidRPr="00F62136">
        <w:rPr>
          <w:rFonts w:ascii="Times New Roman" w:hAnsi="Times New Roman"/>
          <w:i/>
          <w:color w:val="000000" w:themeColor="text1"/>
          <w:sz w:val="28"/>
          <w:szCs w:val="28"/>
          <w:lang w:val="en-US"/>
        </w:rPr>
        <w:t>«</w:t>
      </w:r>
      <w:r w:rsidR="00FA2251" w:rsidRPr="00CC7883">
        <w:rPr>
          <w:rFonts w:ascii="Times New Roman" w:hAnsi="Times New Roman"/>
          <w:i/>
          <w:color w:val="000000" w:themeColor="text1"/>
          <w:sz w:val="28"/>
          <w:szCs w:val="28"/>
        </w:rPr>
        <w:t>InterConf</w:t>
      </w:r>
      <w:r w:rsidR="00FA2251" w:rsidRPr="00F62136">
        <w:rPr>
          <w:rFonts w:ascii="Times New Roman" w:hAnsi="Times New Roman"/>
          <w:i/>
          <w:color w:val="000000" w:themeColor="text1"/>
          <w:sz w:val="28"/>
          <w:szCs w:val="28"/>
          <w:lang w:val="en-US"/>
        </w:rPr>
        <w:t>»</w:t>
      </w:r>
      <w:r w:rsidR="00FA2251" w:rsidRPr="00CC7883">
        <w:rPr>
          <w:rFonts w:ascii="Times New Roman" w:hAnsi="Times New Roman"/>
          <w:i/>
          <w:color w:val="000000" w:themeColor="text1"/>
          <w:sz w:val="28"/>
          <w:szCs w:val="28"/>
        </w:rPr>
        <w:t>,</w:t>
      </w:r>
      <w:r w:rsidRPr="00CC7883">
        <w:rPr>
          <w:rFonts w:ascii="Times New Roman" w:hAnsi="Times New Roman"/>
          <w:i/>
          <w:color w:val="000000" w:themeColor="text1"/>
          <w:sz w:val="28"/>
          <w:szCs w:val="28"/>
        </w:rPr>
        <w:t xml:space="preserve"> (10</w:t>
      </w:r>
      <w:r w:rsidR="00FA2251" w:rsidRPr="00F62136">
        <w:rPr>
          <w:rFonts w:ascii="Times New Roman" w:hAnsi="Times New Roman"/>
          <w:i/>
          <w:color w:val="000000" w:themeColor="text1"/>
          <w:sz w:val="28"/>
          <w:szCs w:val="28"/>
          <w:lang w:val="en-US"/>
        </w:rPr>
        <w:t>0</w:t>
      </w:r>
      <w:r w:rsidRPr="00CC7883">
        <w:rPr>
          <w:rFonts w:ascii="Times New Roman" w:hAnsi="Times New Roman"/>
          <w:i/>
          <w:color w:val="000000" w:themeColor="text1"/>
          <w:sz w:val="28"/>
          <w:szCs w:val="28"/>
        </w:rPr>
        <w:t>)</w:t>
      </w:r>
      <w:r w:rsidRPr="00CC7883">
        <w:rPr>
          <w:rFonts w:ascii="Times New Roman" w:hAnsi="Times New Roman"/>
          <w:color w:val="000000" w:themeColor="text1"/>
          <w:sz w:val="28"/>
          <w:szCs w:val="28"/>
        </w:rPr>
        <w:t xml:space="preserve"> : </w:t>
      </w:r>
      <w:r w:rsidR="00FA2251" w:rsidRPr="00FA2251">
        <w:rPr>
          <w:rFonts w:ascii="Times New Roman" w:hAnsi="Times New Roman"/>
          <w:color w:val="000000" w:themeColor="text1"/>
          <w:sz w:val="28"/>
          <w:szCs w:val="28"/>
        </w:rPr>
        <w:t>with the Proceedings of the 6th International Scientific and Practical Conference «Global and Regional Aspects of Sustainable Development»</w:t>
      </w:r>
      <w:r w:rsidRPr="00CC7883">
        <w:rPr>
          <w:rFonts w:ascii="Times New Roman" w:hAnsi="Times New Roman"/>
          <w:color w:val="000000" w:themeColor="text1"/>
          <w:sz w:val="28"/>
          <w:szCs w:val="28"/>
        </w:rPr>
        <w:t>. (Копенгаген, 26–28 лют</w:t>
      </w:r>
      <w:r w:rsidR="00FA2251">
        <w:rPr>
          <w:rFonts w:ascii="Times New Roman" w:hAnsi="Times New Roman"/>
          <w:color w:val="000000" w:themeColor="text1"/>
          <w:sz w:val="28"/>
          <w:szCs w:val="28"/>
          <w:lang w:val="ru-RU"/>
        </w:rPr>
        <w:t>ого</w:t>
      </w:r>
      <w:r w:rsidRPr="00CC7883">
        <w:rPr>
          <w:rFonts w:ascii="Times New Roman" w:hAnsi="Times New Roman"/>
          <w:color w:val="000000" w:themeColor="text1"/>
          <w:sz w:val="28"/>
          <w:szCs w:val="28"/>
        </w:rPr>
        <w:t xml:space="preserve"> 2022 р.). Копенгаген, 2022. С. 868–876. URL: https://ojs.ukrlogos.in.ua/index.php/interconf/issue/view/26-28.02.2022/720.</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Вплив модифікованого поживного середовища на розвиток кореневої системи мікроклонів винограду. </w:t>
      </w:r>
      <w:r w:rsidRPr="00CC7883">
        <w:rPr>
          <w:rFonts w:ascii="Times New Roman" w:hAnsi="Times New Roman"/>
          <w:i/>
          <w:color w:val="000000" w:themeColor="text1"/>
          <w:sz w:val="28"/>
          <w:szCs w:val="28"/>
        </w:rPr>
        <w:t>Scientific Collection</w:t>
      </w:r>
      <w:r w:rsidR="00FA2251">
        <w:rPr>
          <w:rFonts w:ascii="Times New Roman" w:hAnsi="Times New Roman"/>
          <w:i/>
          <w:color w:val="000000" w:themeColor="text1"/>
          <w:sz w:val="28"/>
          <w:szCs w:val="28"/>
          <w:lang w:val="en-US"/>
        </w:rPr>
        <w:t xml:space="preserve"> </w:t>
      </w:r>
      <w:r w:rsidR="00FA2251" w:rsidRPr="00F62136">
        <w:rPr>
          <w:rFonts w:ascii="Times New Roman" w:hAnsi="Times New Roman"/>
          <w:i/>
          <w:color w:val="000000" w:themeColor="text1"/>
          <w:sz w:val="28"/>
          <w:szCs w:val="28"/>
          <w:lang w:val="en-US"/>
        </w:rPr>
        <w:t>«</w:t>
      </w:r>
      <w:r w:rsidR="00FA2251" w:rsidRPr="00CC7883">
        <w:rPr>
          <w:rFonts w:ascii="Times New Roman" w:hAnsi="Times New Roman"/>
          <w:i/>
          <w:color w:val="000000" w:themeColor="text1"/>
          <w:sz w:val="28"/>
          <w:szCs w:val="28"/>
        </w:rPr>
        <w:t>InterConf</w:t>
      </w:r>
      <w:r w:rsidR="00FA2251" w:rsidRPr="00F62136">
        <w:rPr>
          <w:rFonts w:ascii="Times New Roman" w:hAnsi="Times New Roman"/>
          <w:i/>
          <w:color w:val="000000" w:themeColor="text1"/>
          <w:sz w:val="28"/>
          <w:szCs w:val="28"/>
          <w:lang w:val="en-US"/>
        </w:rPr>
        <w:t>»</w:t>
      </w:r>
      <w:r w:rsidRPr="00CC7883">
        <w:rPr>
          <w:rFonts w:ascii="Times New Roman" w:hAnsi="Times New Roman"/>
          <w:i/>
          <w:color w:val="000000" w:themeColor="text1"/>
          <w:sz w:val="28"/>
          <w:szCs w:val="28"/>
        </w:rPr>
        <w:t>, (101)</w:t>
      </w:r>
      <w:r w:rsidRPr="00CC7883">
        <w:rPr>
          <w:rFonts w:ascii="Times New Roman" w:hAnsi="Times New Roman"/>
          <w:color w:val="000000" w:themeColor="text1"/>
          <w:sz w:val="28"/>
          <w:szCs w:val="28"/>
        </w:rPr>
        <w:t xml:space="preserve"> : with the Proceedings of the 11th Int. sci.-pract. conf. «Scientific Research in XXI Century». (Оттава, 6–8 березня 2022 р.). Оттава, 2022. С. 330–338. URL: https://ojs.ukrlogos.in.ua/index.php/interconf/article/view/18816.</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Способи адаптації мікроклонів винограду. </w:t>
      </w:r>
      <w:r w:rsidRPr="00CC7883">
        <w:rPr>
          <w:rFonts w:ascii="Times New Roman" w:hAnsi="Times New Roman"/>
          <w:i/>
          <w:color w:val="000000" w:themeColor="text1"/>
          <w:sz w:val="28"/>
          <w:szCs w:val="28"/>
        </w:rPr>
        <w:t>Modern research in world science</w:t>
      </w:r>
      <w:r w:rsidRPr="00CC7883">
        <w:rPr>
          <w:rFonts w:ascii="Times New Roman" w:hAnsi="Times New Roman"/>
          <w:color w:val="000000" w:themeColor="text1"/>
          <w:sz w:val="28"/>
          <w:szCs w:val="28"/>
        </w:rPr>
        <w:t xml:space="preserve"> : The 2nd Int. sci.-pract. conf. (Львів, 15–17 травня 2022 р.). Львів, 2022. С. 39–43. URL: https://sci-conf.com.ua/wp-content/uploads/2022/05/MODERN-RESEARCH-IN-WORLD-SCIENCE-15-17.05.22.pdf.</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Удосконалення окремих технологічних етапів розмноження винограду </w:t>
      </w:r>
      <w:r w:rsidRPr="00CC7883">
        <w:rPr>
          <w:rFonts w:ascii="Times New Roman" w:hAnsi="Times New Roman"/>
          <w:i/>
          <w:color w:val="000000" w:themeColor="text1"/>
          <w:sz w:val="28"/>
          <w:szCs w:val="28"/>
        </w:rPr>
        <w:t>in vitro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Селекція, генетика та технології вирощування сільськогосподарських культур</w:t>
      </w:r>
      <w:r w:rsidRPr="00CC7883">
        <w:rPr>
          <w:rFonts w:ascii="Times New Roman" w:hAnsi="Times New Roman"/>
          <w:color w:val="000000" w:themeColor="text1"/>
          <w:sz w:val="28"/>
          <w:szCs w:val="28"/>
        </w:rPr>
        <w:t xml:space="preserve"> : матеріали X Міжнар. наук.-практ. конф. молодих вчених і спеціалістів. (Центральне, 29 квітня 2022 р.). Київ, 2022. С. 95. URL: http://confer.uiesr.sops.gov.ua/miron2022/paper/viewFile/26209/14883.</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Спосіб підвищення приживлюваності мікроклонів винограду в умовах </w:t>
      </w:r>
      <w:r w:rsidRPr="00CC7883">
        <w:rPr>
          <w:rFonts w:ascii="Times New Roman" w:hAnsi="Times New Roman"/>
          <w:i/>
          <w:color w:val="000000" w:themeColor="text1"/>
          <w:sz w:val="28"/>
          <w:szCs w:val="28"/>
        </w:rPr>
        <w:t>in vivo</w:t>
      </w:r>
      <w:r w:rsidRPr="00CC7883">
        <w:rPr>
          <w:rFonts w:ascii="Times New Roman" w:hAnsi="Times New Roman"/>
          <w:color w:val="000000" w:themeColor="text1"/>
          <w:sz w:val="28"/>
          <w:szCs w:val="28"/>
        </w:rPr>
        <w:t xml:space="preserve">. </w:t>
      </w:r>
      <w:r w:rsidRPr="00CC7883">
        <w:rPr>
          <w:rFonts w:ascii="Times New Roman" w:hAnsi="Times New Roman"/>
          <w:i/>
          <w:color w:val="000000" w:themeColor="text1"/>
          <w:sz w:val="28"/>
          <w:szCs w:val="28"/>
        </w:rPr>
        <w:t>Сучасні проблеми біології в умовах змін клімату</w:t>
      </w:r>
      <w:r w:rsidRPr="00CC7883">
        <w:rPr>
          <w:rFonts w:ascii="Times New Roman" w:hAnsi="Times New Roman"/>
          <w:color w:val="000000" w:themeColor="text1"/>
          <w:sz w:val="28"/>
          <w:szCs w:val="28"/>
        </w:rPr>
        <w:t xml:space="preserve"> : матеріали Всеукр. наук. інтернет-конф. (Умань, 22 червня 2022 р.). Умань, 2022. С. 26–29. URL: https://biology.udau.edu.ua/assets/files/praci/zbirnik-konferencii-22.06.2022.pdf.</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Спосіб підвищення приживлюваності ініціальних експлантів та мікроклонів винограду. </w:t>
      </w:r>
      <w:r w:rsidRPr="00CC7883">
        <w:rPr>
          <w:rFonts w:ascii="Times New Roman" w:hAnsi="Times New Roman"/>
          <w:i/>
          <w:color w:val="000000" w:themeColor="text1"/>
          <w:sz w:val="28"/>
          <w:szCs w:val="28"/>
        </w:rPr>
        <w:t>Recent Advances in Scientific World</w:t>
      </w:r>
      <w:r w:rsidRPr="00CC7883">
        <w:rPr>
          <w:rFonts w:ascii="Times New Roman" w:hAnsi="Times New Roman"/>
          <w:color w:val="000000" w:themeColor="text1"/>
          <w:sz w:val="28"/>
          <w:szCs w:val="28"/>
        </w:rPr>
        <w:t xml:space="preserve"> : Proceedings of the 2nd Int. sci.-pract. conf. (Монтрерр</w:t>
      </w:r>
      <w:r w:rsidR="008535E6">
        <w:rPr>
          <w:rFonts w:ascii="Times New Roman" w:hAnsi="Times New Roman"/>
          <w:color w:val="000000" w:themeColor="text1"/>
          <w:sz w:val="28"/>
          <w:szCs w:val="28"/>
        </w:rPr>
        <w:t>ей</w:t>
      </w:r>
      <w:r w:rsidRPr="00CC7883">
        <w:rPr>
          <w:rFonts w:ascii="Times New Roman" w:hAnsi="Times New Roman"/>
          <w:color w:val="000000" w:themeColor="text1"/>
          <w:sz w:val="28"/>
          <w:szCs w:val="28"/>
        </w:rPr>
        <w:t>, 6–8 серпня 2022 р.). Монтрерр</w:t>
      </w:r>
      <w:r w:rsidR="008535E6">
        <w:rPr>
          <w:rFonts w:ascii="Times New Roman" w:hAnsi="Times New Roman"/>
          <w:color w:val="000000" w:themeColor="text1"/>
          <w:sz w:val="28"/>
          <w:szCs w:val="28"/>
        </w:rPr>
        <w:t>ей</w:t>
      </w:r>
      <w:r w:rsidRPr="00CC7883">
        <w:rPr>
          <w:rFonts w:ascii="Times New Roman" w:hAnsi="Times New Roman"/>
          <w:color w:val="000000" w:themeColor="text1"/>
          <w:sz w:val="28"/>
          <w:szCs w:val="28"/>
        </w:rPr>
        <w:t xml:space="preserve">, 2022. С. 189–194. URL: </w:t>
      </w:r>
      <w:r w:rsidRPr="00CC7883">
        <w:rPr>
          <w:rFonts w:ascii="Times New Roman" w:hAnsi="Times New Roman"/>
          <w:color w:val="000000" w:themeColor="text1"/>
          <w:sz w:val="28"/>
          <w:szCs w:val="28"/>
        </w:rPr>
        <w:lastRenderedPageBreak/>
        <w:t>https://archive.interconf.center/index.php/conference-proceeding/article/view/1088/1114.</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Зеленянська Н. М., Самофалов М. О. Розвиток вегетативної маси мікроклонів винограду на поживних середовищах та мінеральних субстратах. </w:t>
      </w:r>
      <w:r w:rsidRPr="00CC7883">
        <w:rPr>
          <w:rFonts w:ascii="Times New Roman" w:hAnsi="Times New Roman"/>
          <w:i/>
          <w:color w:val="000000" w:themeColor="text1"/>
          <w:sz w:val="28"/>
          <w:szCs w:val="28"/>
        </w:rPr>
        <w:t>Forecasts and prospects of scientific discoveries in agricultural sciences and food</w:t>
      </w:r>
      <w:r w:rsidRPr="00CC7883">
        <w:rPr>
          <w:rFonts w:ascii="Times New Roman" w:hAnsi="Times New Roman"/>
          <w:color w:val="000000" w:themeColor="text1"/>
          <w:sz w:val="28"/>
          <w:szCs w:val="28"/>
        </w:rPr>
        <w:t xml:space="preserve"> : conf. proceedings. (Рига, 30–31 серпня 2022 р.). Рига, 2022. С. 26–29. URL: http://baltijapublishing.lv/omp/index.php/bp/catalog/view/252/7079/14745-1.</w:t>
      </w:r>
    </w:p>
    <w:p w:rsidR="004F0BA7" w:rsidRPr="00CC7883" w:rsidRDefault="004F0BA7" w:rsidP="00047411">
      <w:pPr>
        <w:pStyle w:val="a7"/>
        <w:widowControl w:val="0"/>
        <w:numPr>
          <w:ilvl w:val="0"/>
          <w:numId w:val="45"/>
        </w:numPr>
        <w:spacing w:after="0" w:line="360" w:lineRule="auto"/>
        <w:ind w:left="0" w:firstLine="0"/>
        <w:jc w:val="both"/>
        <w:rPr>
          <w:rFonts w:ascii="Times New Roman" w:hAnsi="Times New Roman"/>
          <w:color w:val="000000" w:themeColor="text1"/>
          <w:sz w:val="28"/>
          <w:szCs w:val="28"/>
        </w:rPr>
      </w:pPr>
      <w:r w:rsidRPr="00CC7883">
        <w:rPr>
          <w:rFonts w:ascii="Times New Roman" w:hAnsi="Times New Roman"/>
          <w:color w:val="000000" w:themeColor="text1"/>
          <w:sz w:val="28"/>
          <w:szCs w:val="28"/>
        </w:rPr>
        <w:t xml:space="preserve">Zelenianska N. M., Samofalov M. O. Development of the root system of grape microclones on mineral nutrient substrates. </w:t>
      </w:r>
      <w:r w:rsidRPr="00CC7883">
        <w:rPr>
          <w:rFonts w:ascii="Times New Roman" w:hAnsi="Times New Roman"/>
          <w:i/>
          <w:color w:val="000000" w:themeColor="text1"/>
          <w:sz w:val="28"/>
          <w:szCs w:val="28"/>
        </w:rPr>
        <w:t>Şuşa və ətraf ərazilərin biomüxtəlifliyi, torpaq və su ehtiyatları: gələcəyə baxış</w:t>
      </w:r>
      <w:r w:rsidRPr="00CC7883">
        <w:rPr>
          <w:rFonts w:ascii="Times New Roman" w:hAnsi="Times New Roman"/>
          <w:color w:val="000000" w:themeColor="text1"/>
          <w:sz w:val="28"/>
          <w:szCs w:val="28"/>
        </w:rPr>
        <w:t xml:space="preserve"> : beynəlxalq konfransın materialları. (Şuşа, 22–24 senyabr 2022-ci il). Bakı, 2022. Səh. 135–136. URL: https://www.researchgate.net/profile/Fakhraddin-Karimov/publication/376487142AZRBAYCANIN_QARABAG_V_SRQI_ZNGZUR_IQTISADI_RAYONLARINDA_YASIL_ENERGETIKANIN_INKISAFI_IMKANLARININ_QIYMTLNDIRILMSI/links/657aa831ea5f7f02056d5b43/AZRBAYCANIN-QARABAG-V-SRQI-ZNGZUR-IQTISADI-RAYONLARINDA-YASIL-ENERGETIKANIN-INKISAFI-IMKANLARININ-QIYMTLNDIRILMSI.pdf.</w:t>
      </w:r>
    </w:p>
    <w:p w:rsidR="00B07113" w:rsidRPr="00CC7883" w:rsidRDefault="00B07113"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sectPr w:rsidR="00B07113" w:rsidRPr="00CC7883" w:rsidSect="00854E40">
          <w:pgSz w:w="11906" w:h="16838"/>
          <w:pgMar w:top="850" w:right="850" w:bottom="850" w:left="1417" w:header="708" w:footer="708" w:gutter="0"/>
          <w:cols w:space="708"/>
          <w:docGrid w:linePitch="360"/>
        </w:sectPr>
      </w:pPr>
    </w:p>
    <w:p w:rsidR="00854E40" w:rsidRPr="00CC7883" w:rsidRDefault="00B07113"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lastRenderedPageBreak/>
        <w:t>Додаток В</w:t>
      </w:r>
    </w:p>
    <w:p w:rsidR="00854E40" w:rsidRPr="00CC7883" w:rsidRDefault="00854E4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lang w:eastAsia="zh-CN" w:bidi="hi-IN"/>
        </w:rPr>
      </w:pPr>
    </w:p>
    <w:p w:rsidR="00854E40" w:rsidRPr="00CC7883" w:rsidRDefault="00854E40" w:rsidP="00047411">
      <w:pPr>
        <w:widowControl w:val="0"/>
        <w:autoSpaceDN w:val="0"/>
        <w:spacing w:after="0" w:line="360" w:lineRule="auto"/>
        <w:jc w:val="center"/>
        <w:textAlignment w:val="baseline"/>
        <w:rPr>
          <w:rFonts w:ascii="Times New Roman" w:eastAsia="NSimSun" w:hAnsi="Times New Roman" w:cs="Times New Roman"/>
          <w:b/>
          <w:color w:val="000000" w:themeColor="text1"/>
          <w:kern w:val="3"/>
          <w:sz w:val="28"/>
          <w:lang w:eastAsia="zh-CN" w:bidi="hi-IN"/>
        </w:rPr>
      </w:pPr>
      <w:r w:rsidRPr="00CC7883">
        <w:rPr>
          <w:rFonts w:ascii="Times New Roman" w:eastAsia="NSimSun" w:hAnsi="Times New Roman" w:cs="Times New Roman"/>
          <w:b/>
          <w:color w:val="000000" w:themeColor="text1"/>
          <w:kern w:val="3"/>
          <w:sz w:val="28"/>
          <w:lang w:eastAsia="zh-CN" w:bidi="hi-IN"/>
        </w:rPr>
        <w:t>Склад та приготування поживного середовища Мурасіге–Скуга (MS)</w:t>
      </w:r>
    </w:p>
    <w:p w:rsidR="00854E40" w:rsidRPr="00CC7883" w:rsidRDefault="00854E4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lang w:eastAsia="zh-CN" w:bidi="hi-IN"/>
        </w:rPr>
      </w:pP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Поживне середовище MS готували відповідно до загальноприйнятого рецепту з використанням маточних розчинів макро- (50 мл/л дистильованої води) та мікросолей (100 мл/л дистильованої води), CaCl</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 xml:space="preserve"> (10 мл/л дистильованої води), Fe-хелату (10 мл/л дистильованої води), вітамінів (10 мл/л дистильованої води) та регуляторів росту (ІОК – 0,3 мг/л чи 0,6 мг/л; 6-</w:t>
      </w:r>
      <w:r w:rsidR="00E87B65" w:rsidRPr="00CC7883">
        <w:rPr>
          <w:rFonts w:ascii="Times New Roman" w:eastAsia="NSimSun" w:hAnsi="Times New Roman" w:cs="Times New Roman"/>
          <w:color w:val="000000" w:themeColor="text1"/>
          <w:kern w:val="3"/>
          <w:sz w:val="28"/>
          <w:lang w:eastAsia="zh-CN" w:bidi="hi-IN"/>
        </w:rPr>
        <w:t>БАП – 0,2 мг/л чи 0,5 мг/л) [188</w:t>
      </w:r>
      <w:r w:rsidRPr="00CC7883">
        <w:rPr>
          <w:rFonts w:ascii="Times New Roman" w:eastAsia="NSimSun" w:hAnsi="Times New Roman" w:cs="Times New Roman"/>
          <w:color w:val="000000" w:themeColor="text1"/>
          <w:kern w:val="3"/>
          <w:sz w:val="28"/>
          <w:lang w:eastAsia="zh-CN" w:bidi="hi-IN"/>
        </w:rPr>
        <w:t>].</w:t>
      </w: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i/>
          <w:color w:val="000000" w:themeColor="text1"/>
          <w:kern w:val="3"/>
          <w:sz w:val="28"/>
          <w:lang w:eastAsia="zh-CN" w:bidi="hi-IN"/>
        </w:rPr>
        <w:t>Макроелементи</w:t>
      </w:r>
      <w:r w:rsidRPr="00CC7883">
        <w:rPr>
          <w:rFonts w:ascii="Times New Roman" w:eastAsia="NSimSun" w:hAnsi="Times New Roman" w:cs="Times New Roman"/>
          <w:color w:val="000000" w:themeColor="text1"/>
          <w:kern w:val="3"/>
          <w:sz w:val="28"/>
          <w:lang w:eastAsia="zh-CN" w:bidi="hi-IN"/>
        </w:rPr>
        <w:t>:</w:t>
      </w:r>
    </w:p>
    <w:p w:rsidR="00854E40" w:rsidRPr="00CC7883" w:rsidRDefault="00854E40" w:rsidP="00047411">
      <w:pPr>
        <w:widowControl w:val="0"/>
        <w:numPr>
          <w:ilvl w:val="0"/>
          <w:numId w:val="40"/>
        </w:numPr>
        <w:autoSpaceDN w:val="0"/>
        <w:spacing w:after="0" w:line="360" w:lineRule="auto"/>
        <w:ind w:left="567" w:hanging="577"/>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NH</w:t>
      </w:r>
      <w:r w:rsidRPr="00CC7883">
        <w:rPr>
          <w:rFonts w:ascii="Times New Roman" w:eastAsia="NSimSun" w:hAnsi="Times New Roman" w:cs="Times New Roman"/>
          <w:color w:val="000000" w:themeColor="text1"/>
          <w:kern w:val="3"/>
          <w:sz w:val="28"/>
          <w:vertAlign w:val="subscript"/>
          <w:lang w:eastAsia="zh-CN" w:bidi="hi-IN"/>
        </w:rPr>
        <w:t>4</w:t>
      </w:r>
      <w:r w:rsidRPr="00CC7883">
        <w:rPr>
          <w:rFonts w:ascii="Times New Roman" w:eastAsia="NSimSun" w:hAnsi="Times New Roman" w:cs="Times New Roman"/>
          <w:color w:val="000000" w:themeColor="text1"/>
          <w:kern w:val="3"/>
          <w:sz w:val="28"/>
          <w:lang w:eastAsia="zh-CN" w:bidi="hi-IN"/>
        </w:rPr>
        <w:t>NO</w:t>
      </w:r>
      <w:r w:rsidRPr="00CC7883">
        <w:rPr>
          <w:rFonts w:ascii="Times New Roman" w:eastAsia="NSimSun" w:hAnsi="Times New Roman" w:cs="Times New Roman"/>
          <w:color w:val="000000" w:themeColor="text1"/>
          <w:kern w:val="3"/>
          <w:sz w:val="28"/>
          <w:vertAlign w:val="subscript"/>
          <w:lang w:eastAsia="zh-CN" w:bidi="hi-IN"/>
        </w:rPr>
        <w:t>3</w:t>
      </w:r>
      <w:r w:rsidRPr="00CC7883">
        <w:rPr>
          <w:rFonts w:ascii="Times New Roman" w:eastAsia="NSimSun" w:hAnsi="Times New Roman" w:cs="Times New Roman"/>
          <w:color w:val="000000" w:themeColor="text1"/>
          <w:kern w:val="3"/>
          <w:sz w:val="28"/>
          <w:lang w:eastAsia="zh-CN" w:bidi="hi-IN"/>
        </w:rPr>
        <w:t xml:space="preserve"> – 16,5 г</w:t>
      </w:r>
    </w:p>
    <w:p w:rsidR="00854E40" w:rsidRPr="00CC7883" w:rsidRDefault="00854E40" w:rsidP="00047411">
      <w:pPr>
        <w:widowControl w:val="0"/>
        <w:numPr>
          <w:ilvl w:val="0"/>
          <w:numId w:val="40"/>
        </w:numPr>
        <w:autoSpaceDN w:val="0"/>
        <w:spacing w:after="0" w:line="360" w:lineRule="auto"/>
        <w:ind w:left="567" w:hanging="577"/>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KNO</w:t>
      </w:r>
      <w:r w:rsidRPr="00CC7883">
        <w:rPr>
          <w:rFonts w:ascii="Times New Roman" w:eastAsia="NSimSun" w:hAnsi="Times New Roman" w:cs="Times New Roman"/>
          <w:color w:val="000000" w:themeColor="text1"/>
          <w:kern w:val="3"/>
          <w:sz w:val="28"/>
          <w:vertAlign w:val="subscript"/>
          <w:lang w:eastAsia="zh-CN" w:bidi="hi-IN"/>
        </w:rPr>
        <w:t>3</w:t>
      </w:r>
      <w:r w:rsidRPr="00CC7883">
        <w:rPr>
          <w:rFonts w:ascii="Times New Roman" w:eastAsia="NSimSun" w:hAnsi="Times New Roman" w:cs="Times New Roman"/>
          <w:color w:val="000000" w:themeColor="text1"/>
          <w:kern w:val="3"/>
          <w:sz w:val="28"/>
          <w:lang w:eastAsia="zh-CN" w:bidi="hi-IN"/>
        </w:rPr>
        <w:t xml:space="preserve"> – 19,0 г</w:t>
      </w:r>
    </w:p>
    <w:p w:rsidR="00854E40" w:rsidRPr="00CC7883" w:rsidRDefault="00854E40" w:rsidP="00047411">
      <w:pPr>
        <w:widowControl w:val="0"/>
        <w:numPr>
          <w:ilvl w:val="0"/>
          <w:numId w:val="40"/>
        </w:numPr>
        <w:autoSpaceDN w:val="0"/>
        <w:spacing w:after="0" w:line="360" w:lineRule="auto"/>
        <w:ind w:left="567" w:hanging="577"/>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KH</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PO</w:t>
      </w:r>
      <w:r w:rsidRPr="00CC7883">
        <w:rPr>
          <w:rFonts w:ascii="Times New Roman" w:eastAsia="NSimSun" w:hAnsi="Times New Roman" w:cs="Times New Roman"/>
          <w:color w:val="000000" w:themeColor="text1"/>
          <w:kern w:val="3"/>
          <w:sz w:val="28"/>
          <w:vertAlign w:val="subscript"/>
          <w:lang w:eastAsia="zh-CN" w:bidi="hi-IN"/>
        </w:rPr>
        <w:t>4</w:t>
      </w:r>
      <w:r w:rsidRPr="00CC7883">
        <w:rPr>
          <w:rFonts w:ascii="Times New Roman" w:eastAsia="NSimSun" w:hAnsi="Times New Roman" w:cs="Times New Roman"/>
          <w:color w:val="000000" w:themeColor="text1"/>
          <w:kern w:val="3"/>
          <w:sz w:val="28"/>
          <w:lang w:eastAsia="zh-CN" w:bidi="hi-IN"/>
        </w:rPr>
        <w:t xml:space="preserve"> – 1,7 г</w:t>
      </w:r>
    </w:p>
    <w:p w:rsidR="00854E40" w:rsidRPr="00CC7883" w:rsidRDefault="00854E40" w:rsidP="00047411">
      <w:pPr>
        <w:widowControl w:val="0"/>
        <w:numPr>
          <w:ilvl w:val="0"/>
          <w:numId w:val="40"/>
        </w:numPr>
        <w:autoSpaceDN w:val="0"/>
        <w:spacing w:after="0" w:line="360" w:lineRule="auto"/>
        <w:ind w:left="567" w:hanging="577"/>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MgSO</w:t>
      </w:r>
      <w:r w:rsidRPr="00CC7883">
        <w:rPr>
          <w:rFonts w:ascii="Times New Roman" w:eastAsia="NSimSun" w:hAnsi="Times New Roman" w:cs="Times New Roman"/>
          <w:color w:val="000000" w:themeColor="text1"/>
          <w:kern w:val="3"/>
          <w:sz w:val="28"/>
          <w:vertAlign w:val="subscript"/>
          <w:lang w:eastAsia="zh-CN" w:bidi="hi-IN"/>
        </w:rPr>
        <w:t>4</w:t>
      </w:r>
      <w:r w:rsidRPr="00CC7883">
        <w:rPr>
          <w:rFonts w:ascii="Times New Roman" w:eastAsia="NSimSun" w:hAnsi="Times New Roman" w:cs="Times New Roman"/>
          <w:color w:val="000000" w:themeColor="text1"/>
          <w:kern w:val="3"/>
          <w:sz w:val="28"/>
          <w:lang w:eastAsia="zh-CN" w:bidi="hi-IN"/>
        </w:rPr>
        <w:t>·7H</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O – 3,7 г</w:t>
      </w:r>
    </w:p>
    <w:p w:rsidR="00854E40" w:rsidRPr="00CC7883" w:rsidRDefault="00854E40"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lang w:eastAsia="zh-CN" w:bidi="hi-IN"/>
        </w:rPr>
      </w:pPr>
    </w:p>
    <w:p w:rsidR="00854E40" w:rsidRPr="00CC7883" w:rsidRDefault="00854E40"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i/>
          <w:color w:val="000000" w:themeColor="text1"/>
          <w:kern w:val="3"/>
          <w:sz w:val="28"/>
          <w:lang w:eastAsia="zh-CN" w:bidi="hi-IN"/>
        </w:rPr>
        <w:t>Мікроелементи</w:t>
      </w:r>
      <w:r w:rsidRPr="00CC7883">
        <w:rPr>
          <w:rFonts w:ascii="Times New Roman" w:eastAsia="NSimSun" w:hAnsi="Times New Roman" w:cs="Times New Roman"/>
          <w:color w:val="000000" w:themeColor="text1"/>
          <w:kern w:val="3"/>
          <w:sz w:val="28"/>
          <w:lang w:eastAsia="zh-CN" w:bidi="hi-IN"/>
        </w:rPr>
        <w:t>:</w:t>
      </w:r>
    </w:p>
    <w:p w:rsidR="00854E40" w:rsidRPr="00CC7883" w:rsidRDefault="00854E40" w:rsidP="00047411">
      <w:pPr>
        <w:widowControl w:val="0"/>
        <w:numPr>
          <w:ilvl w:val="0"/>
          <w:numId w:val="39"/>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MnSO</w:t>
      </w:r>
      <w:r w:rsidRPr="00CC7883">
        <w:rPr>
          <w:rFonts w:ascii="Times New Roman" w:eastAsia="NSimSun" w:hAnsi="Times New Roman" w:cs="Times New Roman"/>
          <w:color w:val="000000" w:themeColor="text1"/>
          <w:kern w:val="3"/>
          <w:sz w:val="28"/>
          <w:vertAlign w:val="subscript"/>
          <w:lang w:eastAsia="zh-CN" w:bidi="hi-IN"/>
        </w:rPr>
        <w:t>4</w:t>
      </w:r>
      <w:r w:rsidRPr="00CC7883">
        <w:rPr>
          <w:rFonts w:ascii="Times New Roman" w:eastAsia="NSimSun" w:hAnsi="Times New Roman" w:cs="Times New Roman"/>
          <w:color w:val="000000" w:themeColor="text1"/>
          <w:kern w:val="3"/>
          <w:sz w:val="28"/>
          <w:lang w:eastAsia="zh-CN" w:bidi="hi-IN"/>
        </w:rPr>
        <w:t>·5H</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O – 0,241 г</w:t>
      </w:r>
    </w:p>
    <w:p w:rsidR="00854E40" w:rsidRPr="00CC7883" w:rsidRDefault="00854E40" w:rsidP="00047411">
      <w:pPr>
        <w:widowControl w:val="0"/>
        <w:numPr>
          <w:ilvl w:val="0"/>
          <w:numId w:val="39"/>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H</w:t>
      </w:r>
      <w:r w:rsidRPr="00CC7883">
        <w:rPr>
          <w:rFonts w:ascii="Times New Roman" w:eastAsia="NSimSun" w:hAnsi="Times New Roman" w:cs="Times New Roman"/>
          <w:color w:val="000000" w:themeColor="text1"/>
          <w:kern w:val="3"/>
          <w:sz w:val="28"/>
          <w:vertAlign w:val="subscript"/>
          <w:lang w:eastAsia="zh-CN" w:bidi="hi-IN"/>
        </w:rPr>
        <w:t>3</w:t>
      </w:r>
      <w:r w:rsidRPr="00CC7883">
        <w:rPr>
          <w:rFonts w:ascii="Times New Roman" w:eastAsia="NSimSun" w:hAnsi="Times New Roman" w:cs="Times New Roman"/>
          <w:color w:val="000000" w:themeColor="text1"/>
          <w:kern w:val="3"/>
          <w:sz w:val="28"/>
          <w:lang w:eastAsia="zh-CN" w:bidi="hi-IN"/>
        </w:rPr>
        <w:t>BO</w:t>
      </w:r>
      <w:r w:rsidRPr="00CC7883">
        <w:rPr>
          <w:rFonts w:ascii="Times New Roman" w:eastAsia="NSimSun" w:hAnsi="Times New Roman" w:cs="Times New Roman"/>
          <w:color w:val="000000" w:themeColor="text1"/>
          <w:kern w:val="3"/>
          <w:sz w:val="28"/>
          <w:vertAlign w:val="subscript"/>
          <w:lang w:eastAsia="zh-CN" w:bidi="hi-IN"/>
        </w:rPr>
        <w:t>3</w:t>
      </w:r>
      <w:r w:rsidRPr="00CC7883">
        <w:rPr>
          <w:rFonts w:ascii="Times New Roman" w:eastAsia="NSimSun" w:hAnsi="Times New Roman" w:cs="Times New Roman"/>
          <w:color w:val="000000" w:themeColor="text1"/>
          <w:kern w:val="3"/>
          <w:sz w:val="28"/>
          <w:lang w:eastAsia="zh-CN" w:bidi="hi-IN"/>
        </w:rPr>
        <w:t xml:space="preserve"> – 0,062 г</w:t>
      </w:r>
    </w:p>
    <w:p w:rsidR="00854E40" w:rsidRPr="00CC7883" w:rsidRDefault="00854E40" w:rsidP="00047411">
      <w:pPr>
        <w:widowControl w:val="0"/>
        <w:numPr>
          <w:ilvl w:val="0"/>
          <w:numId w:val="39"/>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ZnSO</w:t>
      </w:r>
      <w:r w:rsidRPr="00CC7883">
        <w:rPr>
          <w:rFonts w:ascii="Times New Roman" w:eastAsia="NSimSun" w:hAnsi="Times New Roman" w:cs="Times New Roman"/>
          <w:color w:val="000000" w:themeColor="text1"/>
          <w:kern w:val="3"/>
          <w:sz w:val="28"/>
          <w:vertAlign w:val="subscript"/>
          <w:lang w:eastAsia="zh-CN" w:bidi="hi-IN"/>
        </w:rPr>
        <w:t>4</w:t>
      </w:r>
      <w:r w:rsidRPr="00CC7883">
        <w:rPr>
          <w:rFonts w:ascii="Times New Roman" w:eastAsia="NSimSun" w:hAnsi="Times New Roman" w:cs="Times New Roman"/>
          <w:color w:val="000000" w:themeColor="text1"/>
          <w:kern w:val="3"/>
          <w:sz w:val="28"/>
          <w:lang w:eastAsia="zh-CN" w:bidi="hi-IN"/>
        </w:rPr>
        <w:t>·7H</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O – 0,086 г</w:t>
      </w:r>
    </w:p>
    <w:p w:rsidR="00854E40" w:rsidRPr="00CC7883" w:rsidRDefault="00854E40" w:rsidP="00047411">
      <w:pPr>
        <w:widowControl w:val="0"/>
        <w:numPr>
          <w:ilvl w:val="0"/>
          <w:numId w:val="39"/>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KI – 0,0083 г</w:t>
      </w:r>
    </w:p>
    <w:p w:rsidR="00854E40" w:rsidRPr="00CC7883" w:rsidRDefault="00854E40" w:rsidP="00047411">
      <w:pPr>
        <w:widowControl w:val="0"/>
        <w:numPr>
          <w:ilvl w:val="0"/>
          <w:numId w:val="39"/>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Na</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MoO</w:t>
      </w:r>
      <w:r w:rsidRPr="00CC7883">
        <w:rPr>
          <w:rFonts w:ascii="Times New Roman" w:eastAsia="NSimSun" w:hAnsi="Times New Roman" w:cs="Times New Roman"/>
          <w:color w:val="000000" w:themeColor="text1"/>
          <w:kern w:val="3"/>
          <w:sz w:val="28"/>
          <w:vertAlign w:val="subscript"/>
          <w:lang w:eastAsia="zh-CN" w:bidi="hi-IN"/>
        </w:rPr>
        <w:t>4</w:t>
      </w:r>
      <w:r w:rsidRPr="00CC7883">
        <w:rPr>
          <w:rFonts w:ascii="Times New Roman" w:eastAsia="NSimSun" w:hAnsi="Times New Roman" w:cs="Times New Roman"/>
          <w:color w:val="000000" w:themeColor="text1"/>
          <w:kern w:val="3"/>
          <w:sz w:val="28"/>
          <w:lang w:eastAsia="zh-CN" w:bidi="hi-IN"/>
        </w:rPr>
        <w:t>·2H</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O – 0,0025 г</w:t>
      </w:r>
    </w:p>
    <w:p w:rsidR="00854E40" w:rsidRPr="00CC7883" w:rsidRDefault="00854E40" w:rsidP="00047411">
      <w:pPr>
        <w:widowControl w:val="0"/>
        <w:numPr>
          <w:ilvl w:val="0"/>
          <w:numId w:val="39"/>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CuSO</w:t>
      </w:r>
      <w:r w:rsidRPr="00CC7883">
        <w:rPr>
          <w:rFonts w:ascii="Times New Roman" w:eastAsia="NSimSun" w:hAnsi="Times New Roman" w:cs="Times New Roman"/>
          <w:color w:val="000000" w:themeColor="text1"/>
          <w:kern w:val="3"/>
          <w:sz w:val="28"/>
          <w:vertAlign w:val="subscript"/>
          <w:lang w:eastAsia="zh-CN" w:bidi="hi-IN"/>
        </w:rPr>
        <w:t>4</w:t>
      </w:r>
      <w:r w:rsidRPr="00CC7883">
        <w:rPr>
          <w:rFonts w:ascii="Times New Roman" w:eastAsia="NSimSun" w:hAnsi="Times New Roman" w:cs="Times New Roman"/>
          <w:color w:val="000000" w:themeColor="text1"/>
          <w:kern w:val="3"/>
          <w:sz w:val="28"/>
          <w:lang w:eastAsia="zh-CN" w:bidi="hi-IN"/>
        </w:rPr>
        <w:t>·5H</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O – 0,00025 г</w:t>
      </w:r>
    </w:p>
    <w:p w:rsidR="00854E40" w:rsidRPr="00CC7883" w:rsidRDefault="00854E40" w:rsidP="00047411">
      <w:pPr>
        <w:widowControl w:val="0"/>
        <w:numPr>
          <w:ilvl w:val="0"/>
          <w:numId w:val="39"/>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CoCl</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·6H</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O – 0,00025 г</w:t>
      </w:r>
    </w:p>
    <w:p w:rsidR="00854E40" w:rsidRPr="00CC7883" w:rsidRDefault="00854E40"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lang w:eastAsia="zh-CN" w:bidi="hi-IN"/>
        </w:rPr>
      </w:pP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i/>
          <w:color w:val="000000" w:themeColor="text1"/>
          <w:kern w:val="3"/>
          <w:sz w:val="28"/>
          <w:lang w:eastAsia="zh-CN" w:bidi="hi-IN"/>
        </w:rPr>
        <w:t>Розчин хлориду кальцію</w:t>
      </w:r>
      <w:r w:rsidRPr="00CC7883">
        <w:rPr>
          <w:rFonts w:ascii="Times New Roman" w:eastAsia="NSimSun" w:hAnsi="Times New Roman" w:cs="Times New Roman"/>
          <w:color w:val="000000" w:themeColor="text1"/>
          <w:kern w:val="3"/>
          <w:sz w:val="28"/>
          <w:lang w:eastAsia="zh-CN" w:bidi="hi-IN"/>
        </w:rPr>
        <w:t>:</w:t>
      </w:r>
    </w:p>
    <w:p w:rsidR="00854E40" w:rsidRPr="00CC7883" w:rsidRDefault="00854E40" w:rsidP="00047411">
      <w:pPr>
        <w:widowControl w:val="0"/>
        <w:autoSpaceDN w:val="0"/>
        <w:spacing w:after="0" w:line="360" w:lineRule="auto"/>
        <w:ind w:firstLine="709"/>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Для приготування маточного розчину кальцію розчиняли 3,31 г CaCl</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 xml:space="preserve"> у 100 мл дистильованої води.</w:t>
      </w:r>
    </w:p>
    <w:p w:rsidR="00854E40" w:rsidRPr="00CC7883" w:rsidRDefault="00854E40"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lang w:eastAsia="zh-CN" w:bidi="hi-IN"/>
        </w:rPr>
      </w:pP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i/>
          <w:color w:val="000000" w:themeColor="text1"/>
          <w:kern w:val="3"/>
          <w:sz w:val="28"/>
          <w:lang w:eastAsia="zh-CN" w:bidi="hi-IN"/>
        </w:rPr>
        <w:lastRenderedPageBreak/>
        <w:t>Розчин Fe-хелату</w:t>
      </w:r>
      <w:r w:rsidRPr="00CC7883">
        <w:rPr>
          <w:rFonts w:ascii="Times New Roman" w:eastAsia="NSimSun" w:hAnsi="Times New Roman" w:cs="Times New Roman"/>
          <w:color w:val="000000" w:themeColor="text1"/>
          <w:kern w:val="3"/>
          <w:sz w:val="28"/>
          <w:lang w:eastAsia="zh-CN" w:bidi="hi-IN"/>
        </w:rPr>
        <w:t>:</w:t>
      </w:r>
    </w:p>
    <w:p w:rsidR="00854E40" w:rsidRPr="00CC7883" w:rsidRDefault="00854E40" w:rsidP="00047411">
      <w:pPr>
        <w:widowControl w:val="0"/>
        <w:numPr>
          <w:ilvl w:val="0"/>
          <w:numId w:val="38"/>
        </w:numPr>
        <w:autoSpaceDN w:val="0"/>
        <w:spacing w:after="0" w:line="360" w:lineRule="auto"/>
        <w:ind w:left="567" w:hanging="567"/>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FeSO</w:t>
      </w:r>
      <w:r w:rsidRPr="00CC7883">
        <w:rPr>
          <w:rFonts w:ascii="Times New Roman" w:eastAsia="NSimSun" w:hAnsi="Times New Roman" w:cs="Times New Roman"/>
          <w:color w:val="000000" w:themeColor="text1"/>
          <w:kern w:val="3"/>
          <w:sz w:val="28"/>
          <w:vertAlign w:val="subscript"/>
          <w:lang w:eastAsia="zh-CN" w:bidi="hi-IN"/>
        </w:rPr>
        <w:t>4</w:t>
      </w:r>
      <w:r w:rsidRPr="00CC7883">
        <w:rPr>
          <w:rFonts w:ascii="Times New Roman" w:eastAsia="NSimSun" w:hAnsi="Times New Roman" w:cs="Times New Roman"/>
          <w:color w:val="000000" w:themeColor="text1"/>
          <w:kern w:val="3"/>
          <w:sz w:val="28"/>
          <w:lang w:eastAsia="zh-CN" w:bidi="hi-IN"/>
        </w:rPr>
        <w:t>·7H</w:t>
      </w:r>
      <w:r w:rsidR="00C44A5C" w:rsidRPr="00C44A5C">
        <w:rPr>
          <w:rFonts w:ascii="Times New Roman" w:eastAsia="NSimSun" w:hAnsi="Times New Roman" w:cs="Times New Roman"/>
          <w:color w:val="000000" w:themeColor="text1"/>
          <w:kern w:val="3"/>
          <w:sz w:val="28"/>
          <w:vertAlign w:val="subscript"/>
          <w:lang w:val="ru-RU" w:eastAsia="zh-CN" w:bidi="hi-IN"/>
        </w:rPr>
        <w:t>2</w:t>
      </w:r>
      <w:r w:rsidRPr="00CC7883">
        <w:rPr>
          <w:rFonts w:ascii="Times New Roman" w:eastAsia="NSimSun" w:hAnsi="Times New Roman" w:cs="Times New Roman"/>
          <w:color w:val="000000" w:themeColor="text1"/>
          <w:kern w:val="3"/>
          <w:sz w:val="28"/>
          <w:lang w:eastAsia="zh-CN" w:bidi="hi-IN"/>
        </w:rPr>
        <w:t>O – 0,278 г</w:t>
      </w:r>
    </w:p>
    <w:p w:rsidR="00854E40" w:rsidRPr="00CC7883" w:rsidRDefault="00854E40" w:rsidP="00047411">
      <w:pPr>
        <w:widowControl w:val="0"/>
        <w:numPr>
          <w:ilvl w:val="0"/>
          <w:numId w:val="38"/>
        </w:numPr>
        <w:autoSpaceDN w:val="0"/>
        <w:spacing w:after="0" w:line="360" w:lineRule="auto"/>
        <w:ind w:left="567" w:hanging="567"/>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Na</w:t>
      </w:r>
      <w:r w:rsidRPr="00CC7883">
        <w:rPr>
          <w:rFonts w:ascii="Times New Roman" w:eastAsia="NSimSun" w:hAnsi="Times New Roman" w:cs="Times New Roman"/>
          <w:color w:val="000000" w:themeColor="text1"/>
          <w:kern w:val="3"/>
          <w:sz w:val="28"/>
          <w:vertAlign w:val="subscript"/>
          <w:lang w:eastAsia="zh-CN" w:bidi="hi-IN"/>
        </w:rPr>
        <w:t>2</w:t>
      </w:r>
      <w:r w:rsidRPr="00CC7883">
        <w:rPr>
          <w:rFonts w:ascii="Times New Roman" w:eastAsia="NSimSun" w:hAnsi="Times New Roman" w:cs="Times New Roman"/>
          <w:color w:val="000000" w:themeColor="text1"/>
          <w:kern w:val="3"/>
          <w:sz w:val="28"/>
          <w:lang w:eastAsia="zh-CN" w:bidi="hi-IN"/>
        </w:rPr>
        <w:t>ЕДТА – 0,373 г</w:t>
      </w:r>
    </w:p>
    <w:p w:rsidR="00854E40" w:rsidRPr="00CC7883" w:rsidRDefault="00854E40" w:rsidP="00047411">
      <w:pPr>
        <w:widowControl w:val="0"/>
        <w:autoSpaceDN w:val="0"/>
        <w:spacing w:after="0" w:line="360" w:lineRule="auto"/>
        <w:ind w:firstLine="720"/>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Компоненти готувати окремо до повного розчинення. Кожний компонент готується на 50 мл дистильованої води. Злити два розчини в одну ємність на 100 мл. Помішувати до повного утворення хелатної форми заліза.</w:t>
      </w: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i/>
          <w:color w:val="000000" w:themeColor="text1"/>
          <w:kern w:val="3"/>
          <w:sz w:val="28"/>
          <w:lang w:eastAsia="zh-CN" w:bidi="hi-IN"/>
        </w:rPr>
        <w:t>Вітамінний комплекс</w:t>
      </w:r>
      <w:r w:rsidRPr="00CC7883">
        <w:rPr>
          <w:rFonts w:ascii="Times New Roman" w:eastAsia="NSimSun" w:hAnsi="Times New Roman" w:cs="Times New Roman"/>
          <w:color w:val="000000" w:themeColor="text1"/>
          <w:kern w:val="3"/>
          <w:sz w:val="28"/>
          <w:lang w:eastAsia="zh-CN" w:bidi="hi-IN"/>
        </w:rPr>
        <w:t xml:space="preserve"> (на 100 мл дистильованої води):</w:t>
      </w:r>
    </w:p>
    <w:p w:rsidR="00854E40" w:rsidRPr="00CC7883" w:rsidRDefault="00854E40" w:rsidP="00047411">
      <w:pPr>
        <w:widowControl w:val="0"/>
        <w:numPr>
          <w:ilvl w:val="0"/>
          <w:numId w:val="37"/>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мезо-інозит – 1,0 г</w:t>
      </w:r>
    </w:p>
    <w:p w:rsidR="00854E40" w:rsidRPr="00CC7883" w:rsidRDefault="00854E40" w:rsidP="00047411">
      <w:pPr>
        <w:widowControl w:val="0"/>
        <w:numPr>
          <w:ilvl w:val="0"/>
          <w:numId w:val="37"/>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нікотинова кислота – 0,1 г</w:t>
      </w:r>
    </w:p>
    <w:p w:rsidR="00854E40" w:rsidRPr="00CC7883" w:rsidRDefault="00854E40" w:rsidP="00047411">
      <w:pPr>
        <w:widowControl w:val="0"/>
        <w:numPr>
          <w:ilvl w:val="0"/>
          <w:numId w:val="37"/>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тіамін – 0,1 г</w:t>
      </w:r>
    </w:p>
    <w:p w:rsidR="00854E40" w:rsidRPr="00CC7883" w:rsidRDefault="00854E40" w:rsidP="00047411">
      <w:pPr>
        <w:widowControl w:val="0"/>
        <w:numPr>
          <w:ilvl w:val="0"/>
          <w:numId w:val="37"/>
        </w:numPr>
        <w:autoSpaceDN w:val="0"/>
        <w:spacing w:after="0" w:line="360" w:lineRule="auto"/>
        <w:ind w:left="567" w:hanging="567"/>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піридоксин – 0,1 г</w:t>
      </w: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i/>
          <w:color w:val="000000" w:themeColor="text1"/>
          <w:kern w:val="3"/>
          <w:sz w:val="28"/>
          <w:lang w:eastAsia="zh-CN" w:bidi="hi-IN"/>
        </w:rPr>
        <w:t>Фітогормони</w:t>
      </w:r>
      <w:r w:rsidRPr="00CC7883">
        <w:rPr>
          <w:rFonts w:ascii="Times New Roman" w:eastAsia="NSimSun" w:hAnsi="Times New Roman" w:cs="Times New Roman"/>
          <w:color w:val="000000" w:themeColor="text1"/>
          <w:kern w:val="3"/>
          <w:sz w:val="28"/>
          <w:lang w:eastAsia="zh-CN" w:bidi="hi-IN"/>
        </w:rPr>
        <w:t>:</w:t>
      </w: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Для регуляції ростових процесів використовували такі фітогормони:</w:t>
      </w:r>
    </w:p>
    <w:p w:rsidR="00854E40" w:rsidRPr="00CC7883" w:rsidRDefault="00854E40" w:rsidP="00047411">
      <w:pPr>
        <w:widowControl w:val="0"/>
        <w:numPr>
          <w:ilvl w:val="0"/>
          <w:numId w:val="41"/>
        </w:numPr>
        <w:autoSpaceDN w:val="0"/>
        <w:spacing w:after="0" w:line="360" w:lineRule="auto"/>
        <w:ind w:left="567" w:hanging="578"/>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індол-3-оцтову кислоту (ІОК) – 0,1 г/10 мл</w:t>
      </w:r>
    </w:p>
    <w:p w:rsidR="00854E40" w:rsidRPr="00CC7883" w:rsidRDefault="00854E40" w:rsidP="00047411">
      <w:pPr>
        <w:widowControl w:val="0"/>
        <w:numPr>
          <w:ilvl w:val="0"/>
          <w:numId w:val="41"/>
        </w:numPr>
        <w:autoSpaceDN w:val="0"/>
        <w:spacing w:after="0" w:line="360" w:lineRule="auto"/>
        <w:ind w:left="567" w:hanging="578"/>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6-бензиламінопурин (6-БАП) – 0,1 г/10 мл</w:t>
      </w:r>
    </w:p>
    <w:p w:rsidR="00854E40" w:rsidRPr="00CC7883" w:rsidRDefault="00854E40" w:rsidP="00047411">
      <w:pPr>
        <w:widowControl w:val="0"/>
        <w:autoSpaceDN w:val="0"/>
        <w:spacing w:after="0" w:line="360" w:lineRule="auto"/>
        <w:jc w:val="both"/>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Фітогормони попередньо розчиняли у кількох краплях розчину КОН з подальшим доведенням до об’єму теплою дистильованою водою.</w:t>
      </w:r>
    </w:p>
    <w:p w:rsidR="00854E40" w:rsidRPr="00CC7883" w:rsidRDefault="00854E40"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lang w:eastAsia="zh-CN" w:bidi="hi-IN"/>
        </w:rPr>
      </w:pPr>
    </w:p>
    <w:p w:rsidR="00E91298" w:rsidRPr="00CC7883" w:rsidRDefault="00E91298"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lang w:eastAsia="zh-CN" w:bidi="hi-IN"/>
        </w:rPr>
        <w:sectPr w:rsidR="00E91298" w:rsidRPr="00CC7883" w:rsidSect="00854E40">
          <w:pgSz w:w="11906" w:h="16838"/>
          <w:pgMar w:top="850" w:right="850" w:bottom="850" w:left="1417" w:header="708" w:footer="708" w:gutter="0"/>
          <w:cols w:space="708"/>
          <w:docGrid w:linePitch="360"/>
        </w:sectPr>
      </w:pPr>
    </w:p>
    <w:p w:rsidR="00854E40" w:rsidRPr="00CC7883" w:rsidRDefault="00854E40"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 xml:space="preserve">Додаток </w:t>
      </w:r>
      <w:r w:rsidR="00B07113" w:rsidRPr="00CC7883">
        <w:rPr>
          <w:rFonts w:ascii="Times New Roman" w:eastAsia="Calibri" w:hAnsi="Times New Roman" w:cs="Times New Roman"/>
          <w:color w:val="000000" w:themeColor="text1"/>
          <w:kern w:val="0"/>
          <w:sz w:val="28"/>
          <w:szCs w:val="28"/>
        </w:rPr>
        <w:t>Г</w:t>
      </w:r>
      <w:r w:rsidR="00185545" w:rsidRPr="00CC7883">
        <w:rPr>
          <w:rFonts w:ascii="Times New Roman" w:eastAsia="Calibri" w:hAnsi="Times New Roman" w:cs="Times New Roman"/>
          <w:color w:val="000000" w:themeColor="text1"/>
          <w:kern w:val="0"/>
          <w:sz w:val="28"/>
          <w:szCs w:val="28"/>
        </w:rPr>
        <w:t>.</w:t>
      </w:r>
      <w:r w:rsidR="00A32496">
        <w:rPr>
          <w:rFonts w:ascii="Times New Roman" w:eastAsia="Calibri" w:hAnsi="Times New Roman" w:cs="Times New Roman"/>
          <w:color w:val="000000" w:themeColor="text1"/>
          <w:kern w:val="0"/>
          <w:sz w:val="28"/>
          <w:szCs w:val="28"/>
        </w:rPr>
        <w:t xml:space="preserve"> </w:t>
      </w:r>
      <w:r w:rsidR="00185545" w:rsidRPr="00CC7883">
        <w:rPr>
          <w:rFonts w:ascii="Times New Roman" w:eastAsia="Calibri" w:hAnsi="Times New Roman" w:cs="Times New Roman"/>
          <w:color w:val="000000" w:themeColor="text1"/>
          <w:kern w:val="0"/>
          <w:sz w:val="28"/>
          <w:szCs w:val="28"/>
        </w:rPr>
        <w:t>1</w:t>
      </w:r>
    </w:p>
    <w:p w:rsidR="00854E40" w:rsidRPr="00CC7883" w:rsidRDefault="00854E40" w:rsidP="00047411">
      <w:pPr>
        <w:widowControl w:val="0"/>
        <w:spacing w:line="259" w:lineRule="auto"/>
        <w:ind w:right="-36"/>
        <w:jc w:val="right"/>
        <w:rPr>
          <w:rFonts w:ascii="Times New Roman" w:eastAsia="Calibri" w:hAnsi="Times New Roman" w:cs="Times New Roman"/>
          <w:i/>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3</w:t>
      </w:r>
      <w:r w:rsidR="00791F95" w:rsidRPr="00CC7883">
        <w:rPr>
          <w:rFonts w:ascii="Times New Roman" w:eastAsia="Calibri" w:hAnsi="Times New Roman" w:cs="Times New Roman"/>
          <w:b/>
          <w:color w:val="000000" w:themeColor="text1"/>
          <w:kern w:val="0"/>
          <w:sz w:val="28"/>
          <w:szCs w:val="28"/>
        </w:rPr>
        <w:t xml:space="preserve"> (дослід 1)</w:t>
      </w:r>
    </w:p>
    <w:tbl>
      <w:tblPr>
        <w:tblW w:w="140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575"/>
      </w:tblGrid>
      <w:tr w:rsidR="00854E40" w:rsidRPr="00CC7883" w:rsidTr="001F2C3A">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575"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1F2C3A">
        <w:trPr>
          <w:jc w:val="center"/>
        </w:trPr>
        <w:tc>
          <w:tcPr>
            <w:tcW w:w="14049"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 xml:space="preserve">Приживлюваність </w:t>
            </w:r>
            <w:r w:rsidR="00271886" w:rsidRPr="00CC7883">
              <w:rPr>
                <w:rFonts w:ascii="Times New Roman" w:hAnsi="Times New Roman" w:cs="Times New Roman"/>
                <w:i/>
                <w:iCs/>
                <w:color w:val="000000" w:themeColor="text1"/>
                <w:sz w:val="28"/>
                <w:szCs w:val="28"/>
              </w:rPr>
              <w:t>in vitro</w:t>
            </w:r>
            <w:r w:rsidRPr="00CC7883">
              <w:rPr>
                <w:rFonts w:ascii="Times New Roman" w:eastAsia="Calibri" w:hAnsi="Times New Roman" w:cs="Times New Roman"/>
                <w:i/>
                <w:color w:val="000000" w:themeColor="text1"/>
                <w:kern w:val="0"/>
                <w:sz w:val="28"/>
                <w:szCs w:val="28"/>
              </w:rPr>
              <w:t>, %</w:t>
            </w:r>
          </w:p>
        </w:tc>
      </w:tr>
      <w:tr w:rsidR="00854E40" w:rsidRPr="00CC7883" w:rsidTr="001F2C3A">
        <w:trPr>
          <w:jc w:val="center"/>
        </w:trPr>
        <w:tc>
          <w:tcPr>
            <w:tcW w:w="3827" w:type="dxa"/>
          </w:tcPr>
          <w:p w:rsidR="00854E40" w:rsidRPr="00CC7883" w:rsidRDefault="00854E40" w:rsidP="00047411">
            <w:pPr>
              <w:widowControl w:val="0"/>
              <w:autoSpaceDN w:val="0"/>
              <w:spacing w:after="0" w:line="240" w:lineRule="auto"/>
              <w:textAlignment w:val="baseline"/>
              <w:rPr>
                <w:rFonts w:ascii="Times New Roman" w:eastAsia="Calibri" w:hAnsi="Times New Roman" w:cs="Times New Roman"/>
                <w:color w:val="000000" w:themeColor="text1"/>
                <w:kern w:val="3"/>
                <w:sz w:val="28"/>
                <w:szCs w:val="28"/>
                <w:lang w:eastAsia="zh-CN" w:bidi="hi-IN"/>
              </w:rPr>
            </w:pPr>
            <w:r w:rsidRPr="00CC7883">
              <w:rPr>
                <w:rFonts w:ascii="Times New Roman" w:eastAsia="Calibri" w:hAnsi="Times New Roman" w:cs="Times New Roman"/>
                <w:color w:val="000000" w:themeColor="text1"/>
                <w:kern w:val="3"/>
                <w:sz w:val="28"/>
                <w:szCs w:val="28"/>
                <w:lang w:eastAsia="zh-CN" w:bidi="hi-IN"/>
              </w:rPr>
              <w:t>Фактор 1</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188,032</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3</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62,677</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389,437</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2,699</w:t>
            </w:r>
          </w:p>
        </w:tc>
        <w:tc>
          <w:tcPr>
            <w:tcW w:w="1417"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0,00</w:t>
            </w:r>
          </w:p>
        </w:tc>
        <w:tc>
          <w:tcPr>
            <w:tcW w:w="1575"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7,81</w:t>
            </w:r>
          </w:p>
        </w:tc>
      </w:tr>
      <w:tr w:rsidR="00854E40" w:rsidRPr="00CC7883" w:rsidTr="001F2C3A">
        <w:trPr>
          <w:jc w:val="center"/>
        </w:trPr>
        <w:tc>
          <w:tcPr>
            <w:tcW w:w="3827" w:type="dxa"/>
          </w:tcPr>
          <w:p w:rsidR="00854E40" w:rsidRPr="00CC7883" w:rsidRDefault="00854E40" w:rsidP="00047411">
            <w:pPr>
              <w:widowControl w:val="0"/>
              <w:autoSpaceDN w:val="0"/>
              <w:spacing w:after="0" w:line="240" w:lineRule="auto"/>
              <w:textAlignment w:val="baseline"/>
              <w:rPr>
                <w:rFonts w:ascii="Times New Roman" w:eastAsia="Calibri" w:hAnsi="Times New Roman" w:cs="Times New Roman"/>
                <w:color w:val="000000" w:themeColor="text1"/>
                <w:kern w:val="3"/>
                <w:sz w:val="28"/>
                <w:szCs w:val="28"/>
                <w:lang w:eastAsia="zh-CN" w:bidi="hi-IN"/>
              </w:rPr>
            </w:pPr>
            <w:r w:rsidRPr="00CC7883">
              <w:rPr>
                <w:rFonts w:ascii="Times New Roman" w:eastAsia="Calibri" w:hAnsi="Times New Roman" w:cs="Times New Roman"/>
                <w:color w:val="000000" w:themeColor="text1"/>
                <w:kern w:val="3"/>
                <w:sz w:val="28"/>
                <w:szCs w:val="28"/>
                <w:lang w:eastAsia="zh-CN" w:bidi="hi-IN"/>
              </w:rPr>
              <w:t>Фактор 2</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1634,181</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1634,181</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10 153,76</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3,94</w:t>
            </w:r>
          </w:p>
        </w:tc>
        <w:tc>
          <w:tcPr>
            <w:tcW w:w="1417" w:type="dxa"/>
          </w:tcPr>
          <w:p w:rsidR="00854E40" w:rsidRPr="00CC7883" w:rsidRDefault="00854E40" w:rsidP="00047411">
            <w:pPr>
              <w:widowControl w:val="0"/>
              <w:autoSpaceDN w:val="0"/>
              <w:spacing w:after="0" w:line="240" w:lineRule="auto"/>
              <w:jc w:val="center"/>
              <w:textAlignment w:val="baseline"/>
              <w:rPr>
                <w:rFonts w:ascii="Liberation Serif" w:eastAsia="NSimSun" w:hAnsi="Liberation Serif" w:cs="Lucida Sans"/>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0,00</w:t>
            </w:r>
          </w:p>
        </w:tc>
        <w:tc>
          <w:tcPr>
            <w:tcW w:w="1575"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67,84</w:t>
            </w:r>
          </w:p>
        </w:tc>
      </w:tr>
      <w:tr w:rsidR="00854E40" w:rsidRPr="00CC7883" w:rsidTr="001F2C3A">
        <w:trPr>
          <w:jc w:val="center"/>
        </w:trPr>
        <w:tc>
          <w:tcPr>
            <w:tcW w:w="3827" w:type="dxa"/>
          </w:tcPr>
          <w:p w:rsidR="00854E40" w:rsidRPr="00CC7883" w:rsidRDefault="00854E40" w:rsidP="00047411">
            <w:pPr>
              <w:widowControl w:val="0"/>
              <w:autoSpaceDN w:val="0"/>
              <w:spacing w:after="0" w:line="240" w:lineRule="auto"/>
              <w:textAlignment w:val="baseline"/>
              <w:rPr>
                <w:rFonts w:ascii="Times New Roman" w:eastAsia="Calibri" w:hAnsi="Times New Roman" w:cs="Times New Roman"/>
                <w:color w:val="000000" w:themeColor="text1"/>
                <w:kern w:val="3"/>
                <w:sz w:val="28"/>
                <w:szCs w:val="28"/>
                <w:lang w:eastAsia="zh-CN" w:bidi="hi-IN"/>
              </w:rPr>
            </w:pPr>
            <w:r w:rsidRPr="00CC7883">
              <w:rPr>
                <w:rFonts w:ascii="Times New Roman" w:eastAsia="Calibri" w:hAnsi="Times New Roman" w:cs="Times New Roman"/>
                <w:color w:val="000000" w:themeColor="text1"/>
                <w:kern w:val="3"/>
                <w:sz w:val="28"/>
                <w:szCs w:val="28"/>
                <w:lang w:eastAsia="zh-CN" w:bidi="hi-IN"/>
              </w:rPr>
              <w:t>Фактор 3</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245,358</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5</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49,072</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304,9</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2,309</w:t>
            </w:r>
          </w:p>
        </w:tc>
        <w:tc>
          <w:tcPr>
            <w:tcW w:w="1417" w:type="dxa"/>
          </w:tcPr>
          <w:p w:rsidR="00854E40" w:rsidRPr="00CC7883" w:rsidRDefault="00854E40" w:rsidP="00047411">
            <w:pPr>
              <w:widowControl w:val="0"/>
              <w:autoSpaceDN w:val="0"/>
              <w:spacing w:after="0" w:line="240" w:lineRule="auto"/>
              <w:jc w:val="center"/>
              <w:textAlignment w:val="baseline"/>
              <w:rPr>
                <w:rFonts w:ascii="Liberation Serif" w:eastAsia="NSimSun" w:hAnsi="Liberation Serif" w:cs="Lucida Sans"/>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0,00</w:t>
            </w:r>
          </w:p>
        </w:tc>
        <w:tc>
          <w:tcPr>
            <w:tcW w:w="1575"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10,19</w:t>
            </w:r>
          </w:p>
        </w:tc>
      </w:tr>
      <w:tr w:rsidR="00854E40" w:rsidRPr="00CC7883" w:rsidTr="001F2C3A">
        <w:trPr>
          <w:jc w:val="center"/>
        </w:trPr>
        <w:tc>
          <w:tcPr>
            <w:tcW w:w="3827" w:type="dxa"/>
          </w:tcPr>
          <w:p w:rsidR="00854E40" w:rsidRPr="00CC7883" w:rsidRDefault="00854E40" w:rsidP="00047411">
            <w:pPr>
              <w:widowControl w:val="0"/>
              <w:autoSpaceDN w:val="0"/>
              <w:spacing w:after="0" w:line="240" w:lineRule="auto"/>
              <w:textAlignment w:val="baseline"/>
              <w:rPr>
                <w:rFonts w:ascii="Times New Roman" w:eastAsia="Calibri" w:hAnsi="Times New Roman" w:cs="Times New Roman"/>
                <w:color w:val="000000" w:themeColor="text1"/>
                <w:kern w:val="3"/>
                <w:sz w:val="28"/>
                <w:szCs w:val="28"/>
                <w:lang w:eastAsia="zh-CN" w:bidi="hi-IN"/>
              </w:rPr>
            </w:pPr>
            <w:r w:rsidRPr="00CC7883">
              <w:rPr>
                <w:rFonts w:ascii="Times New Roman" w:eastAsia="Calibri" w:hAnsi="Times New Roman" w:cs="Times New Roman"/>
                <w:color w:val="000000" w:themeColor="text1"/>
                <w:kern w:val="3"/>
                <w:sz w:val="28"/>
                <w:szCs w:val="28"/>
                <w:lang w:eastAsia="zh-CN" w:bidi="hi-IN"/>
              </w:rPr>
              <w:t>Фактор 1</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Calibri" w:hAnsi="Times New Roman" w:cs="Times New Roman"/>
                <w:color w:val="000000" w:themeColor="text1"/>
                <w:kern w:val="3"/>
                <w:sz w:val="28"/>
                <w:szCs w:val="28"/>
                <w:lang w:eastAsia="zh-CN" w:bidi="hi-IN"/>
              </w:rPr>
              <w:t>Фактор 2</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21,452</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3</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7,151</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44,429</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2,699</w:t>
            </w:r>
          </w:p>
        </w:tc>
        <w:tc>
          <w:tcPr>
            <w:tcW w:w="1417" w:type="dxa"/>
          </w:tcPr>
          <w:p w:rsidR="00854E40" w:rsidRPr="00CC7883" w:rsidRDefault="00854E40" w:rsidP="00047411">
            <w:pPr>
              <w:widowControl w:val="0"/>
              <w:autoSpaceDN w:val="0"/>
              <w:spacing w:after="0" w:line="240" w:lineRule="auto"/>
              <w:jc w:val="center"/>
              <w:textAlignment w:val="baseline"/>
              <w:rPr>
                <w:rFonts w:ascii="Liberation Serif" w:eastAsia="NSimSun" w:hAnsi="Liberation Serif" w:cs="Lucida Sans"/>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0,00</w:t>
            </w:r>
          </w:p>
        </w:tc>
        <w:tc>
          <w:tcPr>
            <w:tcW w:w="1575"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0,89</w:t>
            </w:r>
          </w:p>
        </w:tc>
      </w:tr>
      <w:tr w:rsidR="00854E40" w:rsidRPr="00CC7883" w:rsidTr="001F2C3A">
        <w:trPr>
          <w:jc w:val="center"/>
        </w:trPr>
        <w:tc>
          <w:tcPr>
            <w:tcW w:w="3827" w:type="dxa"/>
          </w:tcPr>
          <w:p w:rsidR="00854E40" w:rsidRPr="00CC7883" w:rsidRDefault="00854E40" w:rsidP="00047411">
            <w:pPr>
              <w:widowControl w:val="0"/>
              <w:autoSpaceDN w:val="0"/>
              <w:spacing w:after="0" w:line="240" w:lineRule="auto"/>
              <w:textAlignment w:val="baseline"/>
              <w:rPr>
                <w:rFonts w:ascii="Times New Roman" w:eastAsia="Calibri" w:hAnsi="Times New Roman" w:cs="Times New Roman"/>
                <w:color w:val="000000" w:themeColor="text1"/>
                <w:kern w:val="3"/>
                <w:sz w:val="28"/>
                <w:szCs w:val="28"/>
                <w:lang w:eastAsia="zh-CN" w:bidi="hi-IN"/>
              </w:rPr>
            </w:pPr>
            <w:r w:rsidRPr="00CC7883">
              <w:rPr>
                <w:rFonts w:ascii="Times New Roman" w:eastAsia="Calibri" w:hAnsi="Times New Roman" w:cs="Times New Roman"/>
                <w:color w:val="000000" w:themeColor="text1"/>
                <w:kern w:val="3"/>
                <w:sz w:val="28"/>
                <w:szCs w:val="28"/>
                <w:lang w:eastAsia="zh-CN" w:bidi="hi-IN"/>
              </w:rPr>
              <w:t>Фактор 1</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Calibri" w:hAnsi="Times New Roman" w:cs="Times New Roman"/>
                <w:color w:val="000000" w:themeColor="text1"/>
                <w:kern w:val="3"/>
                <w:sz w:val="28"/>
                <w:szCs w:val="28"/>
                <w:lang w:eastAsia="zh-CN" w:bidi="hi-IN"/>
              </w:rPr>
              <w:t>Фактор 3</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92,734</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15</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6,182</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38,413</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1,771</w:t>
            </w:r>
          </w:p>
        </w:tc>
        <w:tc>
          <w:tcPr>
            <w:tcW w:w="1417" w:type="dxa"/>
          </w:tcPr>
          <w:p w:rsidR="00854E40" w:rsidRPr="00CC7883" w:rsidRDefault="00854E40" w:rsidP="00047411">
            <w:pPr>
              <w:widowControl w:val="0"/>
              <w:autoSpaceDN w:val="0"/>
              <w:spacing w:after="0" w:line="240" w:lineRule="auto"/>
              <w:jc w:val="center"/>
              <w:textAlignment w:val="baseline"/>
              <w:rPr>
                <w:rFonts w:ascii="Liberation Serif" w:eastAsia="NSimSun" w:hAnsi="Liberation Serif" w:cs="Lucida Sans"/>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0,00</w:t>
            </w:r>
          </w:p>
        </w:tc>
        <w:tc>
          <w:tcPr>
            <w:tcW w:w="1575"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3,85</w:t>
            </w:r>
          </w:p>
        </w:tc>
      </w:tr>
      <w:tr w:rsidR="00854E40" w:rsidRPr="00CC7883" w:rsidTr="001F2C3A">
        <w:trPr>
          <w:jc w:val="center"/>
        </w:trPr>
        <w:tc>
          <w:tcPr>
            <w:tcW w:w="3827" w:type="dxa"/>
          </w:tcPr>
          <w:p w:rsidR="00854E40" w:rsidRPr="00CC7883" w:rsidRDefault="00854E40" w:rsidP="00047411">
            <w:pPr>
              <w:widowControl w:val="0"/>
              <w:autoSpaceDN w:val="0"/>
              <w:spacing w:after="0" w:line="240" w:lineRule="auto"/>
              <w:textAlignment w:val="baseline"/>
              <w:rPr>
                <w:rFonts w:ascii="Times New Roman" w:eastAsia="Calibri" w:hAnsi="Times New Roman" w:cs="Times New Roman"/>
                <w:color w:val="000000" w:themeColor="text1"/>
                <w:kern w:val="3"/>
                <w:sz w:val="28"/>
                <w:szCs w:val="28"/>
                <w:lang w:eastAsia="zh-CN" w:bidi="hi-IN"/>
              </w:rPr>
            </w:pPr>
            <w:r w:rsidRPr="00CC7883">
              <w:rPr>
                <w:rFonts w:ascii="Times New Roman" w:eastAsia="Calibri" w:hAnsi="Times New Roman" w:cs="Times New Roman"/>
                <w:color w:val="000000" w:themeColor="text1"/>
                <w:kern w:val="3"/>
                <w:sz w:val="28"/>
                <w:szCs w:val="28"/>
                <w:lang w:eastAsia="zh-CN" w:bidi="hi-IN"/>
              </w:rPr>
              <w:t>Фактор 2</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Calibri" w:hAnsi="Times New Roman" w:cs="Times New Roman"/>
                <w:color w:val="000000" w:themeColor="text1"/>
                <w:kern w:val="3"/>
                <w:sz w:val="28"/>
                <w:szCs w:val="28"/>
                <w:lang w:eastAsia="zh-CN" w:bidi="hi-IN"/>
              </w:rPr>
              <w:t>Фактор 3</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181,993</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5</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36,399</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226,158</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2,309</w:t>
            </w:r>
          </w:p>
        </w:tc>
        <w:tc>
          <w:tcPr>
            <w:tcW w:w="1417" w:type="dxa"/>
          </w:tcPr>
          <w:p w:rsidR="00854E40" w:rsidRPr="00CC7883" w:rsidRDefault="00854E40" w:rsidP="00047411">
            <w:pPr>
              <w:widowControl w:val="0"/>
              <w:autoSpaceDN w:val="0"/>
              <w:spacing w:after="0" w:line="240" w:lineRule="auto"/>
              <w:jc w:val="center"/>
              <w:textAlignment w:val="baseline"/>
              <w:rPr>
                <w:rFonts w:ascii="Liberation Serif" w:eastAsia="NSimSun" w:hAnsi="Liberation Serif" w:cs="Lucida Sans"/>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0,00</w:t>
            </w:r>
          </w:p>
        </w:tc>
        <w:tc>
          <w:tcPr>
            <w:tcW w:w="1575"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7,56</w:t>
            </w:r>
          </w:p>
        </w:tc>
      </w:tr>
      <w:tr w:rsidR="00854E40" w:rsidRPr="00CC7883" w:rsidTr="001F2C3A">
        <w:trPr>
          <w:jc w:val="center"/>
        </w:trPr>
        <w:tc>
          <w:tcPr>
            <w:tcW w:w="3827" w:type="dxa"/>
          </w:tcPr>
          <w:p w:rsidR="00854E40" w:rsidRPr="00CC7883" w:rsidRDefault="00854E40" w:rsidP="00047411">
            <w:pPr>
              <w:widowControl w:val="0"/>
              <w:autoSpaceDN w:val="0"/>
              <w:spacing w:after="0" w:line="240" w:lineRule="auto"/>
              <w:textAlignment w:val="baseline"/>
              <w:rPr>
                <w:rFonts w:ascii="Times New Roman" w:eastAsia="Calibri" w:hAnsi="Times New Roman" w:cs="Times New Roman"/>
                <w:color w:val="000000" w:themeColor="text1"/>
                <w:kern w:val="3"/>
                <w:sz w:val="28"/>
                <w:szCs w:val="28"/>
                <w:lang w:eastAsia="zh-CN" w:bidi="hi-IN"/>
              </w:rPr>
            </w:pPr>
            <w:r w:rsidRPr="00CC7883">
              <w:rPr>
                <w:rFonts w:ascii="Times New Roman" w:eastAsia="Calibri" w:hAnsi="Times New Roman" w:cs="Times New Roman"/>
                <w:color w:val="000000" w:themeColor="text1"/>
                <w:kern w:val="3"/>
                <w:sz w:val="28"/>
                <w:szCs w:val="28"/>
                <w:lang w:eastAsia="zh-CN" w:bidi="hi-IN"/>
              </w:rPr>
              <w:t>Фактор 1</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Calibri" w:hAnsi="Times New Roman" w:cs="Times New Roman"/>
                <w:color w:val="000000" w:themeColor="text1"/>
                <w:kern w:val="3"/>
                <w:sz w:val="28"/>
                <w:szCs w:val="28"/>
                <w:lang w:eastAsia="zh-CN" w:bidi="hi-IN"/>
              </w:rPr>
              <w:t>Фактор 2</w:t>
            </w:r>
            <w:r w:rsidRPr="00CC7883">
              <w:rPr>
                <w:rFonts w:ascii="Times New Roman" w:eastAsia="NSimSun" w:hAnsi="Times New Roman" w:cs="Times New Roman"/>
                <w:color w:val="000000" w:themeColor="text1"/>
                <w:kern w:val="3"/>
                <w:sz w:val="28"/>
                <w:szCs w:val="28"/>
                <w:lang w:eastAsia="zh-CN" w:bidi="hi-IN"/>
              </w:rPr>
              <w:t>×</w:t>
            </w:r>
            <w:r w:rsidRPr="00CC7883">
              <w:rPr>
                <w:rFonts w:ascii="Times New Roman" w:eastAsia="Calibri" w:hAnsi="Times New Roman" w:cs="Times New Roman"/>
                <w:color w:val="000000" w:themeColor="text1"/>
                <w:kern w:val="3"/>
                <w:sz w:val="28"/>
                <w:szCs w:val="28"/>
                <w:lang w:eastAsia="zh-CN" w:bidi="hi-IN"/>
              </w:rPr>
              <w:t>Фактор 3</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29,589</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15</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1,973</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12,257</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1,771</w:t>
            </w:r>
          </w:p>
        </w:tc>
        <w:tc>
          <w:tcPr>
            <w:tcW w:w="1417" w:type="dxa"/>
          </w:tcPr>
          <w:p w:rsidR="00854E40" w:rsidRPr="00CC7883" w:rsidRDefault="00854E40" w:rsidP="00047411">
            <w:pPr>
              <w:widowControl w:val="0"/>
              <w:autoSpaceDN w:val="0"/>
              <w:spacing w:after="0" w:line="240" w:lineRule="auto"/>
              <w:jc w:val="center"/>
              <w:textAlignment w:val="baseline"/>
              <w:rPr>
                <w:rFonts w:ascii="Liberation Serif" w:eastAsia="NSimSun" w:hAnsi="Liberation Serif" w:cs="Lucida Sans"/>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0,00</w:t>
            </w:r>
          </w:p>
        </w:tc>
        <w:tc>
          <w:tcPr>
            <w:tcW w:w="1575"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1,23</w:t>
            </w:r>
          </w:p>
        </w:tc>
      </w:tr>
      <w:tr w:rsidR="00854E40" w:rsidRPr="00CC7883" w:rsidTr="001F2C3A">
        <w:trPr>
          <w:jc w:val="center"/>
        </w:trPr>
        <w:tc>
          <w:tcPr>
            <w:tcW w:w="3827" w:type="dxa"/>
          </w:tcPr>
          <w:p w:rsidR="00854E40" w:rsidRPr="00CC7883" w:rsidRDefault="00854E40" w:rsidP="00047411">
            <w:pPr>
              <w:widowControl w:val="0"/>
              <w:autoSpaceDN w:val="0"/>
              <w:spacing w:after="0" w:line="240" w:lineRule="auto"/>
              <w:textAlignment w:val="baseline"/>
              <w:rPr>
                <w:rFonts w:ascii="Times New Roman" w:eastAsia="Calibri" w:hAnsi="Times New Roman" w:cs="Times New Roman"/>
                <w:color w:val="000000" w:themeColor="text1"/>
                <w:kern w:val="3"/>
                <w:sz w:val="28"/>
                <w:szCs w:val="28"/>
                <w:lang w:eastAsia="zh-CN" w:bidi="hi-IN"/>
              </w:rPr>
            </w:pPr>
            <w:r w:rsidRPr="00CC7883">
              <w:rPr>
                <w:rFonts w:ascii="Times New Roman" w:eastAsia="Calibri" w:hAnsi="Times New Roman" w:cs="Times New Roman"/>
                <w:color w:val="000000" w:themeColor="text1"/>
                <w:kern w:val="3"/>
                <w:sz w:val="28"/>
                <w:szCs w:val="28"/>
                <w:lang w:eastAsia="zh-CN" w:bidi="hi-IN"/>
              </w:rPr>
              <w:t>Похибка</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15,451</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96</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0,161</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p>
        </w:tc>
        <w:tc>
          <w:tcPr>
            <w:tcW w:w="1417"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p>
        </w:tc>
        <w:tc>
          <w:tcPr>
            <w:tcW w:w="1575"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szCs w:val="28"/>
                <w:lang w:eastAsia="zh-CN" w:bidi="hi-IN"/>
              </w:rPr>
            </w:pPr>
            <w:r w:rsidRPr="00CC7883">
              <w:rPr>
                <w:rFonts w:ascii="Times New Roman" w:eastAsia="NSimSun" w:hAnsi="Times New Roman" w:cs="Times New Roman"/>
                <w:color w:val="000000" w:themeColor="text1"/>
                <w:kern w:val="3"/>
                <w:sz w:val="28"/>
                <w:szCs w:val="28"/>
                <w:lang w:eastAsia="zh-CN" w:bidi="hi-IN"/>
              </w:rPr>
              <w:t>0,64</w:t>
            </w:r>
          </w:p>
        </w:tc>
      </w:tr>
    </w:tbl>
    <w:p w:rsidR="00854E40" w:rsidRPr="00CC7883" w:rsidRDefault="00854E40" w:rsidP="00047411">
      <w:pPr>
        <w:widowControl w:val="0"/>
        <w:spacing w:line="259" w:lineRule="auto"/>
        <w:jc w:val="center"/>
        <w:rPr>
          <w:rFonts w:ascii="Times New Roman" w:eastAsia="Calibri" w:hAnsi="Times New Roman" w:cs="Times New Roman"/>
          <w:color w:val="000000" w:themeColor="text1"/>
          <w:kern w:val="0"/>
          <w:sz w:val="28"/>
          <w:szCs w:val="28"/>
        </w:rPr>
      </w:pPr>
    </w:p>
    <w:p w:rsidR="00854E40" w:rsidRPr="00CC7883" w:rsidRDefault="00854E40" w:rsidP="00047411">
      <w:pPr>
        <w:widowControl w:val="0"/>
        <w:spacing w:line="259" w:lineRule="auto"/>
        <w:jc w:val="right"/>
        <w:rPr>
          <w:rFonts w:ascii="Times New Roman" w:eastAsia="Calibri" w:hAnsi="Times New Roman" w:cs="Times New Roman"/>
          <w:i/>
          <w:color w:val="000000" w:themeColor="text1"/>
          <w:kern w:val="0"/>
          <w:sz w:val="28"/>
          <w:szCs w:val="28"/>
        </w:rPr>
        <w:sectPr w:rsidR="00854E40" w:rsidRPr="00CC7883" w:rsidSect="00B610AB">
          <w:headerReference w:type="default" r:id="rId212"/>
          <w:footerReference w:type="default" r:id="rId213"/>
          <w:pgSz w:w="16838" w:h="11906" w:orient="landscape" w:code="9"/>
          <w:pgMar w:top="1701" w:right="1134" w:bottom="284" w:left="1134" w:header="709" w:footer="709" w:gutter="0"/>
          <w:cols w:space="708"/>
          <w:docGrid w:linePitch="360"/>
        </w:sectPr>
      </w:pPr>
    </w:p>
    <w:p w:rsidR="00185545" w:rsidRPr="00CC7883" w:rsidRDefault="00185545"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A32496">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2</w:t>
      </w:r>
    </w:p>
    <w:p w:rsidR="00185545" w:rsidRPr="00CC7883" w:rsidRDefault="00185545" w:rsidP="00047411">
      <w:pPr>
        <w:widowControl w:val="0"/>
        <w:spacing w:line="259" w:lineRule="auto"/>
        <w:jc w:val="center"/>
        <w:rPr>
          <w:rFonts w:ascii="Times New Roman" w:eastAsia="Calibri" w:hAnsi="Times New Roman" w:cs="Times New Roman"/>
          <w:b/>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3</w:t>
      </w:r>
      <w:r w:rsidR="00791F95" w:rsidRPr="00CC7883">
        <w:rPr>
          <w:rFonts w:ascii="Times New Roman" w:eastAsia="Calibri" w:hAnsi="Times New Roman" w:cs="Times New Roman"/>
          <w:b/>
          <w:color w:val="000000" w:themeColor="text1"/>
          <w:kern w:val="0"/>
          <w:sz w:val="28"/>
          <w:szCs w:val="28"/>
        </w:rPr>
        <w:t xml:space="preserve"> (дослід 2)</w:t>
      </w:r>
    </w:p>
    <w:tbl>
      <w:tblPr>
        <w:tblW w:w="137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291"/>
      </w:tblGrid>
      <w:tr w:rsidR="00854E40" w:rsidRPr="00CC7883" w:rsidTr="00A32496">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91"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A32496">
        <w:trPr>
          <w:jc w:val="center"/>
        </w:trPr>
        <w:tc>
          <w:tcPr>
            <w:tcW w:w="13765"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Проліферація пазушних бруньок, %</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322,450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107,483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634,311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5,64</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4564,445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1521,482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8978,984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79,77</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830,123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92,236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544,328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14,51</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5,253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0,169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9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w:t>
            </w:r>
          </w:p>
        </w:tc>
      </w:tr>
      <w:tr w:rsidR="00854E40" w:rsidRPr="00CC7883" w:rsidTr="00A32496">
        <w:trPr>
          <w:jc w:val="center"/>
        </w:trPr>
        <w:tc>
          <w:tcPr>
            <w:tcW w:w="13765"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Ризогенез ініціальних експлантів, %</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262,931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87,644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485,651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5,28</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4313,878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1437,959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7968,026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86,60</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399,188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44,354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245,776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8,01</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5,594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9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0,11</w:t>
            </w:r>
          </w:p>
        </w:tc>
      </w:tr>
    </w:tbl>
    <w:p w:rsidR="00854E40" w:rsidRPr="00CC7883" w:rsidRDefault="00854E40" w:rsidP="00047411">
      <w:pPr>
        <w:widowControl w:val="0"/>
        <w:spacing w:line="259" w:lineRule="auto"/>
        <w:rPr>
          <w:rFonts w:ascii="Times New Roman" w:eastAsia="Calibri" w:hAnsi="Times New Roman" w:cs="Times New Roman"/>
          <w:i/>
          <w:color w:val="000000" w:themeColor="text1"/>
          <w:kern w:val="0"/>
          <w:sz w:val="28"/>
          <w:szCs w:val="28"/>
        </w:rPr>
      </w:pPr>
    </w:p>
    <w:p w:rsidR="00854E40" w:rsidRPr="00CC7883" w:rsidRDefault="00854E40" w:rsidP="00047411">
      <w:pPr>
        <w:widowControl w:val="0"/>
        <w:spacing w:line="259" w:lineRule="auto"/>
        <w:rPr>
          <w:rFonts w:ascii="Times New Roman" w:eastAsia="Calibri" w:hAnsi="Times New Roman" w:cs="Times New Roman"/>
          <w:i/>
          <w:color w:val="000000" w:themeColor="text1"/>
          <w:kern w:val="0"/>
          <w:sz w:val="28"/>
          <w:szCs w:val="28"/>
        </w:rPr>
        <w:sectPr w:rsidR="00854E40" w:rsidRPr="00CC7883" w:rsidSect="00B610AB">
          <w:footerReference w:type="default" r:id="rId214"/>
          <w:pgSz w:w="16838" w:h="11906" w:orient="landscape" w:code="9"/>
          <w:pgMar w:top="1701" w:right="1134" w:bottom="284" w:left="1134" w:header="709" w:footer="709" w:gutter="0"/>
          <w:cols w:space="708"/>
          <w:docGrid w:linePitch="360"/>
        </w:sectPr>
      </w:pPr>
    </w:p>
    <w:p w:rsidR="00701F48" w:rsidRPr="00CC7883" w:rsidRDefault="00701F48"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A32496">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3</w:t>
      </w:r>
    </w:p>
    <w:p w:rsidR="00701F48" w:rsidRPr="00CC7883" w:rsidRDefault="00701F48" w:rsidP="00047411">
      <w:pPr>
        <w:widowControl w:val="0"/>
        <w:spacing w:line="259" w:lineRule="auto"/>
        <w:jc w:val="center"/>
        <w:rPr>
          <w:rFonts w:ascii="Times New Roman" w:eastAsia="Calibri" w:hAnsi="Times New Roman" w:cs="Times New Roman"/>
          <w:b/>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3</w:t>
      </w:r>
      <w:r w:rsidR="003E6D23" w:rsidRPr="00CC7883">
        <w:rPr>
          <w:rFonts w:ascii="Times New Roman" w:eastAsia="Calibri" w:hAnsi="Times New Roman" w:cs="Times New Roman"/>
          <w:b/>
          <w:color w:val="000000" w:themeColor="text1"/>
          <w:kern w:val="0"/>
          <w:sz w:val="28"/>
          <w:szCs w:val="28"/>
        </w:rPr>
        <w:t xml:space="preserve"> (дослід 2)</w:t>
      </w:r>
    </w:p>
    <w:tbl>
      <w:tblPr>
        <w:tblW w:w="13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370"/>
      </w:tblGrid>
      <w:tr w:rsidR="00854E40" w:rsidRPr="00CC7883" w:rsidTr="00A32496">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37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A32496">
        <w:trPr>
          <w:trHeight w:val="120"/>
          <w:jc w:val="center"/>
        </w:trPr>
        <w:tc>
          <w:tcPr>
            <w:tcW w:w="13844"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 xml:space="preserve">Приживлюваність </w:t>
            </w:r>
            <w:r w:rsidR="00271886" w:rsidRPr="00CC7883">
              <w:rPr>
                <w:rFonts w:ascii="Times New Roman" w:hAnsi="Times New Roman" w:cs="Times New Roman"/>
                <w:i/>
                <w:iCs/>
                <w:color w:val="000000" w:themeColor="text1"/>
                <w:sz w:val="28"/>
                <w:szCs w:val="28"/>
              </w:rPr>
              <w:t>in vitro</w:t>
            </w:r>
            <w:r w:rsidRPr="00CC7883">
              <w:rPr>
                <w:rFonts w:ascii="Times New Roman" w:eastAsia="Calibri" w:hAnsi="Times New Roman" w:cs="Times New Roman"/>
                <w:i/>
                <w:color w:val="000000" w:themeColor="text1"/>
                <w:kern w:val="0"/>
                <w:sz w:val="28"/>
                <w:szCs w:val="28"/>
              </w:rPr>
              <w:t>, %</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2380,241</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3</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793,414</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4497,942</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2,901</w:t>
            </w:r>
          </w:p>
        </w:tc>
        <w:tc>
          <w:tcPr>
            <w:tcW w:w="1417" w:type="dxa"/>
          </w:tcPr>
          <w:p w:rsidR="00854E40" w:rsidRPr="00CC7883" w:rsidRDefault="00854E40" w:rsidP="00047411">
            <w:pPr>
              <w:widowControl w:val="0"/>
              <w:autoSpaceDN w:val="0"/>
              <w:spacing w:after="0" w:line="240" w:lineRule="auto"/>
              <w:jc w:val="center"/>
              <w:textAlignment w:val="baseline"/>
              <w:rPr>
                <w:rFonts w:ascii="Liberation Serif" w:eastAsia="NSimSun" w:hAnsi="Liberation Serif" w:cs="Lucida Sans"/>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0,00</w:t>
            </w:r>
          </w:p>
        </w:tc>
        <w:tc>
          <w:tcPr>
            <w:tcW w:w="137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16,76</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10273,709</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3</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3424,570</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19414,234</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2,901</w:t>
            </w:r>
          </w:p>
        </w:tc>
        <w:tc>
          <w:tcPr>
            <w:tcW w:w="1417" w:type="dxa"/>
          </w:tcPr>
          <w:p w:rsidR="00854E40" w:rsidRPr="00CC7883" w:rsidRDefault="00854E40" w:rsidP="00047411">
            <w:pPr>
              <w:widowControl w:val="0"/>
              <w:autoSpaceDN w:val="0"/>
              <w:spacing w:after="0" w:line="240" w:lineRule="auto"/>
              <w:jc w:val="center"/>
              <w:textAlignment w:val="baseline"/>
              <w:rPr>
                <w:rFonts w:ascii="Liberation Serif" w:eastAsia="NSimSun" w:hAnsi="Liberation Serif" w:cs="Lucida Sans"/>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0,00</w:t>
            </w:r>
          </w:p>
        </w:tc>
        <w:tc>
          <w:tcPr>
            <w:tcW w:w="137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72,33</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1543,989</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9</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171,554</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972,559</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2,189</w:t>
            </w:r>
          </w:p>
        </w:tc>
        <w:tc>
          <w:tcPr>
            <w:tcW w:w="1417" w:type="dxa"/>
          </w:tcPr>
          <w:p w:rsidR="00854E40" w:rsidRPr="00CC7883" w:rsidRDefault="00854E40" w:rsidP="00047411">
            <w:pPr>
              <w:widowControl w:val="0"/>
              <w:autoSpaceDN w:val="0"/>
              <w:spacing w:after="0" w:line="240" w:lineRule="auto"/>
              <w:jc w:val="center"/>
              <w:textAlignment w:val="baseline"/>
              <w:rPr>
                <w:rFonts w:ascii="Liberation Serif" w:eastAsia="NSimSun" w:hAnsi="Liberation Serif" w:cs="Lucida Sans"/>
                <w:color w:val="000000" w:themeColor="text1"/>
                <w:kern w:val="3"/>
                <w:lang w:eastAsia="zh-CN" w:bidi="hi-IN"/>
              </w:rPr>
            </w:pPr>
            <w:r w:rsidRPr="00CC7883">
              <w:rPr>
                <w:rFonts w:ascii="Times New Roman" w:eastAsia="NSimSun" w:hAnsi="Times New Roman" w:cs="Times New Roman"/>
                <w:color w:val="000000" w:themeColor="text1"/>
                <w:kern w:val="3"/>
                <w:sz w:val="28"/>
                <w:szCs w:val="28"/>
                <w:lang w:eastAsia="zh-CN" w:bidi="hi-IN"/>
              </w:rPr>
              <w:t>0,00</w:t>
            </w:r>
          </w:p>
        </w:tc>
        <w:tc>
          <w:tcPr>
            <w:tcW w:w="137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10,87</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5,645</w:t>
            </w:r>
          </w:p>
        </w:tc>
        <w:tc>
          <w:tcPr>
            <w:tcW w:w="85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32</w:t>
            </w:r>
          </w:p>
        </w:tc>
        <w:tc>
          <w:tcPr>
            <w:tcW w:w="156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0,176</w:t>
            </w: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p>
        </w:tc>
        <w:tc>
          <w:tcPr>
            <w:tcW w:w="1701"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p>
        </w:tc>
        <w:tc>
          <w:tcPr>
            <w:tcW w:w="1417"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p>
        </w:tc>
        <w:tc>
          <w:tcPr>
            <w:tcW w:w="1370" w:type="dxa"/>
          </w:tcPr>
          <w:p w:rsidR="00854E40" w:rsidRPr="00CC7883" w:rsidRDefault="00854E40" w:rsidP="00047411">
            <w:pPr>
              <w:widowControl w:val="0"/>
              <w:autoSpaceDN w:val="0"/>
              <w:spacing w:after="0" w:line="24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t>0,04</w:t>
            </w:r>
          </w:p>
        </w:tc>
      </w:tr>
    </w:tbl>
    <w:p w:rsidR="00854E40" w:rsidRPr="00CC7883" w:rsidRDefault="00854E40" w:rsidP="00047411">
      <w:pPr>
        <w:widowControl w:val="0"/>
        <w:spacing w:line="259" w:lineRule="auto"/>
        <w:rPr>
          <w:rFonts w:ascii="Times New Roman" w:eastAsia="Calibri" w:hAnsi="Times New Roman" w:cs="Times New Roman"/>
          <w:i/>
          <w:color w:val="000000" w:themeColor="text1"/>
          <w:kern w:val="0"/>
          <w:sz w:val="28"/>
          <w:szCs w:val="28"/>
        </w:rPr>
      </w:pPr>
    </w:p>
    <w:p w:rsidR="00854E40" w:rsidRPr="00CC7883" w:rsidRDefault="00854E40" w:rsidP="00047411">
      <w:pPr>
        <w:widowControl w:val="0"/>
        <w:spacing w:line="259" w:lineRule="auto"/>
        <w:jc w:val="right"/>
        <w:rPr>
          <w:rFonts w:ascii="Times New Roman" w:eastAsia="Calibri" w:hAnsi="Times New Roman" w:cs="Times New Roman"/>
          <w:i/>
          <w:color w:val="000000" w:themeColor="text1"/>
          <w:kern w:val="0"/>
          <w:sz w:val="28"/>
          <w:szCs w:val="28"/>
        </w:rPr>
        <w:sectPr w:rsidR="00854E40" w:rsidRPr="00CC7883" w:rsidSect="00B610AB">
          <w:footerReference w:type="default" r:id="rId215"/>
          <w:pgSz w:w="16838" w:h="11906" w:orient="landscape" w:code="9"/>
          <w:pgMar w:top="1701" w:right="1134" w:bottom="284" w:left="1134" w:header="709" w:footer="709" w:gutter="0"/>
          <w:cols w:space="708"/>
          <w:docGrid w:linePitch="360"/>
        </w:sectPr>
      </w:pPr>
    </w:p>
    <w:p w:rsidR="00701F48" w:rsidRPr="00CC7883" w:rsidRDefault="00701F48"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A32496">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4</w:t>
      </w:r>
    </w:p>
    <w:p w:rsidR="00701F48" w:rsidRPr="00CC7883" w:rsidRDefault="00701F48" w:rsidP="00047411">
      <w:pPr>
        <w:widowControl w:val="0"/>
        <w:spacing w:line="259" w:lineRule="auto"/>
        <w:jc w:val="center"/>
        <w:rPr>
          <w:rFonts w:ascii="Times New Roman" w:eastAsia="Calibri" w:hAnsi="Times New Roman" w:cs="Times New Roman"/>
          <w:b/>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4</w:t>
      </w:r>
      <w:r w:rsidR="003E6D23" w:rsidRPr="00CC7883">
        <w:rPr>
          <w:rFonts w:ascii="Times New Roman" w:eastAsia="Calibri" w:hAnsi="Times New Roman" w:cs="Times New Roman"/>
          <w:b/>
          <w:color w:val="000000" w:themeColor="text1"/>
          <w:kern w:val="0"/>
          <w:sz w:val="28"/>
          <w:szCs w:val="28"/>
        </w:rPr>
        <w:t xml:space="preserve"> (дослід 1)</w:t>
      </w:r>
    </w:p>
    <w:tbl>
      <w:tblPr>
        <w:tblW w:w="137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299"/>
      </w:tblGrid>
      <w:tr w:rsidR="00854E40" w:rsidRPr="00CC7883" w:rsidTr="00A32496">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99"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A32496">
        <w:trPr>
          <w:cantSplit/>
          <w:trHeight w:val="341"/>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A32496">
        <w:trPr>
          <w:jc w:val="center"/>
        </w:trPr>
        <w:tc>
          <w:tcPr>
            <w:tcW w:w="1377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Висота рослин, см</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131,069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43,689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545,460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51,84</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16,408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16,408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204,863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6,49</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58,655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11,731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146,462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23,20</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1,542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0,514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6,417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0,61</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12,750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0,850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10,612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5,04</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14,135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2,827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35,296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5,59</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10,525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0,751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9,386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4,16</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7,769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3,07</w:t>
            </w:r>
          </w:p>
        </w:tc>
      </w:tr>
      <w:tr w:rsidR="00854E40" w:rsidRPr="00CC7883" w:rsidTr="00A32496">
        <w:trPr>
          <w:jc w:val="center"/>
        </w:trPr>
        <w:tc>
          <w:tcPr>
            <w:tcW w:w="1377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Кількість листків, шт.</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68,394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22,798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281,495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69,72</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4,403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4,403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54,367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4,49</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4,750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0,950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11,731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4,84</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2,024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0,675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8,329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2,06</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5,372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0,358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4,422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5,48</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1,204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0,241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2,973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w:t>
            </w:r>
          </w:p>
        </w:tc>
        <w:tc>
          <w:tcPr>
            <w:tcW w:w="129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1,23</w:t>
            </w:r>
          </w:p>
        </w:tc>
      </w:tr>
    </w:tbl>
    <w:p w:rsidR="00F60D8C" w:rsidRPr="00CC7883" w:rsidRDefault="00F60D8C" w:rsidP="00047411">
      <w:pPr>
        <w:widowControl w:val="0"/>
        <w:rPr>
          <w:color w:val="000000" w:themeColor="text1"/>
        </w:rPr>
        <w:sectPr w:rsidR="00F60D8C" w:rsidRPr="00CC7883" w:rsidSect="00F60D8C">
          <w:footerReference w:type="default" r:id="rId216"/>
          <w:pgSz w:w="16838" w:h="11906" w:orient="landscape" w:code="9"/>
          <w:pgMar w:top="1418" w:right="1134" w:bottom="851" w:left="1134" w:header="709" w:footer="709" w:gutter="0"/>
          <w:cols w:space="708"/>
          <w:docGrid w:linePitch="360"/>
        </w:sectPr>
      </w:pPr>
    </w:p>
    <w:p w:rsidR="00F60D8C" w:rsidRPr="00CC7883" w:rsidRDefault="00A32496" w:rsidP="00A32496">
      <w:pPr>
        <w:widowControl w:val="0"/>
        <w:jc w:val="center"/>
        <w:rPr>
          <w:color w:val="000000" w:themeColor="text1"/>
        </w:rPr>
      </w:pPr>
      <w:r>
        <w:rPr>
          <w:rFonts w:ascii="Times New Roman" w:eastAsia="Calibri" w:hAnsi="Times New Roman" w:cs="Times New Roman"/>
          <w:color w:val="000000" w:themeColor="text1"/>
          <w:kern w:val="0"/>
          <w:szCs w:val="28"/>
        </w:rPr>
        <w:lastRenderedPageBreak/>
        <w:t xml:space="preserve">                                                                                                                                     </w:t>
      </w:r>
      <w:r>
        <w:rPr>
          <w:rFonts w:ascii="Times New Roman" w:eastAsia="Calibri" w:hAnsi="Times New Roman" w:cs="Times New Roman"/>
          <w:color w:val="000000" w:themeColor="text1"/>
          <w:kern w:val="0"/>
          <w:szCs w:val="28"/>
        </w:rPr>
        <w:tab/>
      </w:r>
      <w:r>
        <w:rPr>
          <w:rFonts w:ascii="Times New Roman" w:eastAsia="Calibri" w:hAnsi="Times New Roman" w:cs="Times New Roman"/>
          <w:color w:val="000000" w:themeColor="text1"/>
          <w:kern w:val="0"/>
          <w:szCs w:val="28"/>
        </w:rPr>
        <w:tab/>
      </w:r>
      <w:r>
        <w:rPr>
          <w:rFonts w:ascii="Times New Roman" w:eastAsia="Calibri" w:hAnsi="Times New Roman" w:cs="Times New Roman"/>
          <w:color w:val="000000" w:themeColor="text1"/>
          <w:kern w:val="0"/>
          <w:szCs w:val="28"/>
        </w:rPr>
        <w:tab/>
      </w:r>
      <w:r>
        <w:rPr>
          <w:rFonts w:ascii="Times New Roman" w:eastAsia="Calibri" w:hAnsi="Times New Roman" w:cs="Times New Roman"/>
          <w:color w:val="000000" w:themeColor="text1"/>
          <w:kern w:val="0"/>
          <w:szCs w:val="28"/>
        </w:rPr>
        <w:tab/>
        <w:t xml:space="preserve">          </w:t>
      </w:r>
      <w:r w:rsidR="00F60D8C" w:rsidRPr="00CC7883">
        <w:rPr>
          <w:rFonts w:ascii="Times New Roman" w:eastAsia="Calibri" w:hAnsi="Times New Roman" w:cs="Times New Roman"/>
          <w:color w:val="000000" w:themeColor="text1"/>
          <w:kern w:val="0"/>
          <w:szCs w:val="28"/>
        </w:rPr>
        <w:t>Продовження додатку Г.</w:t>
      </w:r>
      <w:r>
        <w:rPr>
          <w:rFonts w:ascii="Times New Roman" w:eastAsia="Calibri" w:hAnsi="Times New Roman" w:cs="Times New Roman"/>
          <w:color w:val="000000" w:themeColor="text1"/>
          <w:kern w:val="0"/>
          <w:szCs w:val="28"/>
        </w:rPr>
        <w:t xml:space="preserve"> </w:t>
      </w:r>
      <w:r w:rsidR="00F60D8C" w:rsidRPr="00CC7883">
        <w:rPr>
          <w:rFonts w:ascii="Times New Roman" w:eastAsia="Calibri" w:hAnsi="Times New Roman" w:cs="Times New Roman"/>
          <w:color w:val="000000" w:themeColor="text1"/>
          <w:kern w:val="0"/>
          <w:szCs w:val="28"/>
        </w:rPr>
        <w:t>4</w:t>
      </w:r>
    </w:p>
    <w:tbl>
      <w:tblPr>
        <w:tblW w:w="13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480"/>
      </w:tblGrid>
      <w:tr w:rsidR="00F60D8C" w:rsidRPr="00CC7883" w:rsidTr="00A32496">
        <w:trPr>
          <w:cantSplit/>
          <w:trHeight w:val="342"/>
          <w:jc w:val="center"/>
        </w:trPr>
        <w:tc>
          <w:tcPr>
            <w:tcW w:w="3827" w:type="dxa"/>
          </w:tcPr>
          <w:p w:rsidR="00F60D8C" w:rsidRPr="00CC7883" w:rsidRDefault="00F60D8C" w:rsidP="00A32496">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F60D8C" w:rsidRPr="00CC7883" w:rsidRDefault="00F60D8C"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F60D8C" w:rsidRPr="00CC7883" w:rsidRDefault="00F60D8C"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F60D8C" w:rsidRPr="00CC7883" w:rsidRDefault="00F60D8C"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F60D8C" w:rsidRPr="00CC7883" w:rsidRDefault="00F60D8C"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F60D8C" w:rsidRPr="00CC7883" w:rsidRDefault="00F60D8C"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F60D8C" w:rsidRPr="00CC7883" w:rsidRDefault="00F60D8C"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480" w:type="dxa"/>
          </w:tcPr>
          <w:p w:rsidR="00F60D8C" w:rsidRPr="00CC7883" w:rsidRDefault="00F60D8C"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0,293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3,617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4,18</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68,394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22,798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281,495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69,72</w:t>
            </w:r>
          </w:p>
        </w:tc>
      </w:tr>
      <w:tr w:rsidR="00854E40" w:rsidRPr="00CC7883" w:rsidTr="00A32496">
        <w:trPr>
          <w:jc w:val="center"/>
        </w:trPr>
        <w:tc>
          <w:tcPr>
            <w:tcW w:w="13954"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Площа листка, см</w:t>
            </w:r>
            <w:r w:rsidRPr="00CC7883">
              <w:rPr>
                <w:rFonts w:ascii="Times New Roman" w:eastAsia="Calibri" w:hAnsi="Times New Roman" w:cs="Times New Roman"/>
                <w:i/>
                <w:color w:val="000000" w:themeColor="text1"/>
                <w:kern w:val="0"/>
                <w:sz w:val="28"/>
                <w:szCs w:val="28"/>
                <w:vertAlign w:val="superscript"/>
              </w:rPr>
              <w:t>2</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4,088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1,363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17,684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12,80</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2,454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2,454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31,848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7,68</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15,892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3,178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41,244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49,74</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0,190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0,14</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0,766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0,051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0,663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0,81</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2,40</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0,679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0,136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1,761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0,13</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2,12</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0,550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0,92</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1,72</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7,475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23,40</w:t>
            </w:r>
          </w:p>
        </w:tc>
      </w:tr>
      <w:tr w:rsidR="00854E40" w:rsidRPr="00CC7883" w:rsidTr="00A32496">
        <w:trPr>
          <w:jc w:val="center"/>
        </w:trPr>
        <w:tc>
          <w:tcPr>
            <w:tcW w:w="13954"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Площа листкової поверхні, см</w:t>
            </w:r>
            <w:r w:rsidRPr="00CC7883">
              <w:rPr>
                <w:rFonts w:ascii="Times New Roman" w:eastAsia="Calibri" w:hAnsi="Times New Roman" w:cs="Times New Roman"/>
                <w:i/>
                <w:color w:val="000000" w:themeColor="text1"/>
                <w:kern w:val="0"/>
                <w:sz w:val="28"/>
                <w:szCs w:val="28"/>
                <w:vertAlign w:val="superscript"/>
              </w:rPr>
              <w:t>2</w:t>
            </w:r>
            <w:r w:rsidRPr="00CC7883">
              <w:rPr>
                <w:rFonts w:ascii="Times New Roman" w:eastAsia="Calibri" w:hAnsi="Times New Roman" w:cs="Times New Roman"/>
                <w:i/>
                <w:color w:val="000000" w:themeColor="text1"/>
                <w:kern w:val="0"/>
                <w:sz w:val="28"/>
                <w:szCs w:val="28"/>
              </w:rPr>
              <w:t>/м</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951,894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317,298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3791,470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45,78</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171,784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171,784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2052,692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8,26</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743,962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148,792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1777,957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35,78</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38,464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12,821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153,204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1,85</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63,042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4,203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50,220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3,03</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32,365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6,473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77,346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1,56</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69,659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4,976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59,455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3,35</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8,118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0,39</w:t>
            </w:r>
          </w:p>
        </w:tc>
      </w:tr>
      <w:tr w:rsidR="00854E40" w:rsidRPr="00CC7883" w:rsidTr="00A32496">
        <w:trPr>
          <w:jc w:val="center"/>
        </w:trPr>
        <w:tc>
          <w:tcPr>
            <w:tcW w:w="13954"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Облистяність, дм</w:t>
            </w:r>
            <w:r w:rsidRPr="00CC7883">
              <w:rPr>
                <w:rFonts w:ascii="Times New Roman" w:eastAsia="Calibri" w:hAnsi="Times New Roman" w:cs="Times New Roman"/>
                <w:i/>
                <w:color w:val="000000" w:themeColor="text1"/>
                <w:kern w:val="0"/>
                <w:sz w:val="28"/>
                <w:szCs w:val="28"/>
                <w:vertAlign w:val="superscript"/>
              </w:rPr>
              <w:t>2</w:t>
            </w:r>
            <w:r w:rsidRPr="00CC7883">
              <w:rPr>
                <w:rFonts w:ascii="Times New Roman" w:eastAsia="Calibri" w:hAnsi="Times New Roman" w:cs="Times New Roman"/>
                <w:i/>
                <w:color w:val="000000" w:themeColor="text1"/>
                <w:kern w:val="0"/>
                <w:sz w:val="28"/>
                <w:szCs w:val="28"/>
              </w:rPr>
              <w:t>/м</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0,422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0,141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0,14</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1,54</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0,115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0,115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1,511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0,22</w:t>
            </w:r>
          </w:p>
        </w:tc>
        <w:tc>
          <w:tcPr>
            <w:tcW w:w="148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0,42</w:t>
            </w:r>
          </w:p>
        </w:tc>
      </w:tr>
    </w:tbl>
    <w:p w:rsidR="00177219" w:rsidRPr="00CC7883" w:rsidRDefault="00177219" w:rsidP="00047411">
      <w:pPr>
        <w:widowControl w:val="0"/>
        <w:rPr>
          <w:color w:val="000000" w:themeColor="text1"/>
        </w:rPr>
        <w:sectPr w:rsidR="00177219" w:rsidRPr="00CC7883" w:rsidSect="00B610AB">
          <w:footerReference w:type="default" r:id="rId217"/>
          <w:pgSz w:w="16838" w:h="11906" w:orient="landscape" w:code="9"/>
          <w:pgMar w:top="1701" w:right="1134" w:bottom="851" w:left="1134" w:header="709" w:footer="709" w:gutter="0"/>
          <w:cols w:space="708"/>
          <w:docGrid w:linePitch="360"/>
        </w:sectPr>
      </w:pPr>
    </w:p>
    <w:p w:rsidR="00F60D8C" w:rsidRPr="00CC7883" w:rsidRDefault="00A32496" w:rsidP="00A32496">
      <w:pPr>
        <w:widowControl w:val="0"/>
        <w:ind w:left="9926" w:firstLine="709"/>
        <w:jc w:val="center"/>
        <w:rPr>
          <w:color w:val="000000" w:themeColor="text1"/>
        </w:rPr>
      </w:pPr>
      <w:r>
        <w:rPr>
          <w:rFonts w:ascii="Times New Roman" w:eastAsia="Calibri" w:hAnsi="Times New Roman" w:cs="Times New Roman"/>
          <w:color w:val="000000" w:themeColor="text1"/>
          <w:kern w:val="0"/>
          <w:szCs w:val="28"/>
        </w:rPr>
        <w:lastRenderedPageBreak/>
        <w:t xml:space="preserve">         </w:t>
      </w:r>
      <w:r w:rsidR="00177219" w:rsidRPr="00CC7883">
        <w:rPr>
          <w:rFonts w:ascii="Times New Roman" w:eastAsia="Calibri" w:hAnsi="Times New Roman" w:cs="Times New Roman"/>
          <w:color w:val="000000" w:themeColor="text1"/>
          <w:kern w:val="0"/>
          <w:szCs w:val="28"/>
        </w:rPr>
        <w:t>Продовження додатку Г.</w:t>
      </w:r>
      <w:r>
        <w:rPr>
          <w:rFonts w:ascii="Times New Roman" w:eastAsia="Calibri" w:hAnsi="Times New Roman" w:cs="Times New Roman"/>
          <w:color w:val="000000" w:themeColor="text1"/>
          <w:kern w:val="0"/>
          <w:szCs w:val="28"/>
        </w:rPr>
        <w:t xml:space="preserve"> </w:t>
      </w:r>
      <w:r w:rsidR="00177219" w:rsidRPr="00CC7883">
        <w:rPr>
          <w:rFonts w:ascii="Times New Roman" w:eastAsia="Calibri" w:hAnsi="Times New Roman" w:cs="Times New Roman"/>
          <w:color w:val="000000" w:themeColor="text1"/>
          <w:kern w:val="0"/>
          <w:szCs w:val="28"/>
        </w:rPr>
        <w:t>4</w:t>
      </w:r>
    </w:p>
    <w:tbl>
      <w:tblPr>
        <w:tblW w:w="139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441"/>
      </w:tblGrid>
      <w:tr w:rsidR="00177219" w:rsidRPr="00CC7883" w:rsidTr="00A32496">
        <w:trPr>
          <w:jc w:val="center"/>
        </w:trPr>
        <w:tc>
          <w:tcPr>
            <w:tcW w:w="3827"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441"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17,228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3,446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45,161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62,90</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0,877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0,46</w:t>
            </w:r>
          </w:p>
        </w:tc>
        <w:tc>
          <w:tcPr>
            <w:tcW w:w="144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0,73</w:t>
            </w:r>
          </w:p>
        </w:tc>
      </w:tr>
      <w:tr w:rsidR="00854E40" w:rsidRPr="00CC7883" w:rsidTr="00A3249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1,308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1,143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0,33</w:t>
            </w:r>
          </w:p>
        </w:tc>
        <w:tc>
          <w:tcPr>
            <w:tcW w:w="144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4,78</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0,248</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0,050</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0,651</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0,66</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0,91</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0,465</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0,033</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0,435</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0,96</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1,70</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7,401</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0,076</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27,02</w:t>
            </w:r>
          </w:p>
        </w:tc>
      </w:tr>
      <w:tr w:rsidR="00786317" w:rsidRPr="00CC7883" w:rsidTr="00A32496">
        <w:trPr>
          <w:jc w:val="center"/>
        </w:trPr>
        <w:tc>
          <w:tcPr>
            <w:tcW w:w="13915" w:type="dxa"/>
            <w:gridSpan w:val="8"/>
          </w:tcPr>
          <w:p w:rsidR="00786317" w:rsidRPr="00CC7883" w:rsidRDefault="00786317"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Загальна кількість коренів, шт.</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495,111</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165,037</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1637,679</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7,45</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173,783</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173,783</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1724,463</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2,61</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5549,145</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1109,829</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11012,937</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83,45</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9,834</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3,278</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32,527</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0,15</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52,608</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3,507</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34,802</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0,79</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316,422</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63,284</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627,977</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4,76</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42,735</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3,052</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30,290</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0,64</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9,775</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0,101</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0,15</w:t>
            </w:r>
          </w:p>
        </w:tc>
      </w:tr>
      <w:tr w:rsidR="00786317" w:rsidRPr="00CC7883" w:rsidTr="00A32496">
        <w:trPr>
          <w:jc w:val="center"/>
        </w:trPr>
        <w:tc>
          <w:tcPr>
            <w:tcW w:w="13915" w:type="dxa"/>
            <w:gridSpan w:val="8"/>
          </w:tcPr>
          <w:p w:rsidR="00786317" w:rsidRPr="00CC7883" w:rsidRDefault="00786317"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Кількість коренів I порядку, шт.</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49,111</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16,370</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221,191</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13,27</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32,945</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32,945</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445,142</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8,90</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197,687</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39,537</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534,218</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53,43</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6,776</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2,259</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30,520</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1,83</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17,850</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1,190</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16,079</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4,82</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42,583</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8,517</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115,074</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11,51</w:t>
            </w:r>
          </w:p>
        </w:tc>
      </w:tr>
      <w:tr w:rsidR="00786317" w:rsidRPr="00CC7883" w:rsidTr="00A32496">
        <w:trPr>
          <w:jc w:val="center"/>
        </w:trPr>
        <w:tc>
          <w:tcPr>
            <w:tcW w:w="3827"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15,859</w:t>
            </w:r>
          </w:p>
        </w:tc>
        <w:tc>
          <w:tcPr>
            <w:tcW w:w="85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1,133</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15,306</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4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4,29</w:t>
            </w:r>
          </w:p>
        </w:tc>
      </w:tr>
    </w:tbl>
    <w:p w:rsidR="00177219" w:rsidRPr="00CC7883" w:rsidRDefault="00177219" w:rsidP="00047411">
      <w:pPr>
        <w:widowControl w:val="0"/>
        <w:rPr>
          <w:color w:val="000000" w:themeColor="text1"/>
        </w:rPr>
        <w:sectPr w:rsidR="00177219" w:rsidRPr="00CC7883" w:rsidSect="00B610AB">
          <w:footerReference w:type="default" r:id="rId218"/>
          <w:pgSz w:w="16838" w:h="11906" w:orient="landscape" w:code="9"/>
          <w:pgMar w:top="1701" w:right="1134" w:bottom="850" w:left="1134" w:header="708" w:footer="708" w:gutter="0"/>
          <w:cols w:space="708"/>
          <w:docGrid w:linePitch="360"/>
        </w:sectPr>
      </w:pPr>
    </w:p>
    <w:p w:rsidR="00177219" w:rsidRPr="00CC7883" w:rsidRDefault="00A32496" w:rsidP="00A32496">
      <w:pPr>
        <w:widowControl w:val="0"/>
        <w:ind w:left="9926" w:firstLine="709"/>
        <w:jc w:val="center"/>
        <w:rPr>
          <w:color w:val="000000" w:themeColor="text1"/>
        </w:rPr>
      </w:pPr>
      <w:r>
        <w:rPr>
          <w:rFonts w:ascii="Times New Roman" w:eastAsia="Calibri" w:hAnsi="Times New Roman" w:cs="Times New Roman"/>
          <w:color w:val="000000" w:themeColor="text1"/>
          <w:kern w:val="0"/>
          <w:szCs w:val="28"/>
        </w:rPr>
        <w:lastRenderedPageBreak/>
        <w:t xml:space="preserve">        </w:t>
      </w:r>
      <w:r w:rsidR="00177219" w:rsidRPr="00CC7883">
        <w:rPr>
          <w:rFonts w:ascii="Times New Roman" w:eastAsia="Calibri" w:hAnsi="Times New Roman" w:cs="Times New Roman"/>
          <w:color w:val="000000" w:themeColor="text1"/>
          <w:kern w:val="0"/>
          <w:szCs w:val="28"/>
        </w:rPr>
        <w:t>Продовження додатку Г.</w:t>
      </w:r>
      <w:r>
        <w:rPr>
          <w:rFonts w:ascii="Times New Roman" w:eastAsia="Calibri" w:hAnsi="Times New Roman" w:cs="Times New Roman"/>
          <w:color w:val="000000" w:themeColor="text1"/>
          <w:kern w:val="0"/>
          <w:szCs w:val="28"/>
        </w:rPr>
        <w:t xml:space="preserve"> </w:t>
      </w:r>
      <w:r w:rsidR="00177219" w:rsidRPr="00CC7883">
        <w:rPr>
          <w:rFonts w:ascii="Times New Roman" w:eastAsia="Calibri" w:hAnsi="Times New Roman" w:cs="Times New Roman"/>
          <w:color w:val="000000" w:themeColor="text1"/>
          <w:kern w:val="0"/>
          <w:szCs w:val="28"/>
        </w:rPr>
        <w:t>4</w:t>
      </w:r>
    </w:p>
    <w:tbl>
      <w:tblPr>
        <w:tblW w:w="13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5"/>
        <w:gridCol w:w="1418"/>
        <w:gridCol w:w="852"/>
        <w:gridCol w:w="1560"/>
        <w:gridCol w:w="1701"/>
        <w:gridCol w:w="1701"/>
        <w:gridCol w:w="1417"/>
        <w:gridCol w:w="1370"/>
      </w:tblGrid>
      <w:tr w:rsidR="00177219" w:rsidRPr="00CC7883" w:rsidTr="00A32496">
        <w:trPr>
          <w:jc w:val="center"/>
        </w:trPr>
        <w:tc>
          <w:tcPr>
            <w:tcW w:w="3825" w:type="dxa"/>
            <w:tcBorders>
              <w:top w:val="single" w:sz="4" w:space="0" w:color="auto"/>
              <w:left w:val="single" w:sz="4" w:space="0" w:color="auto"/>
              <w:bottom w:val="single" w:sz="4" w:space="0" w:color="auto"/>
              <w:right w:val="single" w:sz="4" w:space="0" w:color="auto"/>
            </w:tcBorders>
          </w:tcPr>
          <w:p w:rsidR="00177219" w:rsidRPr="00CC7883" w:rsidRDefault="00177219" w:rsidP="00A32496">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2"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370"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786317" w:rsidRPr="00CC7883" w:rsidTr="00A32496">
        <w:trPr>
          <w:jc w:val="center"/>
        </w:trPr>
        <w:tc>
          <w:tcPr>
            <w:tcW w:w="3825"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7,179</w:t>
            </w:r>
          </w:p>
        </w:tc>
        <w:tc>
          <w:tcPr>
            <w:tcW w:w="852"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0,074</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37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1,94</w:t>
            </w:r>
          </w:p>
        </w:tc>
      </w:tr>
      <w:tr w:rsidR="00786317" w:rsidRPr="00CC7883" w:rsidTr="00A32496">
        <w:trPr>
          <w:jc w:val="center"/>
        </w:trPr>
        <w:tc>
          <w:tcPr>
            <w:tcW w:w="13844" w:type="dxa"/>
            <w:gridSpan w:val="8"/>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Кількість коренів II порядку, шт.</w:t>
            </w:r>
          </w:p>
        </w:tc>
      </w:tr>
      <w:tr w:rsidR="00786317" w:rsidRPr="00CC7883" w:rsidTr="00A32496">
        <w:trPr>
          <w:jc w:val="center"/>
        </w:trPr>
        <w:tc>
          <w:tcPr>
            <w:tcW w:w="3825"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237,073</w:t>
            </w:r>
          </w:p>
        </w:tc>
        <w:tc>
          <w:tcPr>
            <w:tcW w:w="852"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79,024</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816,932</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5,52</w:t>
            </w:r>
          </w:p>
        </w:tc>
      </w:tr>
      <w:tr w:rsidR="00786317" w:rsidRPr="00CC7883" w:rsidTr="00A32496">
        <w:trPr>
          <w:jc w:val="center"/>
        </w:trPr>
        <w:tc>
          <w:tcPr>
            <w:tcW w:w="3825" w:type="dxa"/>
          </w:tcPr>
          <w:p w:rsidR="00786317" w:rsidRPr="00CC7883" w:rsidRDefault="00786317"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55,397</w:t>
            </w:r>
          </w:p>
        </w:tc>
        <w:tc>
          <w:tcPr>
            <w:tcW w:w="852"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55,397</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572,677</w:t>
            </w:r>
          </w:p>
        </w:tc>
        <w:tc>
          <w:tcPr>
            <w:tcW w:w="1701"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786317" w:rsidRPr="00CC7883" w:rsidRDefault="00786317"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1,29</w:t>
            </w:r>
          </w:p>
        </w:tc>
      </w:tr>
      <w:tr w:rsidR="00DC4AA2" w:rsidRPr="00CC7883" w:rsidTr="00A32496">
        <w:trPr>
          <w:jc w:val="center"/>
        </w:trPr>
        <w:tc>
          <w:tcPr>
            <w:tcW w:w="3825" w:type="dxa"/>
          </w:tcPr>
          <w:p w:rsidR="00DC4AA2" w:rsidRPr="00CC7883" w:rsidRDefault="00DC4AA2"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3688,233</w:t>
            </w:r>
          </w:p>
        </w:tc>
        <w:tc>
          <w:tcPr>
            <w:tcW w:w="852"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737,647</w:t>
            </w:r>
          </w:p>
        </w:tc>
        <w:tc>
          <w:tcPr>
            <w:tcW w:w="1701"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7625,592</w:t>
            </w:r>
          </w:p>
        </w:tc>
        <w:tc>
          <w:tcPr>
            <w:tcW w:w="1701"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85,81</w:t>
            </w:r>
          </w:p>
        </w:tc>
      </w:tr>
      <w:tr w:rsidR="00DC4AA2" w:rsidRPr="00CC7883" w:rsidTr="00A32496">
        <w:trPr>
          <w:jc w:val="center"/>
        </w:trPr>
        <w:tc>
          <w:tcPr>
            <w:tcW w:w="3825" w:type="dxa"/>
          </w:tcPr>
          <w:p w:rsidR="00DC4AA2" w:rsidRPr="00CC7883" w:rsidRDefault="00DC4AA2"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1,154</w:t>
            </w:r>
          </w:p>
        </w:tc>
        <w:tc>
          <w:tcPr>
            <w:tcW w:w="852"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0,385</w:t>
            </w:r>
          </w:p>
        </w:tc>
        <w:tc>
          <w:tcPr>
            <w:tcW w:w="1701"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3,977</w:t>
            </w:r>
          </w:p>
        </w:tc>
        <w:tc>
          <w:tcPr>
            <w:tcW w:w="1701"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w:t>
            </w:r>
          </w:p>
        </w:tc>
        <w:tc>
          <w:tcPr>
            <w:tcW w:w="1370" w:type="dxa"/>
          </w:tcPr>
          <w:p w:rsidR="00DC4AA2" w:rsidRPr="00CC7883" w:rsidRDefault="00DC4AA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61,587</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4,106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42,445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1,43</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222,103</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44,421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459,208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5,17</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23,418</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1,673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17,292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0,54</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9,383</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0,22</w:t>
            </w:r>
          </w:p>
        </w:tc>
      </w:tr>
      <w:tr w:rsidR="00854E40" w:rsidRPr="00CC7883" w:rsidTr="00A32496">
        <w:trPr>
          <w:jc w:val="center"/>
        </w:trPr>
        <w:tc>
          <w:tcPr>
            <w:tcW w:w="13844"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color w:val="000000" w:themeColor="text1"/>
                <w:kern w:val="0"/>
                <w:sz w:val="28"/>
                <w:szCs w:val="28"/>
              </w:rPr>
              <w:br w:type="column"/>
            </w:r>
            <w:r w:rsidRPr="00CC7883">
              <w:rPr>
                <w:rFonts w:ascii="Times New Roman" w:eastAsia="Calibri" w:hAnsi="Times New Roman" w:cs="Times New Roman"/>
                <w:i/>
                <w:color w:val="000000" w:themeColor="text1"/>
                <w:kern w:val="0"/>
                <w:sz w:val="28"/>
                <w:szCs w:val="28"/>
              </w:rPr>
              <w:t>Довжина коренів I порядку, см</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2451,432</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817,144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2872,858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15,96</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169,101</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169,101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594,514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1,10</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11759,115</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2351,823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8268,378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76,54</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11,283</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3,761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13,223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642,727</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42,848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150,644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4,18</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147,767</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29,553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103,902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0,96</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154,445</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11,032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38,785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1,01</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27,590</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0,284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0,18</w:t>
            </w:r>
          </w:p>
        </w:tc>
      </w:tr>
      <w:tr w:rsidR="00854E40" w:rsidRPr="00CC7883" w:rsidTr="00A32496">
        <w:trPr>
          <w:jc w:val="center"/>
        </w:trPr>
        <w:tc>
          <w:tcPr>
            <w:tcW w:w="13844"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color w:val="000000" w:themeColor="text1"/>
                <w:kern w:val="0"/>
                <w:sz w:val="28"/>
                <w:szCs w:val="28"/>
              </w:rPr>
              <w:br w:type="column"/>
            </w:r>
            <w:r w:rsidRPr="00CC7883">
              <w:rPr>
                <w:rFonts w:ascii="Times New Roman" w:eastAsia="Calibri" w:hAnsi="Times New Roman" w:cs="Times New Roman"/>
                <w:i/>
                <w:color w:val="000000" w:themeColor="text1"/>
                <w:kern w:val="0"/>
                <w:sz w:val="28"/>
                <w:szCs w:val="28"/>
              </w:rPr>
              <w:t>Довжина коренів II порядку, см</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412,674</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137,558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578,170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6,48</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163,919</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163,919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688,970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2,57</w:t>
            </w:r>
          </w:p>
        </w:tc>
      </w:tr>
      <w:tr w:rsidR="00854E40" w:rsidRPr="00CC7883" w:rsidTr="00A3249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5098,633</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1019,727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4286,018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37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80,04</w:t>
            </w:r>
          </w:p>
        </w:tc>
      </w:tr>
    </w:tbl>
    <w:p w:rsidR="00177219" w:rsidRPr="00CC7883" w:rsidRDefault="00177219" w:rsidP="00047411">
      <w:pPr>
        <w:widowControl w:val="0"/>
        <w:rPr>
          <w:color w:val="000000" w:themeColor="text1"/>
        </w:rPr>
        <w:sectPr w:rsidR="00177219" w:rsidRPr="00CC7883" w:rsidSect="00B610AB">
          <w:footerReference w:type="default" r:id="rId219"/>
          <w:pgSz w:w="16838" w:h="11906" w:orient="landscape" w:code="9"/>
          <w:pgMar w:top="1701" w:right="1134" w:bottom="850" w:left="1134" w:header="708" w:footer="708" w:gutter="0"/>
          <w:cols w:space="708"/>
          <w:docGrid w:linePitch="360"/>
        </w:sectPr>
      </w:pPr>
    </w:p>
    <w:p w:rsidR="00177219" w:rsidRPr="00CC7883" w:rsidRDefault="001F2C3A" w:rsidP="001F2C3A">
      <w:pPr>
        <w:widowControl w:val="0"/>
        <w:jc w:val="center"/>
        <w:rPr>
          <w:color w:val="000000" w:themeColor="text1"/>
        </w:rPr>
      </w:pPr>
      <w:r>
        <w:rPr>
          <w:rFonts w:ascii="Times New Roman" w:eastAsia="Calibri" w:hAnsi="Times New Roman" w:cs="Times New Roman"/>
          <w:color w:val="000000" w:themeColor="text1"/>
          <w:kern w:val="0"/>
          <w:szCs w:val="28"/>
        </w:rPr>
        <w:lastRenderedPageBreak/>
        <w:t xml:space="preserve">                                                                                                                                                   </w:t>
      </w:r>
      <w:r w:rsidR="00A32496">
        <w:rPr>
          <w:rFonts w:ascii="Times New Roman" w:eastAsia="Calibri" w:hAnsi="Times New Roman" w:cs="Times New Roman"/>
          <w:color w:val="000000" w:themeColor="text1"/>
          <w:kern w:val="0"/>
          <w:szCs w:val="28"/>
        </w:rPr>
        <w:t xml:space="preserve">                           </w:t>
      </w:r>
      <w:r w:rsidR="000F4266">
        <w:rPr>
          <w:rFonts w:ascii="Times New Roman" w:eastAsia="Calibri" w:hAnsi="Times New Roman" w:cs="Times New Roman"/>
          <w:color w:val="000000" w:themeColor="text1"/>
          <w:kern w:val="0"/>
          <w:szCs w:val="28"/>
        </w:rPr>
        <w:t xml:space="preserve">   </w:t>
      </w:r>
      <w:r w:rsidR="00A32496">
        <w:rPr>
          <w:rFonts w:ascii="Times New Roman" w:eastAsia="Calibri" w:hAnsi="Times New Roman" w:cs="Times New Roman"/>
          <w:color w:val="000000" w:themeColor="text1"/>
          <w:kern w:val="0"/>
          <w:szCs w:val="28"/>
        </w:rPr>
        <w:t xml:space="preserve">    </w:t>
      </w:r>
      <w:r>
        <w:rPr>
          <w:rFonts w:ascii="Times New Roman" w:eastAsia="Calibri" w:hAnsi="Times New Roman" w:cs="Times New Roman"/>
          <w:color w:val="000000" w:themeColor="text1"/>
          <w:kern w:val="0"/>
          <w:szCs w:val="28"/>
        </w:rPr>
        <w:t xml:space="preserve"> </w:t>
      </w:r>
      <w:r w:rsidR="00177219" w:rsidRPr="00CC7883">
        <w:rPr>
          <w:rFonts w:ascii="Times New Roman" w:eastAsia="Calibri" w:hAnsi="Times New Roman" w:cs="Times New Roman"/>
          <w:color w:val="000000" w:themeColor="text1"/>
          <w:kern w:val="0"/>
          <w:szCs w:val="28"/>
        </w:rPr>
        <w:t>Продовження додатку Г.</w:t>
      </w:r>
      <w:r w:rsidR="00A32496">
        <w:rPr>
          <w:rFonts w:ascii="Times New Roman" w:eastAsia="Calibri" w:hAnsi="Times New Roman" w:cs="Times New Roman"/>
          <w:color w:val="000000" w:themeColor="text1"/>
          <w:kern w:val="0"/>
          <w:szCs w:val="28"/>
        </w:rPr>
        <w:t xml:space="preserve"> </w:t>
      </w:r>
      <w:r w:rsidR="00177219" w:rsidRPr="00CC7883">
        <w:rPr>
          <w:rFonts w:ascii="Times New Roman" w:eastAsia="Calibri" w:hAnsi="Times New Roman" w:cs="Times New Roman"/>
          <w:color w:val="000000" w:themeColor="text1"/>
          <w:kern w:val="0"/>
          <w:szCs w:val="28"/>
        </w:rPr>
        <w:t>4</w:t>
      </w:r>
    </w:p>
    <w:tbl>
      <w:tblPr>
        <w:tblW w:w="13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5"/>
        <w:gridCol w:w="1418"/>
        <w:gridCol w:w="852"/>
        <w:gridCol w:w="1560"/>
        <w:gridCol w:w="1701"/>
        <w:gridCol w:w="1701"/>
        <w:gridCol w:w="1417"/>
        <w:gridCol w:w="1288"/>
      </w:tblGrid>
      <w:tr w:rsidR="00177219" w:rsidRPr="00CC7883" w:rsidTr="000F4266">
        <w:trPr>
          <w:jc w:val="center"/>
        </w:trPr>
        <w:tc>
          <w:tcPr>
            <w:tcW w:w="3825"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2"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288" w:type="dxa"/>
            <w:tcBorders>
              <w:top w:val="single" w:sz="4" w:space="0" w:color="auto"/>
              <w:left w:val="single" w:sz="4" w:space="0" w:color="auto"/>
              <w:bottom w:val="single" w:sz="4" w:space="0" w:color="auto"/>
              <w:right w:val="single" w:sz="4" w:space="0" w:color="auto"/>
            </w:tcBorders>
          </w:tcPr>
          <w:p w:rsidR="00177219" w:rsidRPr="00CC7883" w:rsidRDefault="0017721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0F426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5,800</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1,933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8,126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w:t>
            </w:r>
          </w:p>
        </w:tc>
      </w:tr>
      <w:tr w:rsidR="00854E40" w:rsidRPr="00CC7883" w:rsidTr="000F426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456,340</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30,423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127,870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7,16</w:t>
            </w:r>
          </w:p>
        </w:tc>
      </w:tr>
      <w:tr w:rsidR="00854E40" w:rsidRPr="00CC7883" w:rsidTr="000F426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69,367</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13,873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58,311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1,09</w:t>
            </w:r>
          </w:p>
        </w:tc>
      </w:tr>
      <w:tr w:rsidR="00854E40" w:rsidRPr="00CC7883" w:rsidTr="000F4266">
        <w:trPr>
          <w:jc w:val="center"/>
        </w:trPr>
        <w:tc>
          <w:tcPr>
            <w:tcW w:w="382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140,114</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10,008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42,065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2,20</w:t>
            </w:r>
          </w:p>
        </w:tc>
      </w:tr>
      <w:tr w:rsidR="00F00672" w:rsidRPr="00CC7883" w:rsidTr="000F4266">
        <w:trPr>
          <w:jc w:val="center"/>
        </w:trPr>
        <w:tc>
          <w:tcPr>
            <w:tcW w:w="3825" w:type="dxa"/>
          </w:tcPr>
          <w:p w:rsidR="00F00672" w:rsidRPr="00CC7883" w:rsidRDefault="00F00672"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F00672" w:rsidRPr="00CC7883" w:rsidRDefault="00F0067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23,078</w:t>
            </w:r>
          </w:p>
        </w:tc>
        <w:tc>
          <w:tcPr>
            <w:tcW w:w="852" w:type="dxa"/>
          </w:tcPr>
          <w:p w:rsidR="00F00672" w:rsidRPr="00CC7883" w:rsidRDefault="00F0067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F00672" w:rsidRPr="00CC7883" w:rsidRDefault="00F0067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0,238</w:t>
            </w:r>
          </w:p>
        </w:tc>
        <w:tc>
          <w:tcPr>
            <w:tcW w:w="1701" w:type="dxa"/>
          </w:tcPr>
          <w:p w:rsidR="00F00672" w:rsidRPr="00CC7883" w:rsidRDefault="00F00672"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F00672" w:rsidRPr="00CC7883" w:rsidRDefault="00F00672"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F00672" w:rsidRPr="00CC7883" w:rsidRDefault="00F00672"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88" w:type="dxa"/>
          </w:tcPr>
          <w:p w:rsidR="00F00672" w:rsidRPr="00CC7883" w:rsidRDefault="00F00672"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0,36</w:t>
            </w:r>
          </w:p>
        </w:tc>
      </w:tr>
      <w:tr w:rsidR="004D712E" w:rsidRPr="00CC7883" w:rsidTr="000F4266">
        <w:trPr>
          <w:jc w:val="center"/>
        </w:trPr>
        <w:tc>
          <w:tcPr>
            <w:tcW w:w="13762" w:type="dxa"/>
            <w:gridSpan w:val="8"/>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Довжина 1 кореня I порядку, см</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6,184</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2,061</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24,235</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0,89</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0,914</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0,914</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10,739</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0,13</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609,801</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121,960</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1433,779</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87,58</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4,758</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1,586</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18,645</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0,68</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17,471</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1,165</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13,693</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2,51</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31,087</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6,217</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73,092</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4,46</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17,811</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1,272</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14,957</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2,56</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8,251</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0,085</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1,19</w:t>
            </w:r>
          </w:p>
        </w:tc>
      </w:tr>
      <w:tr w:rsidR="004D712E" w:rsidRPr="00CC7883" w:rsidTr="000F4266">
        <w:trPr>
          <w:jc w:val="center"/>
        </w:trPr>
        <w:tc>
          <w:tcPr>
            <w:tcW w:w="13762" w:type="dxa"/>
            <w:gridSpan w:val="8"/>
          </w:tcPr>
          <w:p w:rsidR="004D712E" w:rsidRPr="00CC7883" w:rsidRDefault="004D712E"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Довжина 1 кореня II порядку, см</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0,196</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0,065</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0,865</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0,46</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0,28</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0,034</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0,85</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58,100</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11,620</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154,110</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83,30</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0,037</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0,012</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0,165</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0,92</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0,05</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2,688</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0,179</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2,377</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3,85</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0,827</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0,165</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2,194</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1,19</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0,583</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0,042</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0,552</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0,89</w:t>
            </w: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0,84</w:t>
            </w:r>
          </w:p>
        </w:tc>
      </w:tr>
      <w:tr w:rsidR="004D712E" w:rsidRPr="00CC7883" w:rsidTr="000F4266">
        <w:trPr>
          <w:jc w:val="center"/>
        </w:trPr>
        <w:tc>
          <w:tcPr>
            <w:tcW w:w="3825" w:type="dxa"/>
          </w:tcPr>
          <w:p w:rsidR="004D712E" w:rsidRPr="00CC7883" w:rsidRDefault="004D712E"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7,314</w:t>
            </w:r>
          </w:p>
        </w:tc>
        <w:tc>
          <w:tcPr>
            <w:tcW w:w="852"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0,075</w:t>
            </w: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88" w:type="dxa"/>
          </w:tcPr>
          <w:p w:rsidR="004D712E" w:rsidRPr="00CC7883" w:rsidRDefault="004D712E"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10,49</w:t>
            </w:r>
          </w:p>
        </w:tc>
      </w:tr>
    </w:tbl>
    <w:p w:rsidR="00854E40" w:rsidRPr="00CC7883" w:rsidRDefault="00854E40" w:rsidP="00047411">
      <w:pPr>
        <w:widowControl w:val="0"/>
        <w:spacing w:line="259" w:lineRule="auto"/>
        <w:rPr>
          <w:rFonts w:ascii="Times New Roman" w:eastAsia="Calibri" w:hAnsi="Times New Roman" w:cs="Times New Roman"/>
          <w:color w:val="000000" w:themeColor="text1"/>
          <w:kern w:val="0"/>
          <w:sz w:val="22"/>
          <w:szCs w:val="22"/>
        </w:rPr>
        <w:sectPr w:rsidR="00854E40" w:rsidRPr="00CC7883" w:rsidSect="00B610AB">
          <w:footerReference w:type="default" r:id="rId220"/>
          <w:pgSz w:w="16838" w:h="11906" w:orient="landscape" w:code="9"/>
          <w:pgMar w:top="1701" w:right="1134" w:bottom="850" w:left="1134" w:header="708" w:footer="708" w:gutter="0"/>
          <w:cols w:space="708"/>
          <w:docGrid w:linePitch="360"/>
        </w:sectPr>
      </w:pPr>
    </w:p>
    <w:p w:rsidR="00701F48" w:rsidRPr="00CC7883" w:rsidRDefault="00701F48"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0F4266">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5</w:t>
      </w:r>
    </w:p>
    <w:p w:rsidR="00701F48" w:rsidRPr="00CC7883" w:rsidRDefault="00701F48" w:rsidP="00047411">
      <w:pPr>
        <w:widowControl w:val="0"/>
        <w:spacing w:line="259" w:lineRule="auto"/>
        <w:jc w:val="center"/>
        <w:rPr>
          <w:rFonts w:ascii="Times New Roman" w:eastAsia="Calibri" w:hAnsi="Times New Roman" w:cs="Times New Roman"/>
          <w:b/>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4</w:t>
      </w:r>
      <w:r w:rsidR="003E6D23" w:rsidRPr="00CC7883">
        <w:rPr>
          <w:rFonts w:ascii="Times New Roman" w:eastAsia="Calibri" w:hAnsi="Times New Roman" w:cs="Times New Roman"/>
          <w:b/>
          <w:color w:val="000000" w:themeColor="text1"/>
          <w:kern w:val="0"/>
          <w:sz w:val="28"/>
          <w:szCs w:val="28"/>
        </w:rPr>
        <w:t xml:space="preserve"> (дослід 2)</w:t>
      </w:r>
    </w:p>
    <w:tbl>
      <w:tblPr>
        <w:tblW w:w="137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297"/>
      </w:tblGrid>
      <w:tr w:rsidR="00854E40" w:rsidRPr="00CC7883" w:rsidTr="000F4266">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97"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0F4266">
        <w:trPr>
          <w:cantSplit/>
          <w:trHeight w:val="356"/>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0F4266">
        <w:trPr>
          <w:jc w:val="center"/>
        </w:trPr>
        <w:tc>
          <w:tcPr>
            <w:tcW w:w="13771"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Висота рослин, см</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9,198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3,066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57,559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2,44</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351,705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117,235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2200,941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93,15</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15,013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1,668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31,317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3,98</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1,651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0,053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0,44</w:t>
            </w:r>
          </w:p>
        </w:tc>
      </w:tr>
      <w:tr w:rsidR="00854E40" w:rsidRPr="00CC7883" w:rsidTr="000F4266">
        <w:trPr>
          <w:jc w:val="center"/>
        </w:trPr>
        <w:tc>
          <w:tcPr>
            <w:tcW w:w="13771"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Кількість листків, шт.</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14,165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4,722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112,100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35,12</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20,715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6,905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163,930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51,36</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4,146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0,461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10,935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10,28</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3,24</w:t>
            </w:r>
          </w:p>
        </w:tc>
      </w:tr>
      <w:tr w:rsidR="00854E40" w:rsidRPr="00CC7883" w:rsidTr="000F4266">
        <w:trPr>
          <w:jc w:val="center"/>
        </w:trPr>
        <w:tc>
          <w:tcPr>
            <w:tcW w:w="13771"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Площа листка, см</w:t>
            </w:r>
            <w:r w:rsidRPr="00CC7883">
              <w:rPr>
                <w:rFonts w:ascii="Times New Roman" w:eastAsia="Calibri" w:hAnsi="Times New Roman" w:cs="Times New Roman"/>
                <w:i/>
                <w:color w:val="000000" w:themeColor="text1"/>
                <w:kern w:val="0"/>
                <w:sz w:val="28"/>
                <w:szCs w:val="28"/>
                <w:vertAlign w:val="superscript"/>
              </w:rPr>
              <w:t>2</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1,258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0,31</w:t>
            </w: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1,22</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4,765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1,588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70,899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68,85</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1,377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0,153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6,830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19,90</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0,694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9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10,03</w:t>
            </w:r>
          </w:p>
        </w:tc>
      </w:tr>
    </w:tbl>
    <w:p w:rsidR="001F2C3A" w:rsidRPr="00CC7883" w:rsidRDefault="00785319" w:rsidP="000F4266">
      <w:pPr>
        <w:widowControl w:val="0"/>
        <w:ind w:left="10635"/>
        <w:jc w:val="center"/>
        <w:rPr>
          <w:rFonts w:ascii="Times New Roman" w:hAnsi="Times New Roman" w:cs="Times New Roman"/>
          <w:color w:val="000000" w:themeColor="text1"/>
        </w:rPr>
      </w:pPr>
      <w:r w:rsidRPr="00785319">
        <w:rPr>
          <w:noProof/>
          <w:lang w:val="ru-RU" w:eastAsia="ru-RU"/>
        </w:rPr>
        <w:pict>
          <v:rect id="_x0000_s2052" style="position:absolute;left:0;text-align:left;margin-left:727.8pt;margin-top:36.45pt;width:34.6pt;height:36.45pt;z-index:251660288;mso-position-horizontal-relative:text;mso-position-vertical-relative:text" stroked="f">
            <v:textbox style="layout-flow:vertical;mso-next-textbox:#_x0000_s2052">
              <w:txbxContent>
                <w:p w:rsidR="003059DA" w:rsidRPr="00F13DA5" w:rsidRDefault="003059DA">
                  <w:pPr>
                    <w:rPr>
                      <w:rFonts w:ascii="Times New Roman" w:hAnsi="Times New Roman" w:cs="Times New Roman"/>
                      <w:szCs w:val="20"/>
                    </w:rPr>
                  </w:pPr>
                  <w:r w:rsidRPr="00F13DA5">
                    <w:rPr>
                      <w:rFonts w:ascii="Times New Roman" w:hAnsi="Times New Roman" w:cs="Times New Roman"/>
                      <w:szCs w:val="20"/>
                    </w:rPr>
                    <w:t>325</w:t>
                  </w:r>
                </w:p>
              </w:txbxContent>
            </v:textbox>
          </v:rect>
        </w:pict>
      </w:r>
      <w:r w:rsidR="001F2C3A">
        <w:br w:type="page"/>
      </w:r>
      <w:r w:rsidR="000F4266">
        <w:lastRenderedPageBreak/>
        <w:t xml:space="preserve">     </w:t>
      </w:r>
      <w:r w:rsidR="001F2C3A" w:rsidRPr="00CC7883">
        <w:rPr>
          <w:rFonts w:ascii="Times New Roman" w:hAnsi="Times New Roman" w:cs="Times New Roman"/>
          <w:color w:val="000000" w:themeColor="text1"/>
        </w:rPr>
        <w:t>Продовження додатку Г.</w:t>
      </w:r>
      <w:r w:rsidR="000F4266">
        <w:rPr>
          <w:rFonts w:ascii="Times New Roman" w:hAnsi="Times New Roman" w:cs="Times New Roman"/>
          <w:color w:val="000000" w:themeColor="text1"/>
        </w:rPr>
        <w:t xml:space="preserve"> </w:t>
      </w:r>
      <w:r w:rsidR="001F2C3A" w:rsidRPr="00CC7883">
        <w:rPr>
          <w:rFonts w:ascii="Times New Roman" w:hAnsi="Times New Roman" w:cs="Times New Roman"/>
          <w:color w:val="000000" w:themeColor="text1"/>
        </w:rPr>
        <w:t>5</w:t>
      </w:r>
    </w:p>
    <w:tbl>
      <w:tblPr>
        <w:tblW w:w="137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267"/>
      </w:tblGrid>
      <w:tr w:rsidR="001F2C3A" w:rsidRPr="00CC7883" w:rsidTr="000F4266">
        <w:trPr>
          <w:jc w:val="center"/>
        </w:trPr>
        <w:tc>
          <w:tcPr>
            <w:tcW w:w="3827" w:type="dxa"/>
            <w:tcBorders>
              <w:top w:val="single" w:sz="4" w:space="0" w:color="auto"/>
              <w:left w:val="single" w:sz="4" w:space="0" w:color="auto"/>
              <w:bottom w:val="single" w:sz="4" w:space="0" w:color="auto"/>
              <w:right w:val="single" w:sz="4" w:space="0" w:color="auto"/>
            </w:tcBorders>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Borders>
              <w:top w:val="single" w:sz="4" w:space="0" w:color="auto"/>
              <w:left w:val="single" w:sz="4" w:space="0" w:color="auto"/>
              <w:bottom w:val="single" w:sz="4" w:space="0" w:color="auto"/>
              <w:right w:val="single" w:sz="4" w:space="0" w:color="auto"/>
            </w:tcBorders>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Borders>
              <w:top w:val="single" w:sz="4" w:space="0" w:color="auto"/>
              <w:left w:val="single" w:sz="4" w:space="0" w:color="auto"/>
              <w:bottom w:val="single" w:sz="4" w:space="0" w:color="auto"/>
              <w:right w:val="single" w:sz="4" w:space="0" w:color="auto"/>
            </w:tcBorders>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Borders>
              <w:top w:val="single" w:sz="4" w:space="0" w:color="auto"/>
              <w:left w:val="single" w:sz="4" w:space="0" w:color="auto"/>
              <w:bottom w:val="single" w:sz="4" w:space="0" w:color="auto"/>
              <w:right w:val="single" w:sz="4" w:space="0" w:color="auto"/>
            </w:tcBorders>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Borders>
              <w:top w:val="single" w:sz="4" w:space="0" w:color="auto"/>
              <w:left w:val="single" w:sz="4" w:space="0" w:color="auto"/>
              <w:bottom w:val="single" w:sz="4" w:space="0" w:color="auto"/>
              <w:right w:val="single" w:sz="4" w:space="0" w:color="auto"/>
            </w:tcBorders>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Borders>
              <w:top w:val="single" w:sz="4" w:space="0" w:color="auto"/>
              <w:left w:val="single" w:sz="4" w:space="0" w:color="auto"/>
              <w:bottom w:val="single" w:sz="4" w:space="0" w:color="auto"/>
              <w:right w:val="single" w:sz="4" w:space="0" w:color="auto"/>
            </w:tcBorders>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267" w:type="dxa"/>
            <w:tcBorders>
              <w:top w:val="single" w:sz="4" w:space="0" w:color="auto"/>
              <w:left w:val="single" w:sz="4" w:space="0" w:color="auto"/>
              <w:bottom w:val="single" w:sz="4" w:space="0" w:color="auto"/>
              <w:right w:val="single" w:sz="4" w:space="0" w:color="auto"/>
            </w:tcBorders>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0F4266">
        <w:trPr>
          <w:jc w:val="center"/>
        </w:trPr>
        <w:tc>
          <w:tcPr>
            <w:tcW w:w="13741"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Площа листкової поверхні, см</w:t>
            </w:r>
            <w:r w:rsidRPr="00CC7883">
              <w:rPr>
                <w:rFonts w:ascii="Times New Roman" w:eastAsia="Calibri" w:hAnsi="Times New Roman" w:cs="Times New Roman"/>
                <w:i/>
                <w:color w:val="000000" w:themeColor="text1"/>
                <w:kern w:val="0"/>
                <w:sz w:val="28"/>
                <w:szCs w:val="28"/>
                <w:vertAlign w:val="superscript"/>
              </w:rPr>
              <w:t>2</w:t>
            </w:r>
            <w:r w:rsidRPr="00CC7883">
              <w:rPr>
                <w:rFonts w:ascii="Times New Roman" w:eastAsia="Calibri" w:hAnsi="Times New Roman" w:cs="Times New Roman"/>
                <w:i/>
                <w:color w:val="000000" w:themeColor="text1"/>
                <w:kern w:val="0"/>
                <w:sz w:val="28"/>
                <w:szCs w:val="28"/>
              </w:rPr>
              <w:t>/м</w:t>
            </w:r>
          </w:p>
        </w:tc>
      </w:tr>
      <w:tr w:rsidR="00854E40" w:rsidRPr="00CC7883" w:rsidTr="000F426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35,173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11,724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329,692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5,08</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525,802</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175,267</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4928,613</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76,00</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129,731</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14,415</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405,345</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18,75</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1,102</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0,036</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0,16</w:t>
            </w:r>
          </w:p>
        </w:tc>
      </w:tr>
      <w:tr w:rsidR="00701F48" w:rsidRPr="00CC7883" w:rsidTr="000F4266">
        <w:trPr>
          <w:jc w:val="center"/>
        </w:trPr>
        <w:tc>
          <w:tcPr>
            <w:tcW w:w="13741" w:type="dxa"/>
            <w:gridSpan w:val="8"/>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Облистяність, дм</w:t>
            </w:r>
            <w:r w:rsidRPr="00CC7883">
              <w:rPr>
                <w:rFonts w:ascii="Times New Roman" w:eastAsia="Calibri" w:hAnsi="Times New Roman" w:cs="Times New Roman"/>
                <w:i/>
                <w:color w:val="000000" w:themeColor="text1"/>
                <w:kern w:val="0"/>
                <w:sz w:val="28"/>
                <w:szCs w:val="28"/>
                <w:vertAlign w:val="superscript"/>
              </w:rPr>
              <w:t>2</w:t>
            </w:r>
            <w:r w:rsidRPr="00CC7883">
              <w:rPr>
                <w:rFonts w:ascii="Times New Roman" w:eastAsia="Calibri" w:hAnsi="Times New Roman" w:cs="Times New Roman"/>
                <w:i/>
                <w:color w:val="000000" w:themeColor="text1"/>
                <w:kern w:val="0"/>
                <w:sz w:val="28"/>
                <w:szCs w:val="28"/>
              </w:rPr>
              <w:t>/м</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1,103</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0,368</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18,395</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7,43</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11,070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3,690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184,553</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74,54</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2,059</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0,229</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11,441</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13,86</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0,620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4,17</w:t>
            </w:r>
          </w:p>
        </w:tc>
      </w:tr>
      <w:tr w:rsidR="00701F48" w:rsidRPr="00CC7883" w:rsidTr="000F4266">
        <w:trPr>
          <w:trHeight w:val="364"/>
          <w:jc w:val="center"/>
        </w:trPr>
        <w:tc>
          <w:tcPr>
            <w:tcW w:w="13741" w:type="dxa"/>
            <w:gridSpan w:val="8"/>
          </w:tcPr>
          <w:p w:rsidR="00701F48" w:rsidRPr="00CC7883" w:rsidRDefault="00701F48"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Загальна кількість коренів, шт.</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167,828</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55,943</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408,674</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12,34</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739,992</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246,664</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1801,943</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54,41</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447,887</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49,765</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363,547</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32,93</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4,244</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0,137</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0,31</w:t>
            </w:r>
          </w:p>
        </w:tc>
      </w:tr>
      <w:tr w:rsidR="00701F48" w:rsidRPr="00CC7883" w:rsidTr="000F4266">
        <w:trPr>
          <w:jc w:val="center"/>
        </w:trPr>
        <w:tc>
          <w:tcPr>
            <w:tcW w:w="13741" w:type="dxa"/>
            <w:gridSpan w:val="8"/>
          </w:tcPr>
          <w:p w:rsidR="00701F48" w:rsidRPr="00CC7883" w:rsidRDefault="00701F48"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Кількість коренів I порядку, шт.</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100,136</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33,379</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516,062</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11,75</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520,393</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173,464</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2681,902</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61,06</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229,762</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25,529</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394,701</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26,96</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2,005</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0,065</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0,24</w:t>
            </w:r>
          </w:p>
        </w:tc>
      </w:tr>
      <w:tr w:rsidR="00701F48" w:rsidRPr="00CC7883" w:rsidTr="000F4266">
        <w:trPr>
          <w:jc w:val="center"/>
        </w:trPr>
        <w:tc>
          <w:tcPr>
            <w:tcW w:w="13741" w:type="dxa"/>
            <w:gridSpan w:val="8"/>
          </w:tcPr>
          <w:p w:rsidR="00701F48" w:rsidRPr="00CC7883" w:rsidRDefault="00701F48"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Кількість коренів II порядку, шт.</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43,381</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14,460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202,158</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13,40</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173,381</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57,794</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807,959</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53,55</w:t>
            </w:r>
          </w:p>
        </w:tc>
      </w:tr>
      <w:tr w:rsidR="00701F48" w:rsidRPr="00CC7883" w:rsidTr="000F4266">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104,790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11,643</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162,774</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26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32,37</w:t>
            </w:r>
          </w:p>
        </w:tc>
      </w:tr>
    </w:tbl>
    <w:p w:rsidR="001F2C3A" w:rsidRPr="00CC7883" w:rsidRDefault="00785319" w:rsidP="004C0257">
      <w:pPr>
        <w:widowControl w:val="0"/>
        <w:ind w:left="9926" w:firstLine="709"/>
        <w:jc w:val="center"/>
        <w:rPr>
          <w:rFonts w:ascii="Times New Roman" w:eastAsia="Calibri" w:hAnsi="Times New Roman" w:cs="Times New Roman"/>
          <w:color w:val="000000" w:themeColor="text1"/>
          <w:kern w:val="0"/>
          <w:szCs w:val="28"/>
        </w:rPr>
      </w:pPr>
      <w:r w:rsidRPr="00785319">
        <w:rPr>
          <w:noProof/>
          <w:lang w:val="ru-RU" w:eastAsia="ru-RU"/>
        </w:rPr>
        <w:pict>
          <v:rect id="_x0000_s2053" style="position:absolute;left:0;text-align:left;margin-left:726.9pt;margin-top:18.55pt;width:40.05pt;height:41.9pt;z-index:251661312;mso-position-horizontal-relative:text;mso-position-vertical-relative:text" stroked="f">
            <v:textbox style="layout-flow:vertical;mso-next-textbox:#_x0000_s2053">
              <w:txbxContent>
                <w:p w:rsidR="003059DA" w:rsidRPr="00F13DA5" w:rsidRDefault="003059DA" w:rsidP="00710B6E">
                  <w:pPr>
                    <w:rPr>
                      <w:rFonts w:ascii="Times New Roman" w:hAnsi="Times New Roman" w:cs="Times New Roman"/>
                      <w:szCs w:val="20"/>
                    </w:rPr>
                  </w:pPr>
                  <w:r w:rsidRPr="00F13DA5">
                    <w:rPr>
                      <w:rFonts w:ascii="Times New Roman" w:hAnsi="Times New Roman" w:cs="Times New Roman"/>
                      <w:szCs w:val="20"/>
                    </w:rPr>
                    <w:t>326</w:t>
                  </w:r>
                </w:p>
              </w:txbxContent>
            </v:textbox>
          </v:rect>
        </w:pict>
      </w:r>
      <w:r w:rsidR="001F2C3A">
        <w:br w:type="page"/>
      </w:r>
      <w:r w:rsidR="004C0257">
        <w:lastRenderedPageBreak/>
        <w:t xml:space="preserve">   </w:t>
      </w:r>
      <w:r w:rsidR="001F2C3A" w:rsidRPr="00CC7883">
        <w:rPr>
          <w:rFonts w:ascii="Times New Roman" w:eastAsia="Calibri" w:hAnsi="Times New Roman" w:cs="Times New Roman"/>
          <w:color w:val="000000" w:themeColor="text1"/>
          <w:kern w:val="0"/>
          <w:szCs w:val="28"/>
        </w:rPr>
        <w:t>Продовження додатку Г.</w:t>
      </w:r>
      <w:r w:rsidR="004C0257">
        <w:rPr>
          <w:rFonts w:ascii="Times New Roman" w:eastAsia="Calibri" w:hAnsi="Times New Roman" w:cs="Times New Roman"/>
          <w:color w:val="000000" w:themeColor="text1"/>
          <w:kern w:val="0"/>
          <w:szCs w:val="28"/>
        </w:rPr>
        <w:t xml:space="preserve"> </w:t>
      </w:r>
      <w:r w:rsidR="001F2C3A" w:rsidRPr="00CC7883">
        <w:rPr>
          <w:rFonts w:ascii="Times New Roman" w:eastAsia="Calibri" w:hAnsi="Times New Roman" w:cs="Times New Roman"/>
          <w:color w:val="000000" w:themeColor="text1"/>
          <w:kern w:val="0"/>
          <w:szCs w:val="28"/>
        </w:rPr>
        <w:t>5</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1F2C3A" w:rsidRPr="00CC7883" w:rsidTr="004C0257">
        <w:trPr>
          <w:jc w:val="center"/>
        </w:trPr>
        <w:tc>
          <w:tcPr>
            <w:tcW w:w="3827" w:type="dxa"/>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1F2C3A" w:rsidRPr="00CC7883" w:rsidRDefault="001F2C3A" w:rsidP="00294563">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701F48" w:rsidRPr="00CC7883" w:rsidTr="004C0257">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2,217</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0,072</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0,68</w:t>
            </w:r>
          </w:p>
        </w:tc>
      </w:tr>
      <w:tr w:rsidR="00701F48" w:rsidRPr="00CC7883" w:rsidTr="004C0257">
        <w:trPr>
          <w:jc w:val="center"/>
        </w:trPr>
        <w:tc>
          <w:tcPr>
            <w:tcW w:w="13623" w:type="dxa"/>
            <w:gridSpan w:val="8"/>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Довжина коренів I порядку, см</w:t>
            </w:r>
          </w:p>
        </w:tc>
      </w:tr>
      <w:tr w:rsidR="00701F48" w:rsidRPr="00CC7883" w:rsidTr="004C0257">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40,192</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13,397</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89,993</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0,33</w:t>
            </w:r>
          </w:p>
        </w:tc>
      </w:tr>
      <w:tr w:rsidR="00701F48" w:rsidRPr="00CC7883" w:rsidTr="004C0257">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11788,711</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3929,570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26395,823</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97,33</w:t>
            </w:r>
          </w:p>
        </w:tc>
      </w:tr>
      <w:tr w:rsidR="00701F48" w:rsidRPr="00CC7883" w:rsidTr="004C0257">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278,699</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30,967</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208,010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4,615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0,149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w:t>
            </w:r>
          </w:p>
        </w:tc>
      </w:tr>
      <w:tr w:rsidR="00854E40" w:rsidRPr="00CC7883" w:rsidTr="004C0257">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Довжина коренів II порядку, см</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1963,309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654,436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6184,983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21,61</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6592,307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2197,436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20767,647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72,55</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527,694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58,633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554,129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5,81</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3,280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0,106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w:t>
            </w:r>
          </w:p>
        </w:tc>
      </w:tr>
      <w:tr w:rsidR="00854E40" w:rsidRPr="00CC7883" w:rsidTr="004C0257">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Довжина одного кореня I порядку, см</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1,844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0,615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18,503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0,89</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92,177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30,726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924,722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44,47</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112,217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12,469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375,257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54,14</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1,030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0,50</w:t>
            </w:r>
          </w:p>
        </w:tc>
      </w:tr>
      <w:tr w:rsidR="00854E40" w:rsidRPr="00CC7883" w:rsidTr="004C0257">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Довжина одного кореня II порядку, см</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1,442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0,481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20,565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5,88</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20,213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6,738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288,325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82,40</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2,150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0,239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10,222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8,76</w:t>
            </w:r>
          </w:p>
        </w:tc>
      </w:tr>
      <w:tr w:rsidR="00854E40" w:rsidRPr="00CC7883" w:rsidTr="004C0257">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0,724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2,95</w:t>
            </w:r>
          </w:p>
        </w:tc>
      </w:tr>
    </w:tbl>
    <w:p w:rsidR="00854E40" w:rsidRPr="00CC7883" w:rsidRDefault="00785319" w:rsidP="00047411">
      <w:pPr>
        <w:widowControl w:val="0"/>
        <w:spacing w:line="259" w:lineRule="auto"/>
        <w:rPr>
          <w:rFonts w:ascii="Times New Roman" w:eastAsia="Calibri" w:hAnsi="Times New Roman" w:cs="Times New Roman"/>
          <w:color w:val="000000" w:themeColor="text1"/>
          <w:kern w:val="0"/>
          <w:sz w:val="22"/>
          <w:szCs w:val="22"/>
        </w:rPr>
        <w:sectPr w:rsidR="00854E40" w:rsidRPr="00CC7883" w:rsidSect="00B610AB">
          <w:footerReference w:type="default" r:id="rId221"/>
          <w:pgSz w:w="16838" w:h="11906" w:orient="landscape" w:code="9"/>
          <w:pgMar w:top="1701" w:right="1134" w:bottom="850" w:left="1134" w:header="708" w:footer="708" w:gutter="0"/>
          <w:cols w:space="708"/>
          <w:docGrid w:linePitch="360"/>
        </w:sectPr>
      </w:pPr>
      <w:r>
        <w:rPr>
          <w:rFonts w:ascii="Times New Roman" w:eastAsia="Calibri" w:hAnsi="Times New Roman" w:cs="Times New Roman"/>
          <w:noProof/>
          <w:color w:val="000000" w:themeColor="text1"/>
          <w:kern w:val="0"/>
          <w:sz w:val="22"/>
          <w:szCs w:val="22"/>
          <w:lang w:val="ru-RU" w:eastAsia="ru-RU"/>
        </w:rPr>
        <w:pict>
          <v:rect id="_x0000_s2055" style="position:absolute;margin-left:728.75pt;margin-top:71.25pt;width:40.05pt;height:41.9pt;z-index:251662336;mso-position-horizontal-relative:text;mso-position-vertical-relative:text" stroked="f">
            <v:textbox style="layout-flow:vertical;mso-next-textbox:#_x0000_s2055">
              <w:txbxContent>
                <w:p w:rsidR="003059DA" w:rsidRPr="00F13DA5" w:rsidRDefault="003059DA" w:rsidP="00F13DA5">
                  <w:pPr>
                    <w:rPr>
                      <w:rFonts w:ascii="Times New Roman" w:hAnsi="Times New Roman" w:cs="Times New Roman"/>
                      <w:szCs w:val="20"/>
                      <w:lang w:val="ru-RU"/>
                    </w:rPr>
                  </w:pPr>
                  <w:r w:rsidRPr="00F13DA5">
                    <w:rPr>
                      <w:rFonts w:ascii="Times New Roman" w:hAnsi="Times New Roman" w:cs="Times New Roman"/>
                      <w:szCs w:val="20"/>
                    </w:rPr>
                    <w:t>32</w:t>
                  </w:r>
                  <w:r w:rsidRPr="00F13DA5">
                    <w:rPr>
                      <w:rFonts w:ascii="Times New Roman" w:hAnsi="Times New Roman" w:cs="Times New Roman"/>
                      <w:szCs w:val="20"/>
                      <w:lang w:val="ru-RU"/>
                    </w:rPr>
                    <w:t>7</w:t>
                  </w:r>
                </w:p>
              </w:txbxContent>
            </v:textbox>
          </v:rect>
        </w:pict>
      </w:r>
    </w:p>
    <w:p w:rsidR="00701F48" w:rsidRPr="00CC7883" w:rsidRDefault="00701F48"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380390">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6</w:t>
      </w:r>
    </w:p>
    <w:p w:rsidR="00701F48" w:rsidRPr="00CC7883" w:rsidRDefault="00701F48" w:rsidP="00047411">
      <w:pPr>
        <w:widowControl w:val="0"/>
        <w:spacing w:line="259" w:lineRule="auto"/>
        <w:jc w:val="center"/>
        <w:rPr>
          <w:rFonts w:ascii="Times New Roman" w:eastAsia="Calibri" w:hAnsi="Times New Roman" w:cs="Times New Roman"/>
          <w:b/>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5</w:t>
      </w:r>
      <w:r w:rsidR="003E6D23" w:rsidRPr="00CC7883">
        <w:rPr>
          <w:rFonts w:ascii="Times New Roman" w:eastAsia="Calibri" w:hAnsi="Times New Roman" w:cs="Times New Roman"/>
          <w:b/>
          <w:color w:val="000000" w:themeColor="text1"/>
          <w:kern w:val="0"/>
          <w:sz w:val="28"/>
          <w:szCs w:val="28"/>
        </w:rPr>
        <w:t xml:space="preserve"> (дослід 1)</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854E40" w:rsidRPr="00CC7883" w:rsidTr="00380390">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380390">
        <w:trPr>
          <w:cantSplit/>
          <w:trHeight w:val="355"/>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380390">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води, %</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53,416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17,805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108,676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4,09</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43,851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43,851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267,649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3,36</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1149,119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229,824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1402,742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88,08</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0,491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0,164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0,999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36,181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2,412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14,722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2,77</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4,462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0,892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5,446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0,34</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1,252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0,546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0,10</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15,892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0,164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1,22</w:t>
            </w:r>
          </w:p>
        </w:tc>
      </w:tr>
      <w:tr w:rsidR="00854E40" w:rsidRPr="00CC7883" w:rsidTr="00380390">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 xml:space="preserve">Вміст </w:t>
            </w:r>
            <w:r w:rsidR="00C87671" w:rsidRPr="00C87671">
              <w:rPr>
                <w:rFonts w:ascii="Times New Roman" w:hAnsi="Times New Roman" w:cs="Times New Roman"/>
                <w:i/>
                <w:iCs/>
                <w:color w:val="000000" w:themeColor="text1"/>
                <w:sz w:val="28"/>
                <w:szCs w:val="28"/>
              </w:rPr>
              <w:t>легкоутримуваної</w:t>
            </w:r>
            <w:r w:rsidRPr="00CC7883">
              <w:rPr>
                <w:rFonts w:ascii="Times New Roman" w:eastAsia="Calibri" w:hAnsi="Times New Roman" w:cs="Times New Roman"/>
                <w:i/>
                <w:color w:val="000000" w:themeColor="text1"/>
                <w:kern w:val="0"/>
                <w:sz w:val="28"/>
                <w:szCs w:val="28"/>
              </w:rPr>
              <w:t xml:space="preserve"> води, %</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489,341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163,114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1670,719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45,43</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3,347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3,347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34,287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0,31</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538,649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107,730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1103,441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50,01</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0,764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0,255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2,607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19,055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13,012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w:t>
            </w:r>
          </w:p>
        </w:tc>
      </w:tr>
    </w:tbl>
    <w:p w:rsidR="00D724BA" w:rsidRPr="00CC7883" w:rsidRDefault="00785319" w:rsidP="00047411">
      <w:pPr>
        <w:widowControl w:val="0"/>
        <w:rPr>
          <w:color w:val="000000" w:themeColor="text1"/>
        </w:rPr>
        <w:sectPr w:rsidR="00D724BA" w:rsidRPr="00CC7883" w:rsidSect="00B610AB">
          <w:footerReference w:type="default" r:id="rId222"/>
          <w:pgSz w:w="16838" w:h="11906" w:orient="landscape" w:code="9"/>
          <w:pgMar w:top="1701" w:right="1134" w:bottom="851" w:left="1134" w:header="709" w:footer="709" w:gutter="0"/>
          <w:cols w:space="708"/>
          <w:docGrid w:linePitch="360"/>
        </w:sectPr>
      </w:pPr>
      <w:r w:rsidRPr="00785319">
        <w:rPr>
          <w:rFonts w:ascii="Times New Roman" w:hAnsi="Times New Roman" w:cs="Times New Roman"/>
        </w:rPr>
        <w:pict>
          <v:rect id="_x0000_s2056" style="position:absolute;margin-left:776.1pt;margin-top:533.9pt;width:40.05pt;height:41.9pt;z-index:251664384;mso-position-horizontal-relative:text;mso-position-vertical-relative:text" stroked="f">
            <v:textbox style="layout-flow:vertical;mso-next-textbox:#_x0000_s2056">
              <w:txbxContent>
                <w:p w:rsidR="003059DA" w:rsidRDefault="003059DA" w:rsidP="00F13DA5">
                  <w:pPr>
                    <w:rPr>
                      <w:rFonts w:ascii="Times New Roman" w:hAnsi="Times New Roman" w:cs="Times New Roman"/>
                      <w:szCs w:val="20"/>
                    </w:rPr>
                  </w:pPr>
                  <w:r>
                    <w:rPr>
                      <w:rFonts w:ascii="Times New Roman" w:hAnsi="Times New Roman" w:cs="Times New Roman"/>
                      <w:szCs w:val="20"/>
                    </w:rPr>
                    <w:t>326</w:t>
                  </w:r>
                </w:p>
              </w:txbxContent>
            </v:textbox>
          </v:rect>
        </w:pict>
      </w:r>
    </w:p>
    <w:p w:rsidR="00D724BA" w:rsidRPr="00CC7883" w:rsidRDefault="00380390" w:rsidP="00380390">
      <w:pPr>
        <w:widowControl w:val="0"/>
        <w:ind w:left="9926" w:firstLine="709"/>
        <w:jc w:val="center"/>
        <w:rPr>
          <w:color w:val="000000" w:themeColor="text1"/>
        </w:rPr>
      </w:pPr>
      <w:r>
        <w:rPr>
          <w:rFonts w:ascii="Times New Roman" w:eastAsia="Calibri" w:hAnsi="Times New Roman" w:cs="Times New Roman"/>
          <w:color w:val="000000" w:themeColor="text1"/>
          <w:kern w:val="0"/>
          <w:szCs w:val="28"/>
        </w:rPr>
        <w:lastRenderedPageBreak/>
        <w:t xml:space="preserve">    </w:t>
      </w:r>
      <w:r w:rsidR="00D724BA" w:rsidRPr="00CC7883">
        <w:rPr>
          <w:rFonts w:ascii="Times New Roman" w:eastAsia="Calibri" w:hAnsi="Times New Roman" w:cs="Times New Roman"/>
          <w:color w:val="000000" w:themeColor="text1"/>
          <w:kern w:val="0"/>
          <w:szCs w:val="28"/>
        </w:rPr>
        <w:t>Продовження додатку Г.</w:t>
      </w:r>
      <w:r>
        <w:rPr>
          <w:rFonts w:ascii="Times New Roman" w:eastAsia="Calibri" w:hAnsi="Times New Roman" w:cs="Times New Roman"/>
          <w:color w:val="000000" w:themeColor="text1"/>
          <w:kern w:val="0"/>
          <w:szCs w:val="28"/>
        </w:rPr>
        <w:t xml:space="preserve"> </w:t>
      </w:r>
      <w:r w:rsidR="00D724BA" w:rsidRPr="00CC7883">
        <w:rPr>
          <w:rFonts w:ascii="Times New Roman" w:eastAsia="Calibri" w:hAnsi="Times New Roman" w:cs="Times New Roman"/>
          <w:color w:val="000000" w:themeColor="text1"/>
          <w:kern w:val="0"/>
          <w:szCs w:val="28"/>
        </w:rPr>
        <w:t>6</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D724BA" w:rsidRPr="00CC7883" w:rsidTr="00380390">
        <w:trPr>
          <w:jc w:val="center"/>
        </w:trPr>
        <w:tc>
          <w:tcPr>
            <w:tcW w:w="3827"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9,042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18,524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0,84</w:t>
            </w:r>
          </w:p>
        </w:tc>
      </w:tr>
      <w:tr w:rsidR="00854E40" w:rsidRPr="00CC7883" w:rsidTr="0038039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7,345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0,525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5,374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0,68</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9,470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0,098</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0,88</w:t>
            </w:r>
          </w:p>
        </w:tc>
      </w:tr>
      <w:tr w:rsidR="00701F48" w:rsidRPr="00CC7883" w:rsidTr="00380390">
        <w:trPr>
          <w:jc w:val="center"/>
        </w:trPr>
        <w:tc>
          <w:tcPr>
            <w:tcW w:w="13623" w:type="dxa"/>
            <w:gridSpan w:val="8"/>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Водо</w:t>
            </w:r>
            <w:r w:rsidR="0044228C">
              <w:rPr>
                <w:rFonts w:ascii="Times New Roman" w:eastAsia="Calibri" w:hAnsi="Times New Roman" w:cs="Times New Roman"/>
                <w:i/>
                <w:color w:val="000000" w:themeColor="text1"/>
                <w:kern w:val="0"/>
                <w:sz w:val="28"/>
                <w:szCs w:val="28"/>
              </w:rPr>
              <w:t>у</w:t>
            </w:r>
            <w:r w:rsidRPr="00CC7883">
              <w:rPr>
                <w:rFonts w:ascii="Times New Roman" w:eastAsia="Calibri" w:hAnsi="Times New Roman" w:cs="Times New Roman"/>
                <w:i/>
                <w:color w:val="000000" w:themeColor="text1"/>
                <w:kern w:val="0"/>
                <w:sz w:val="28"/>
                <w:szCs w:val="28"/>
              </w:rPr>
              <w:t>триму</w:t>
            </w:r>
            <w:r w:rsidR="0044228C">
              <w:rPr>
                <w:rFonts w:ascii="Times New Roman" w:eastAsia="Calibri" w:hAnsi="Times New Roman" w:cs="Times New Roman"/>
                <w:i/>
                <w:color w:val="000000" w:themeColor="text1"/>
                <w:kern w:val="0"/>
                <w:sz w:val="28"/>
                <w:szCs w:val="28"/>
              </w:rPr>
              <w:t>вальн</w:t>
            </w:r>
            <w:r w:rsidRPr="00CC7883">
              <w:rPr>
                <w:rFonts w:ascii="Times New Roman" w:eastAsia="Calibri" w:hAnsi="Times New Roman" w:cs="Times New Roman"/>
                <w:i/>
                <w:color w:val="000000" w:themeColor="text1"/>
                <w:kern w:val="0"/>
                <w:sz w:val="28"/>
                <w:szCs w:val="28"/>
              </w:rPr>
              <w:t>а здатність, г</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1,555</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0,21</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3,64</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7,394</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5,77</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2,416</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9,43</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0,146</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0,93</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0,34</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0,213</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2,49</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0,170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0,97</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0,66</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0,178</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1,95</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75,71</w:t>
            </w:r>
          </w:p>
        </w:tc>
      </w:tr>
      <w:tr w:rsidR="00701F48" w:rsidRPr="00CC7883" w:rsidTr="00380390">
        <w:trPr>
          <w:jc w:val="center"/>
        </w:trPr>
        <w:tc>
          <w:tcPr>
            <w:tcW w:w="13623" w:type="dxa"/>
            <w:gridSpan w:val="8"/>
          </w:tcPr>
          <w:p w:rsidR="00701F48" w:rsidRPr="00CC7883" w:rsidRDefault="00701F48"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10 хв</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11,646</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16,51</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15,958</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7,54</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8,075</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19,08</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0,907</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0,44</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1,29</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1,060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7,51</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0,454</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0,81</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1,07</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0,174</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1,15</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45,84</w:t>
            </w:r>
          </w:p>
        </w:tc>
      </w:tr>
      <w:tr w:rsidR="00701F48" w:rsidRPr="00CC7883" w:rsidTr="00380390">
        <w:trPr>
          <w:jc w:val="center"/>
        </w:trPr>
        <w:tc>
          <w:tcPr>
            <w:tcW w:w="13623" w:type="dxa"/>
            <w:gridSpan w:val="8"/>
          </w:tcPr>
          <w:p w:rsidR="00701F48" w:rsidRPr="00CC7883" w:rsidRDefault="00701F48"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15 хв</w:t>
            </w:r>
          </w:p>
        </w:tc>
      </w:tr>
      <w:tr w:rsidR="00701F48" w:rsidRPr="00CC7883" w:rsidTr="00380390">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15,290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14,04</w:t>
            </w:r>
          </w:p>
        </w:tc>
      </w:tr>
    </w:tbl>
    <w:p w:rsidR="00D724BA" w:rsidRPr="00CC7883" w:rsidRDefault="00D724BA" w:rsidP="00047411">
      <w:pPr>
        <w:widowControl w:val="0"/>
        <w:rPr>
          <w:color w:val="000000" w:themeColor="text1"/>
        </w:rPr>
        <w:sectPr w:rsidR="00D724BA" w:rsidRPr="00CC7883" w:rsidSect="00B610AB">
          <w:footerReference w:type="default" r:id="rId223"/>
          <w:pgSz w:w="16838" w:h="11906" w:orient="landscape" w:code="9"/>
          <w:pgMar w:top="1701" w:right="1134" w:bottom="851" w:left="1134" w:header="709" w:footer="709" w:gutter="0"/>
          <w:cols w:space="708"/>
          <w:docGrid w:linePitch="360"/>
        </w:sectPr>
      </w:pPr>
    </w:p>
    <w:p w:rsidR="00D724BA" w:rsidRPr="00CC7883" w:rsidRDefault="005F3F83" w:rsidP="005F3F83">
      <w:pPr>
        <w:widowControl w:val="0"/>
        <w:ind w:left="9926" w:firstLine="709"/>
        <w:jc w:val="center"/>
        <w:rPr>
          <w:color w:val="000000" w:themeColor="text1"/>
        </w:rPr>
      </w:pPr>
      <w:r>
        <w:rPr>
          <w:rFonts w:ascii="Times New Roman" w:eastAsia="Calibri" w:hAnsi="Times New Roman" w:cs="Times New Roman"/>
          <w:color w:val="000000" w:themeColor="text1"/>
          <w:kern w:val="0"/>
        </w:rPr>
        <w:lastRenderedPageBreak/>
        <w:t xml:space="preserve">   </w:t>
      </w:r>
      <w:r w:rsidR="00D724BA"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D724BA" w:rsidRPr="00CC7883">
        <w:rPr>
          <w:rFonts w:ascii="Times New Roman" w:eastAsia="Calibri" w:hAnsi="Times New Roman" w:cs="Times New Roman"/>
          <w:color w:val="000000" w:themeColor="text1"/>
          <w:kern w:val="0"/>
        </w:rPr>
        <w:t>6</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D724BA" w:rsidRPr="00CC7883" w:rsidTr="005F3F83">
        <w:trPr>
          <w:jc w:val="center"/>
        </w:trPr>
        <w:tc>
          <w:tcPr>
            <w:tcW w:w="3827"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701F48" w:rsidRPr="00CC7883" w:rsidTr="005F3F83">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47,801</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14,63</w:t>
            </w:r>
          </w:p>
        </w:tc>
      </w:tr>
      <w:tr w:rsidR="00701F48" w:rsidRPr="00CC7883" w:rsidTr="005F3F83">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17,247</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26,39</w:t>
            </w:r>
          </w:p>
        </w:tc>
      </w:tr>
      <w:tr w:rsidR="00701F48" w:rsidRPr="00CC7883" w:rsidTr="005F3F83">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1,149</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0,33</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1,05</w:t>
            </w:r>
          </w:p>
        </w:tc>
      </w:tr>
      <w:tr w:rsidR="00701F48" w:rsidRPr="00CC7883" w:rsidTr="005F3F83">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1,177</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5,40</w:t>
            </w:r>
          </w:p>
        </w:tc>
      </w:tr>
      <w:tr w:rsidR="00701F48" w:rsidRPr="00CC7883" w:rsidTr="005F3F83">
        <w:trPr>
          <w:jc w:val="center"/>
        </w:trPr>
        <w:tc>
          <w:tcPr>
            <w:tcW w:w="3827" w:type="dxa"/>
          </w:tcPr>
          <w:p w:rsidR="00701F48" w:rsidRPr="00CC7883" w:rsidRDefault="00701F48"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3,930</w:t>
            </w:r>
          </w:p>
        </w:tc>
        <w:tc>
          <w:tcPr>
            <w:tcW w:w="1701"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701F48" w:rsidRPr="00CC7883" w:rsidRDefault="00701F48"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6,01</w:t>
            </w:r>
          </w:p>
        </w:tc>
      </w:tr>
      <w:tr w:rsidR="00854E40" w:rsidRPr="00CC7883" w:rsidTr="005F3F83">
        <w:trPr>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0,652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0,81</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2,79</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29,68</w:t>
            </w:r>
          </w:p>
        </w:tc>
      </w:tr>
      <w:tr w:rsidR="00854E40" w:rsidRPr="00CC7883" w:rsidTr="005F3F83">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20 хв</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129,287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27,00</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351,248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24,45</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79,785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27,77</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11,405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2,38</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6,225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6,50</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2,12</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3,116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3,04</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6,75</w:t>
            </w:r>
          </w:p>
        </w:tc>
      </w:tr>
      <w:tr w:rsidR="00854E40" w:rsidRPr="00CC7883" w:rsidTr="005F3F83">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30 хв</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304,332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28,51</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604,608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18,88</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237,238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37,05</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10,294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0,96</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14,541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6,81</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9,661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1,51</w:t>
            </w:r>
          </w:p>
        </w:tc>
      </w:tr>
    </w:tbl>
    <w:p w:rsidR="00D724BA" w:rsidRPr="00CC7883" w:rsidRDefault="00D724BA" w:rsidP="00047411">
      <w:pPr>
        <w:widowControl w:val="0"/>
        <w:rPr>
          <w:color w:val="000000" w:themeColor="text1"/>
        </w:rPr>
        <w:sectPr w:rsidR="00D724BA" w:rsidRPr="00CC7883" w:rsidSect="00B610AB">
          <w:footerReference w:type="default" r:id="rId224"/>
          <w:pgSz w:w="16838" w:h="11906" w:orient="landscape" w:code="9"/>
          <w:pgMar w:top="1701" w:right="1134" w:bottom="851" w:left="1134" w:header="709" w:footer="709" w:gutter="0"/>
          <w:cols w:space="708"/>
          <w:docGrid w:linePitch="360"/>
        </w:sectPr>
      </w:pPr>
    </w:p>
    <w:p w:rsidR="00D724BA" w:rsidRPr="00CC7883" w:rsidRDefault="005F3F83" w:rsidP="005F3F83">
      <w:pPr>
        <w:widowControl w:val="0"/>
        <w:ind w:left="9217" w:firstLine="709"/>
        <w:jc w:val="center"/>
        <w:rPr>
          <w:color w:val="000000" w:themeColor="text1"/>
        </w:rPr>
      </w:pPr>
      <w:r>
        <w:rPr>
          <w:rFonts w:ascii="Times New Roman" w:eastAsia="Calibri" w:hAnsi="Times New Roman" w:cs="Times New Roman"/>
          <w:color w:val="000000" w:themeColor="text1"/>
          <w:kern w:val="0"/>
        </w:rPr>
        <w:lastRenderedPageBreak/>
        <w:t xml:space="preserve">  </w:t>
      </w:r>
      <w:r>
        <w:rPr>
          <w:rFonts w:ascii="Times New Roman" w:eastAsia="Calibri" w:hAnsi="Times New Roman" w:cs="Times New Roman"/>
          <w:color w:val="000000" w:themeColor="text1"/>
          <w:kern w:val="0"/>
        </w:rPr>
        <w:tab/>
        <w:t xml:space="preserve">    </w:t>
      </w:r>
      <w:r w:rsidR="00D724BA"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D724BA" w:rsidRPr="00CC7883">
        <w:rPr>
          <w:rFonts w:ascii="Times New Roman" w:eastAsia="Calibri" w:hAnsi="Times New Roman" w:cs="Times New Roman"/>
          <w:color w:val="000000" w:themeColor="text1"/>
          <w:kern w:val="0"/>
        </w:rPr>
        <w:t>6</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D724BA" w:rsidRPr="00CC7883" w:rsidTr="005F3F83">
        <w:trPr>
          <w:jc w:val="center"/>
        </w:trPr>
        <w:tc>
          <w:tcPr>
            <w:tcW w:w="3827"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7,412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3,24</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3,03</w:t>
            </w:r>
          </w:p>
        </w:tc>
      </w:tr>
      <w:tr w:rsidR="00854E40" w:rsidRPr="00CC7883" w:rsidTr="005F3F83">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60 хв</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723,479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28,98</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1018,176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13,60</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691,073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46,14</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24,780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0,99</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33,836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6,78</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13,599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0,91</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7,021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1,31</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1,30</w:t>
            </w:r>
          </w:p>
        </w:tc>
      </w:tr>
      <w:tr w:rsidR="00854E40" w:rsidRPr="00CC7883" w:rsidTr="005F3F83">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сухих речовин, %</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56,698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18,899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226,169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4,35</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43,174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43,174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516,671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3,31</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1155,189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231,038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2764,850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88,66</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0,572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0,191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34,079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2,272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27,188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2,62</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4,128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0,826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9,879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0,32</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0,983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0,841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0,62</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8,106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0,62</w:t>
            </w:r>
          </w:p>
        </w:tc>
      </w:tr>
      <w:tr w:rsidR="00854E40" w:rsidRPr="00CC7883" w:rsidTr="005F3F83">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Інтенсивність транспірації, г/м</w:t>
            </w:r>
            <w:r w:rsidRPr="00CC7883">
              <w:rPr>
                <w:rFonts w:ascii="Times New Roman" w:eastAsia="Calibri" w:hAnsi="Times New Roman" w:cs="Times New Roman"/>
                <w:i/>
                <w:color w:val="000000" w:themeColor="text1"/>
                <w:kern w:val="0"/>
                <w:sz w:val="28"/>
                <w:szCs w:val="28"/>
                <w:vertAlign w:val="superscript"/>
              </w:rPr>
              <w:t>2</w:t>
            </w:r>
            <w:r w:rsidRPr="00CC7883">
              <w:rPr>
                <w:rFonts w:ascii="Times New Roman" w:eastAsia="Calibri" w:hAnsi="Times New Roman" w:cs="Times New Roman"/>
                <w:i/>
                <w:color w:val="000000" w:themeColor="text1"/>
                <w:kern w:val="0"/>
                <w:sz w:val="28"/>
                <w:szCs w:val="28"/>
              </w:rPr>
              <w:t>×год</w:t>
            </w:r>
          </w:p>
        </w:tc>
      </w:tr>
      <w:tr w:rsidR="00854E40" w:rsidRPr="00CC7883" w:rsidTr="005F3F83">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5 хв</w:t>
            </w:r>
          </w:p>
        </w:tc>
      </w:tr>
      <w:tr w:rsidR="00854E40" w:rsidRPr="00CC7883" w:rsidTr="005F3F83">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4,428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1,476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18,797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12,53</w:t>
            </w:r>
          </w:p>
        </w:tc>
      </w:tr>
    </w:tbl>
    <w:p w:rsidR="00D724BA" w:rsidRPr="00CC7883" w:rsidRDefault="00D724BA" w:rsidP="00047411">
      <w:pPr>
        <w:widowControl w:val="0"/>
        <w:rPr>
          <w:color w:val="000000" w:themeColor="text1"/>
        </w:rPr>
        <w:sectPr w:rsidR="00D724BA" w:rsidRPr="00CC7883" w:rsidSect="00B610AB">
          <w:footerReference w:type="default" r:id="rId225"/>
          <w:pgSz w:w="16838" w:h="11906" w:orient="landscape" w:code="9"/>
          <w:pgMar w:top="1701" w:right="1134" w:bottom="851" w:left="1134" w:header="709" w:footer="709" w:gutter="0"/>
          <w:cols w:space="708"/>
          <w:docGrid w:linePitch="360"/>
        </w:sectPr>
      </w:pPr>
    </w:p>
    <w:p w:rsidR="00D724BA" w:rsidRPr="00CC7883" w:rsidRDefault="00860075" w:rsidP="00860075">
      <w:pPr>
        <w:widowControl w:val="0"/>
        <w:ind w:left="9926" w:firstLine="709"/>
        <w:jc w:val="center"/>
        <w:rPr>
          <w:color w:val="000000" w:themeColor="text1"/>
        </w:rPr>
      </w:pPr>
      <w:r>
        <w:rPr>
          <w:rFonts w:ascii="Times New Roman" w:eastAsia="Calibri" w:hAnsi="Times New Roman" w:cs="Times New Roman"/>
          <w:color w:val="000000" w:themeColor="text1"/>
          <w:kern w:val="0"/>
        </w:rPr>
        <w:lastRenderedPageBreak/>
        <w:t xml:space="preserve">   </w:t>
      </w:r>
      <w:r w:rsidR="00D724BA"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D724BA" w:rsidRPr="00CC7883">
        <w:rPr>
          <w:rFonts w:ascii="Times New Roman" w:eastAsia="Calibri" w:hAnsi="Times New Roman" w:cs="Times New Roman"/>
          <w:color w:val="000000" w:themeColor="text1"/>
          <w:kern w:val="0"/>
        </w:rPr>
        <w:t>6</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2"/>
        <w:gridCol w:w="1559"/>
        <w:gridCol w:w="1700"/>
        <w:gridCol w:w="1700"/>
        <w:gridCol w:w="1416"/>
        <w:gridCol w:w="1151"/>
      </w:tblGrid>
      <w:tr w:rsidR="00D724BA" w:rsidRPr="00CC7883" w:rsidTr="00860075">
        <w:trPr>
          <w:jc w:val="center"/>
        </w:trPr>
        <w:tc>
          <w:tcPr>
            <w:tcW w:w="3827"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2"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59"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0"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0"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6"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51" w:type="dxa"/>
            <w:tcBorders>
              <w:top w:val="single" w:sz="4" w:space="0" w:color="auto"/>
              <w:left w:val="single" w:sz="4" w:space="0" w:color="auto"/>
              <w:bottom w:val="single" w:sz="4" w:space="0" w:color="auto"/>
              <w:right w:val="single" w:sz="4" w:space="0" w:color="auto"/>
            </w:tcBorders>
          </w:tcPr>
          <w:p w:rsidR="00D724BA" w:rsidRPr="00CC7883" w:rsidRDefault="00D724B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0,850</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0,850</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10,823</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2,41</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18,651</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3,730</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47,508</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52,79</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0,137</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0,046</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0,581</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0,63</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0,39</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2,010</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0,134</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1,706</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5,69</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0,648</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0,130</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1,649</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0,15</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1,83</w:t>
            </w:r>
          </w:p>
        </w:tc>
      </w:tr>
      <w:tr w:rsidR="002F57FF" w:rsidRPr="00CC7883" w:rsidTr="00860075">
        <w:trPr>
          <w:jc w:val="center"/>
        </w:trPr>
        <w:tc>
          <w:tcPr>
            <w:tcW w:w="3827" w:type="dxa"/>
            <w:tcBorders>
              <w:top w:val="single" w:sz="4" w:space="0" w:color="auto"/>
              <w:left w:val="single" w:sz="4" w:space="0" w:color="auto"/>
              <w:bottom w:val="single" w:sz="4" w:space="0" w:color="auto"/>
              <w:right w:val="single" w:sz="4" w:space="0" w:color="auto"/>
            </w:tcBorders>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8" w:type="dxa"/>
            <w:tcBorders>
              <w:top w:val="single" w:sz="4" w:space="0" w:color="auto"/>
              <w:left w:val="single" w:sz="4" w:space="0" w:color="auto"/>
              <w:bottom w:val="single" w:sz="4" w:space="0" w:color="auto"/>
              <w:right w:val="single" w:sz="4" w:space="0" w:color="auto"/>
            </w:tcBorders>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852" w:type="dxa"/>
            <w:tcBorders>
              <w:top w:val="single" w:sz="4" w:space="0" w:color="auto"/>
              <w:left w:val="single" w:sz="4" w:space="0" w:color="auto"/>
              <w:bottom w:val="single" w:sz="4" w:space="0" w:color="auto"/>
              <w:right w:val="single" w:sz="4" w:space="0" w:color="auto"/>
            </w:tcBorders>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559" w:type="dxa"/>
            <w:tcBorders>
              <w:top w:val="single" w:sz="4" w:space="0" w:color="auto"/>
              <w:left w:val="single" w:sz="4" w:space="0" w:color="auto"/>
              <w:bottom w:val="single" w:sz="4" w:space="0" w:color="auto"/>
              <w:right w:val="single" w:sz="4" w:space="0" w:color="auto"/>
            </w:tcBorders>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0" w:type="dxa"/>
            <w:tcBorders>
              <w:top w:val="single" w:sz="4" w:space="0" w:color="auto"/>
              <w:left w:val="single" w:sz="4" w:space="0" w:color="auto"/>
              <w:bottom w:val="single" w:sz="4" w:space="0" w:color="auto"/>
              <w:right w:val="single" w:sz="4" w:space="0" w:color="auto"/>
            </w:tcBorders>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0" w:type="dxa"/>
            <w:tcBorders>
              <w:top w:val="single" w:sz="4" w:space="0" w:color="auto"/>
              <w:left w:val="single" w:sz="4" w:space="0" w:color="auto"/>
              <w:bottom w:val="single" w:sz="4" w:space="0" w:color="auto"/>
              <w:right w:val="single" w:sz="4" w:space="0" w:color="auto"/>
            </w:tcBorders>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6" w:type="dxa"/>
            <w:tcBorders>
              <w:top w:val="single" w:sz="4" w:space="0" w:color="auto"/>
              <w:left w:val="single" w:sz="4" w:space="0" w:color="auto"/>
              <w:bottom w:val="single" w:sz="4" w:space="0" w:color="auto"/>
              <w:right w:val="single" w:sz="4" w:space="0" w:color="auto"/>
            </w:tcBorders>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51" w:type="dxa"/>
            <w:tcBorders>
              <w:top w:val="single" w:sz="4" w:space="0" w:color="auto"/>
              <w:left w:val="single" w:sz="4" w:space="0" w:color="auto"/>
              <w:bottom w:val="single" w:sz="4" w:space="0" w:color="auto"/>
              <w:right w:val="single" w:sz="4" w:space="0" w:color="auto"/>
            </w:tcBorders>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0,995</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0,071</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0,905</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0,56</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2,81</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7,616</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0,079</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21,56</w:t>
            </w:r>
          </w:p>
        </w:tc>
      </w:tr>
      <w:tr w:rsidR="00854E40" w:rsidRPr="00CC7883" w:rsidTr="00860075">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10 хв</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63,721</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21,240</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74,870</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19,93</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12,718</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12,718</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44,830</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3,98</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162,831</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32,566</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114,793</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50,93</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11,435</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3,812</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13,435</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3,58</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29,152</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1,943</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6,850</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9,12</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4,063</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0,813</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2,865</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1,27</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8,259</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0,590</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2,080</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w:t>
            </w: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2,58</w:t>
            </w:r>
          </w:p>
        </w:tc>
      </w:tr>
      <w:tr w:rsidR="00854E40" w:rsidRPr="00CC7883" w:rsidTr="00860075">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27,519</w:t>
            </w:r>
          </w:p>
        </w:tc>
        <w:tc>
          <w:tcPr>
            <w:tcW w:w="85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5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0,284</w:t>
            </w: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6"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5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8,61</w:t>
            </w:r>
          </w:p>
        </w:tc>
      </w:tr>
    </w:tbl>
    <w:p w:rsidR="00854E40" w:rsidRPr="00CC7883" w:rsidRDefault="00854E40" w:rsidP="00047411">
      <w:pPr>
        <w:widowControl w:val="0"/>
        <w:spacing w:line="259" w:lineRule="auto"/>
        <w:rPr>
          <w:rFonts w:ascii="Times New Roman" w:eastAsia="Calibri" w:hAnsi="Times New Roman" w:cs="Times New Roman"/>
          <w:color w:val="000000" w:themeColor="text1"/>
          <w:kern w:val="0"/>
          <w:sz w:val="22"/>
          <w:szCs w:val="22"/>
        </w:rPr>
        <w:sectPr w:rsidR="00854E40" w:rsidRPr="00CC7883" w:rsidSect="00B610AB">
          <w:footerReference w:type="default" r:id="rId226"/>
          <w:pgSz w:w="16838" w:h="11906" w:orient="landscape" w:code="9"/>
          <w:pgMar w:top="1701" w:right="1134" w:bottom="850" w:left="1134" w:header="708" w:footer="708" w:gutter="0"/>
          <w:cols w:space="708"/>
          <w:docGrid w:linePitch="360"/>
        </w:sectPr>
      </w:pPr>
    </w:p>
    <w:p w:rsidR="00701F48" w:rsidRPr="00CC7883" w:rsidRDefault="00701F48"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860075">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7</w:t>
      </w:r>
    </w:p>
    <w:p w:rsidR="00701F48" w:rsidRPr="00CC7883" w:rsidRDefault="00701F48" w:rsidP="00047411">
      <w:pPr>
        <w:widowControl w:val="0"/>
        <w:spacing w:line="259" w:lineRule="auto"/>
        <w:jc w:val="center"/>
        <w:rPr>
          <w:rFonts w:ascii="Times New Roman" w:eastAsia="Calibri" w:hAnsi="Times New Roman" w:cs="Times New Roman"/>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Cs/>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5</w:t>
      </w:r>
      <w:r w:rsidR="003E6D23" w:rsidRPr="00CC7883">
        <w:rPr>
          <w:rFonts w:ascii="Times New Roman" w:eastAsia="Calibri" w:hAnsi="Times New Roman" w:cs="Times New Roman"/>
          <w:b/>
          <w:color w:val="000000" w:themeColor="text1"/>
          <w:kern w:val="0"/>
          <w:sz w:val="28"/>
          <w:szCs w:val="28"/>
        </w:rPr>
        <w:t xml:space="preserve"> (дослід 1)</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854E40" w:rsidRPr="00CC7883" w:rsidTr="00FF6FCB">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FF6FCB">
        <w:trPr>
          <w:cantSplit/>
          <w:trHeight w:val="356"/>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FF6FCB">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води у коренях, %</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189,049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63,016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372,010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27,29</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6,788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6,788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40,075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0,98</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393,848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78,770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465,007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56,86</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5,425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10,676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0,78</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59,406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3,960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23,380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8,58</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4,219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4,982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0,61</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17,534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1,252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7,393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2,53</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16,431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0,169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2,37</w:t>
            </w:r>
          </w:p>
        </w:tc>
      </w:tr>
      <w:tr w:rsidR="00854E40" w:rsidRPr="00CC7883" w:rsidTr="00FF6FCB">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 xml:space="preserve">Вміст </w:t>
            </w:r>
            <w:r w:rsidR="00C87671" w:rsidRPr="00C87671">
              <w:rPr>
                <w:rFonts w:ascii="Times New Roman" w:hAnsi="Times New Roman" w:cs="Times New Roman"/>
                <w:i/>
                <w:iCs/>
                <w:color w:val="000000" w:themeColor="text1"/>
                <w:sz w:val="28"/>
                <w:szCs w:val="28"/>
              </w:rPr>
              <w:t>легкоутримуваної</w:t>
            </w:r>
            <w:r w:rsidRPr="00CC7883">
              <w:rPr>
                <w:rFonts w:ascii="Times New Roman" w:eastAsia="Calibri" w:hAnsi="Times New Roman" w:cs="Times New Roman"/>
                <w:i/>
                <w:color w:val="000000" w:themeColor="text1"/>
                <w:kern w:val="0"/>
                <w:sz w:val="28"/>
                <w:szCs w:val="28"/>
              </w:rPr>
              <w:t xml:space="preserve"> води у коренях, %</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23,194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7,731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61,493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0,73</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309,631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309,631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2462,751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9,72</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2775,195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555,039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4414,681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87,12</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0,769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6,119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20,144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1,343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10,681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0,63</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32,426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6,485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51,581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1,02</w:t>
            </w:r>
          </w:p>
        </w:tc>
      </w:tr>
    </w:tbl>
    <w:p w:rsidR="002F57FF" w:rsidRPr="00CC7883" w:rsidRDefault="002F57FF" w:rsidP="00047411">
      <w:pPr>
        <w:widowControl w:val="0"/>
        <w:rPr>
          <w:color w:val="000000" w:themeColor="text1"/>
        </w:rPr>
        <w:sectPr w:rsidR="002F57FF" w:rsidRPr="00CC7883" w:rsidSect="00B610AB">
          <w:footerReference w:type="default" r:id="rId227"/>
          <w:pgSz w:w="16838" w:h="11906" w:orient="landscape" w:code="9"/>
          <w:pgMar w:top="1701" w:right="1134" w:bottom="851" w:left="1134" w:header="709" w:footer="709" w:gutter="0"/>
          <w:cols w:space="708"/>
          <w:docGrid w:linePitch="360"/>
        </w:sectPr>
      </w:pPr>
    </w:p>
    <w:p w:rsidR="002F57FF" w:rsidRPr="00CC7883" w:rsidRDefault="00FF6FCB" w:rsidP="00FF6FCB">
      <w:pPr>
        <w:widowControl w:val="0"/>
        <w:spacing w:line="259" w:lineRule="auto"/>
        <w:ind w:left="9926" w:right="105" w:firstLine="709"/>
        <w:jc w:val="center"/>
        <w:rPr>
          <w:rFonts w:ascii="Times New Roman" w:eastAsia="Calibri" w:hAnsi="Times New Roman" w:cs="Times New Roman"/>
          <w:color w:val="000000" w:themeColor="text1"/>
          <w:kern w:val="0"/>
          <w:sz w:val="20"/>
          <w:szCs w:val="20"/>
        </w:rPr>
      </w:pPr>
      <w:r>
        <w:rPr>
          <w:rFonts w:ascii="Times New Roman" w:eastAsia="Calibri" w:hAnsi="Times New Roman" w:cs="Times New Roman"/>
          <w:color w:val="000000" w:themeColor="text1"/>
          <w:kern w:val="0"/>
        </w:rPr>
        <w:lastRenderedPageBreak/>
        <w:t xml:space="preserve">      </w:t>
      </w:r>
      <w:r w:rsidR="002F57FF"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2F57FF" w:rsidRPr="00CC7883">
        <w:rPr>
          <w:rFonts w:ascii="Times New Roman" w:eastAsia="Calibri" w:hAnsi="Times New Roman" w:cs="Times New Roman"/>
          <w:color w:val="000000" w:themeColor="text1"/>
          <w:kern w:val="0"/>
        </w:rPr>
        <w:t>7</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2F57FF" w:rsidRPr="00CC7883" w:rsidTr="00FF6FCB">
        <w:trPr>
          <w:jc w:val="center"/>
        </w:trPr>
        <w:tc>
          <w:tcPr>
            <w:tcW w:w="3827" w:type="dxa"/>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2F57FF" w:rsidRPr="00CC7883" w:rsidRDefault="002F57FF"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10,255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0,733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5,826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0,32</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12,195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0,126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0,38</w:t>
            </w:r>
          </w:p>
        </w:tc>
      </w:tr>
      <w:tr w:rsidR="00854E40" w:rsidRPr="00CC7883" w:rsidTr="00FF6FCB">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сухих речовин у коренях, %</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189,049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63,016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762,780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27,63</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6,788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6,788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82,170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0,99</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393,848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78,770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953,464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57,56</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5,425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1,808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21,890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0,79</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59,406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3,960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47,938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8,68</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4,219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0,844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10,215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0,62</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17,534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1,252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15,160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2,56</w:t>
            </w:r>
          </w:p>
        </w:tc>
      </w:tr>
      <w:tr w:rsidR="00854E40" w:rsidRPr="00CC7883" w:rsidTr="00FF6FCB">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8,014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0,083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rPr>
            </w:pPr>
            <w:r w:rsidRPr="00CC7883">
              <w:rPr>
                <w:rFonts w:ascii="Times New Roman" w:eastAsia="Calibri" w:hAnsi="Times New Roman" w:cs="Times New Roman"/>
                <w:color w:val="000000" w:themeColor="text1"/>
                <w:kern w:val="0"/>
                <w:sz w:val="28"/>
                <w:szCs w:val="22"/>
              </w:rPr>
              <w:t>1,17</w:t>
            </w:r>
          </w:p>
        </w:tc>
      </w:tr>
    </w:tbl>
    <w:p w:rsidR="00854E40" w:rsidRPr="00CC7883" w:rsidRDefault="00854E40" w:rsidP="00047411">
      <w:pPr>
        <w:widowControl w:val="0"/>
        <w:spacing w:line="259" w:lineRule="auto"/>
        <w:jc w:val="right"/>
        <w:rPr>
          <w:rFonts w:ascii="Times New Roman" w:eastAsia="Calibri" w:hAnsi="Times New Roman" w:cs="Times New Roman"/>
          <w:i/>
          <w:color w:val="000000" w:themeColor="text1"/>
          <w:kern w:val="0"/>
          <w:sz w:val="28"/>
          <w:szCs w:val="28"/>
        </w:rPr>
        <w:sectPr w:rsidR="00854E40" w:rsidRPr="00CC7883" w:rsidSect="00B610AB">
          <w:footerReference w:type="default" r:id="rId228"/>
          <w:pgSz w:w="16838" w:h="11906" w:orient="landscape" w:code="9"/>
          <w:pgMar w:top="1701" w:right="1134" w:bottom="851" w:left="1134" w:header="709" w:footer="709" w:gutter="0"/>
          <w:cols w:space="708"/>
          <w:docGrid w:linePitch="360"/>
        </w:sectPr>
      </w:pPr>
    </w:p>
    <w:p w:rsidR="002E6573" w:rsidRPr="00CC7883" w:rsidRDefault="002E6573"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F35CD2">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8</w:t>
      </w:r>
    </w:p>
    <w:p w:rsidR="002E6573" w:rsidRPr="00CC7883" w:rsidRDefault="002E6573" w:rsidP="00047411">
      <w:pPr>
        <w:widowControl w:val="0"/>
        <w:spacing w:line="259" w:lineRule="auto"/>
        <w:jc w:val="center"/>
        <w:rPr>
          <w:rFonts w:ascii="Times New Roman" w:eastAsia="Calibri" w:hAnsi="Times New Roman" w:cs="Times New Roman"/>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5</w:t>
      </w:r>
      <w:r w:rsidR="003E6D23" w:rsidRPr="00CC7883">
        <w:rPr>
          <w:rFonts w:ascii="Times New Roman" w:eastAsia="Calibri" w:hAnsi="Times New Roman" w:cs="Times New Roman"/>
          <w:b/>
          <w:color w:val="000000" w:themeColor="text1"/>
          <w:kern w:val="0"/>
          <w:sz w:val="28"/>
          <w:szCs w:val="28"/>
        </w:rPr>
        <w:t xml:space="preserve"> (дослід 1)</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854E40" w:rsidRPr="00CC7883" w:rsidTr="00F35CD2">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F35CD2">
        <w:trPr>
          <w:cantSplit/>
          <w:trHeight w:val="355"/>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F35CD2">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Листки</w:t>
            </w:r>
          </w:p>
        </w:tc>
      </w:tr>
      <w:tr w:rsidR="00854E40" w:rsidRPr="00CC7883" w:rsidTr="00F35CD2">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хлорофілу a, мг/г вологої маси</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7,036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2,345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35438,872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39,51</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0,416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0,416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6291,855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2,34</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7,396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1,479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22351,459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41,54</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366,160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0,41</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2,679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0,179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2698,443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15,04</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0,055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167,078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0,31</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0,145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156,213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0,81</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w:t>
            </w:r>
          </w:p>
        </w:tc>
      </w:tr>
      <w:tr w:rsidR="00854E40" w:rsidRPr="00CC7883" w:rsidTr="00F35CD2">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хлорофілу b, мг/г вологої маси</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0,112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343,150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4,13</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434,613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1,74</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2,149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0,430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3943,284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79,11</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32,324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0,39</w:t>
            </w:r>
          </w:p>
        </w:tc>
      </w:tr>
      <w:tr w:rsidR="00854E40" w:rsidRPr="00CC7883" w:rsidTr="00F35CD2">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0,369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225,733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13,59</w:t>
            </w:r>
          </w:p>
        </w:tc>
      </w:tr>
    </w:tbl>
    <w:p w:rsidR="002E6573" w:rsidRPr="00CC7883" w:rsidRDefault="002E6573" w:rsidP="00047411">
      <w:pPr>
        <w:widowControl w:val="0"/>
        <w:rPr>
          <w:color w:val="000000" w:themeColor="text1"/>
        </w:rPr>
        <w:sectPr w:rsidR="002E6573" w:rsidRPr="00CC7883" w:rsidSect="00B610AB">
          <w:footerReference w:type="default" r:id="rId229"/>
          <w:pgSz w:w="16838" w:h="11906" w:orient="landscape" w:code="9"/>
          <w:pgMar w:top="1701" w:right="1134" w:bottom="851" w:left="1134" w:header="709" w:footer="709" w:gutter="0"/>
          <w:cols w:space="708"/>
          <w:docGrid w:linePitch="360"/>
        </w:sectPr>
      </w:pPr>
    </w:p>
    <w:p w:rsidR="002E6573" w:rsidRPr="00CC7883" w:rsidRDefault="00235AF8" w:rsidP="00235AF8">
      <w:pPr>
        <w:widowControl w:val="0"/>
        <w:spacing w:line="259" w:lineRule="auto"/>
        <w:ind w:left="9926" w:right="105" w:firstLine="709"/>
        <w:jc w:val="center"/>
        <w:rPr>
          <w:rFonts w:ascii="Times New Roman" w:eastAsia="Calibri" w:hAnsi="Times New Roman" w:cs="Times New Roman"/>
          <w:color w:val="000000" w:themeColor="text1"/>
          <w:kern w:val="0"/>
        </w:rPr>
      </w:pPr>
      <w:r>
        <w:rPr>
          <w:rFonts w:ascii="Times New Roman" w:eastAsia="Calibri" w:hAnsi="Times New Roman" w:cs="Times New Roman"/>
          <w:color w:val="000000" w:themeColor="text1"/>
          <w:kern w:val="0"/>
        </w:rPr>
        <w:lastRenderedPageBreak/>
        <w:t xml:space="preserve">      </w:t>
      </w:r>
      <w:r w:rsidR="002E6573"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2E6573" w:rsidRPr="00CC7883">
        <w:rPr>
          <w:rFonts w:ascii="Times New Roman" w:eastAsia="Calibri" w:hAnsi="Times New Roman" w:cs="Times New Roman"/>
          <w:color w:val="000000" w:themeColor="text1"/>
          <w:kern w:val="0"/>
        </w:rPr>
        <w:t>8</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2E6573" w:rsidRPr="00CC7883" w:rsidTr="00235AF8">
        <w:trPr>
          <w:jc w:val="center"/>
        </w:trPr>
        <w:tc>
          <w:tcPr>
            <w:tcW w:w="3827" w:type="dxa"/>
            <w:tcBorders>
              <w:top w:val="single" w:sz="4" w:space="0" w:color="auto"/>
              <w:left w:val="single" w:sz="4" w:space="0" w:color="auto"/>
              <w:bottom w:val="single" w:sz="4" w:space="0" w:color="auto"/>
              <w:right w:val="single" w:sz="4" w:space="0" w:color="auto"/>
            </w:tcBorders>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Borders>
              <w:top w:val="single" w:sz="4" w:space="0" w:color="auto"/>
              <w:left w:val="single" w:sz="4" w:space="0" w:color="auto"/>
              <w:bottom w:val="single" w:sz="4" w:space="0" w:color="auto"/>
              <w:right w:val="single" w:sz="4" w:space="0" w:color="auto"/>
            </w:tcBorders>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Borders>
              <w:top w:val="single" w:sz="4" w:space="0" w:color="auto"/>
              <w:left w:val="single" w:sz="4" w:space="0" w:color="auto"/>
              <w:bottom w:val="single" w:sz="4" w:space="0" w:color="auto"/>
              <w:right w:val="single" w:sz="4" w:space="0" w:color="auto"/>
            </w:tcBorders>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Borders>
              <w:top w:val="single" w:sz="4" w:space="0" w:color="auto"/>
              <w:left w:val="single" w:sz="4" w:space="0" w:color="auto"/>
              <w:bottom w:val="single" w:sz="4" w:space="0" w:color="auto"/>
              <w:right w:val="single" w:sz="4" w:space="0" w:color="auto"/>
            </w:tcBorders>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Borders>
              <w:top w:val="single" w:sz="4" w:space="0" w:color="auto"/>
              <w:left w:val="single" w:sz="4" w:space="0" w:color="auto"/>
              <w:bottom w:val="single" w:sz="4" w:space="0" w:color="auto"/>
              <w:right w:val="single" w:sz="4" w:space="0" w:color="auto"/>
            </w:tcBorders>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Borders>
              <w:top w:val="single" w:sz="4" w:space="0" w:color="auto"/>
              <w:left w:val="single" w:sz="4" w:space="0" w:color="auto"/>
              <w:bottom w:val="single" w:sz="4" w:space="0" w:color="auto"/>
              <w:right w:val="single" w:sz="4" w:space="0" w:color="auto"/>
            </w:tcBorders>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Borders>
              <w:top w:val="single" w:sz="4" w:space="0" w:color="auto"/>
              <w:left w:val="single" w:sz="4" w:space="0" w:color="auto"/>
              <w:bottom w:val="single" w:sz="4" w:space="0" w:color="auto"/>
              <w:right w:val="single" w:sz="4" w:space="0" w:color="auto"/>
            </w:tcBorders>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4,241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10,072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0,57</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0,39</w:t>
            </w:r>
          </w:p>
        </w:tc>
      </w:tr>
      <w:tr w:rsidR="00854E40" w:rsidRPr="00CC7883" w:rsidTr="00235AF8">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Сума хлорофілів a і b, мг/г вологої маси</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8,370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2,790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9055,994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25,95</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0,790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0,790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2562,708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2,45</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18,006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11688,589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55,81</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78,486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0,22</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4,636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0,309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1003,116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14,37</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0,154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100,255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0,48</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0,202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46,879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0,63</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w:t>
            </w:r>
          </w:p>
        </w:tc>
      </w:tr>
      <w:tr w:rsidR="00854E40" w:rsidRPr="00CC7883" w:rsidTr="00235AF8">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каротиноїдів, мг/г вологої маси</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1370,596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13,60</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734,698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2,43</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1,045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0,209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4292,103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71,00</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17,278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0,17</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0,146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200,341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9,94</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50,974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0,84</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36,560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1,69</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0,32</w:t>
            </w:r>
          </w:p>
        </w:tc>
      </w:tr>
      <w:tr w:rsidR="00854E40" w:rsidRPr="00CC7883" w:rsidTr="00235AF8">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Пагони</w:t>
            </w:r>
          </w:p>
        </w:tc>
      </w:tr>
      <w:tr w:rsidR="00854E40" w:rsidRPr="00CC7883" w:rsidTr="00235AF8">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хлорофілу a, мг/г вологої маси</w:t>
            </w:r>
          </w:p>
        </w:tc>
      </w:tr>
      <w:tr w:rsidR="00854E40" w:rsidRPr="00CC7883" w:rsidTr="00235AF8">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171,333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21,07</w:t>
            </w:r>
          </w:p>
        </w:tc>
      </w:tr>
    </w:tbl>
    <w:p w:rsidR="002E6573" w:rsidRPr="00CC7883" w:rsidRDefault="002E6573" w:rsidP="00047411">
      <w:pPr>
        <w:widowControl w:val="0"/>
        <w:rPr>
          <w:color w:val="000000" w:themeColor="text1"/>
        </w:rPr>
        <w:sectPr w:rsidR="002E6573" w:rsidRPr="00CC7883" w:rsidSect="00B610AB">
          <w:footerReference w:type="default" r:id="rId230"/>
          <w:pgSz w:w="16838" w:h="11906" w:orient="landscape" w:code="9"/>
          <w:pgMar w:top="1701" w:right="1134" w:bottom="851" w:left="1134" w:header="709" w:footer="709" w:gutter="0"/>
          <w:cols w:space="708"/>
          <w:docGrid w:linePitch="360"/>
        </w:sectPr>
      </w:pPr>
    </w:p>
    <w:p w:rsidR="002E6573" w:rsidRPr="00CC7883" w:rsidRDefault="000E0354" w:rsidP="000E0354">
      <w:pPr>
        <w:widowControl w:val="0"/>
        <w:spacing w:line="259" w:lineRule="auto"/>
        <w:ind w:left="10635" w:right="105"/>
        <w:jc w:val="center"/>
        <w:rPr>
          <w:rFonts w:ascii="Times New Roman" w:eastAsia="Calibri" w:hAnsi="Times New Roman" w:cs="Times New Roman"/>
          <w:color w:val="000000" w:themeColor="text1"/>
          <w:kern w:val="0"/>
        </w:rPr>
      </w:pPr>
      <w:r>
        <w:rPr>
          <w:rFonts w:ascii="Times New Roman" w:eastAsia="Calibri" w:hAnsi="Times New Roman" w:cs="Times New Roman"/>
          <w:color w:val="000000" w:themeColor="text1"/>
          <w:kern w:val="0"/>
        </w:rPr>
        <w:lastRenderedPageBreak/>
        <w:t xml:space="preserve">      </w:t>
      </w:r>
      <w:r w:rsidR="002E6573"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2E6573" w:rsidRPr="00CC7883">
        <w:rPr>
          <w:rFonts w:ascii="Times New Roman" w:eastAsia="Calibri" w:hAnsi="Times New Roman" w:cs="Times New Roman"/>
          <w:color w:val="000000" w:themeColor="text1"/>
          <w:kern w:val="0"/>
        </w:rPr>
        <w:t>8</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2E6573" w:rsidRPr="00CC7883" w:rsidTr="000E0354">
        <w:trPr>
          <w:jc w:val="center"/>
        </w:trPr>
        <w:tc>
          <w:tcPr>
            <w:tcW w:w="3827"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611,401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25,07</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0,050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161,766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33,16</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19,947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2,45</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17,274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10,62</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9,565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1,96</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2,924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1,68</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3,98</w:t>
            </w:r>
          </w:p>
        </w:tc>
      </w:tr>
      <w:tr w:rsidR="00854E40" w:rsidRPr="00CC7883" w:rsidTr="000E0354">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хлорофілу b, мг/г вологої маси</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18,633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5,87</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224,204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23,53</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75,530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39,63</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1,142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0,34</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0,36</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8,187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12,89</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9,274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4,87</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1,831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10,18</w:t>
            </w:r>
          </w:p>
        </w:tc>
      </w:tr>
      <w:tr w:rsidR="00854E40" w:rsidRPr="00CC7883" w:rsidTr="000E0354">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Сума хлорофілів a і b, мг/г вологої маси</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360,313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22,92</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0,120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0,120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1695,812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35,96</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273,138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28,96</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53,574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3,41</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7,818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2,49</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26,595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2,82</w:t>
            </w:r>
          </w:p>
        </w:tc>
      </w:tr>
      <w:tr w:rsidR="00854E40" w:rsidRPr="00CC7883" w:rsidTr="000E0354">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4,631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1,37</w:t>
            </w:r>
          </w:p>
        </w:tc>
      </w:tr>
    </w:tbl>
    <w:p w:rsidR="002E6573" w:rsidRPr="00CC7883" w:rsidRDefault="002E6573" w:rsidP="00047411">
      <w:pPr>
        <w:widowControl w:val="0"/>
        <w:rPr>
          <w:color w:val="000000" w:themeColor="text1"/>
        </w:rPr>
        <w:sectPr w:rsidR="002E6573" w:rsidRPr="00CC7883" w:rsidSect="00B610AB">
          <w:footerReference w:type="default" r:id="rId231"/>
          <w:pgSz w:w="16838" w:h="11906" w:orient="landscape" w:code="9"/>
          <w:pgMar w:top="1701" w:right="1134" w:bottom="850" w:left="1134" w:header="708" w:footer="708" w:gutter="0"/>
          <w:cols w:space="708"/>
          <w:docGrid w:linePitch="360"/>
        </w:sectPr>
      </w:pPr>
    </w:p>
    <w:p w:rsidR="002E6573" w:rsidRPr="00CC7883" w:rsidRDefault="000A69CE" w:rsidP="000A69CE">
      <w:pPr>
        <w:widowControl w:val="0"/>
        <w:spacing w:line="259" w:lineRule="auto"/>
        <w:ind w:left="9926" w:right="105" w:firstLine="709"/>
        <w:jc w:val="center"/>
        <w:rPr>
          <w:rFonts w:ascii="Times New Roman" w:eastAsia="Calibri" w:hAnsi="Times New Roman" w:cs="Times New Roman"/>
          <w:color w:val="000000" w:themeColor="text1"/>
          <w:kern w:val="0"/>
        </w:rPr>
      </w:pPr>
      <w:r>
        <w:rPr>
          <w:rFonts w:ascii="Times New Roman" w:eastAsia="Calibri" w:hAnsi="Times New Roman" w:cs="Times New Roman"/>
          <w:color w:val="000000" w:themeColor="text1"/>
          <w:kern w:val="0"/>
        </w:rPr>
        <w:lastRenderedPageBreak/>
        <w:t xml:space="preserve">      </w:t>
      </w:r>
      <w:r w:rsidR="002E6573"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2E6573" w:rsidRPr="00CC7883">
        <w:rPr>
          <w:rFonts w:ascii="Times New Roman" w:eastAsia="Calibri" w:hAnsi="Times New Roman" w:cs="Times New Roman"/>
          <w:color w:val="000000" w:themeColor="text1"/>
          <w:kern w:val="0"/>
        </w:rPr>
        <w:t>8</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2E6573" w:rsidRPr="00CC7883" w:rsidTr="000A69CE">
        <w:trPr>
          <w:jc w:val="center"/>
        </w:trPr>
        <w:tc>
          <w:tcPr>
            <w:tcW w:w="3827"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2,06</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каротиноїдів, мг/г вологої маси</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47,084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19,16</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124,986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16,95</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54,209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36,76</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0,559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0,64</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0,23</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4,714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9,59</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3,662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2,48</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0,884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0,58</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1,68</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13,16</w:t>
            </w:r>
          </w:p>
        </w:tc>
      </w:tr>
    </w:tbl>
    <w:p w:rsidR="00854E40" w:rsidRPr="00CC7883" w:rsidRDefault="00854E40" w:rsidP="00047411">
      <w:pPr>
        <w:widowControl w:val="0"/>
        <w:spacing w:line="259" w:lineRule="auto"/>
        <w:rPr>
          <w:rFonts w:ascii="Times New Roman" w:eastAsia="Calibri" w:hAnsi="Times New Roman" w:cs="Times New Roman"/>
          <w:color w:val="000000" w:themeColor="text1"/>
          <w:kern w:val="0"/>
          <w:sz w:val="22"/>
          <w:szCs w:val="22"/>
        </w:rPr>
        <w:sectPr w:rsidR="00854E40" w:rsidRPr="00CC7883" w:rsidSect="00B610AB">
          <w:footerReference w:type="default" r:id="rId232"/>
          <w:pgSz w:w="16838" w:h="11906" w:orient="landscape" w:code="9"/>
          <w:pgMar w:top="1701" w:right="1134" w:bottom="850" w:left="1134" w:header="708" w:footer="708" w:gutter="0"/>
          <w:cols w:space="708"/>
          <w:docGrid w:linePitch="360"/>
        </w:sectPr>
      </w:pPr>
    </w:p>
    <w:p w:rsidR="002E6573" w:rsidRPr="00CC7883" w:rsidRDefault="002E6573"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0A69CE">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9</w:t>
      </w:r>
    </w:p>
    <w:p w:rsidR="002E6573" w:rsidRPr="00CC7883" w:rsidRDefault="002E6573" w:rsidP="00047411">
      <w:pPr>
        <w:widowControl w:val="0"/>
        <w:spacing w:line="259" w:lineRule="auto"/>
        <w:jc w:val="center"/>
        <w:rPr>
          <w:rFonts w:ascii="Times New Roman" w:eastAsia="Calibri" w:hAnsi="Times New Roman" w:cs="Times New Roman"/>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Cs/>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5</w:t>
      </w:r>
      <w:r w:rsidR="003E6D23" w:rsidRPr="00CC7883">
        <w:rPr>
          <w:rFonts w:ascii="Times New Roman" w:eastAsia="Calibri" w:hAnsi="Times New Roman" w:cs="Times New Roman"/>
          <w:b/>
          <w:color w:val="000000" w:themeColor="text1"/>
          <w:kern w:val="0"/>
          <w:sz w:val="28"/>
          <w:szCs w:val="28"/>
        </w:rPr>
        <w:t xml:space="preserve"> (дослід 2)</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854E40" w:rsidRPr="00CC7883" w:rsidTr="000A69CE">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0A69CE">
        <w:trPr>
          <w:cantSplit/>
          <w:trHeight w:val="356"/>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води, %</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8,126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2,709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17,301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2,36</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315,455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105,152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671,620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91,70</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15,579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1,731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11,056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4,53</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4,853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0,157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1,41</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 xml:space="preserve">Вміст </w:t>
            </w:r>
            <w:r w:rsidR="00C87671" w:rsidRPr="00C87671">
              <w:rPr>
                <w:rFonts w:ascii="Times New Roman" w:hAnsi="Times New Roman" w:cs="Times New Roman"/>
                <w:i/>
                <w:iCs/>
                <w:color w:val="000000" w:themeColor="text1"/>
                <w:sz w:val="28"/>
                <w:szCs w:val="28"/>
              </w:rPr>
              <w:t>легкоутримуваної</w:t>
            </w:r>
            <w:r w:rsidRPr="00CC7883">
              <w:rPr>
                <w:rFonts w:ascii="Times New Roman" w:eastAsia="Calibri" w:hAnsi="Times New Roman" w:cs="Times New Roman"/>
                <w:i/>
                <w:color w:val="000000" w:themeColor="text1"/>
                <w:kern w:val="0"/>
                <w:sz w:val="28"/>
                <w:szCs w:val="28"/>
              </w:rPr>
              <w:t xml:space="preserve"> води, %</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253,187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84,396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902,230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43,61</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250,054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83,351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891,060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43,07</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74,381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8,265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88,360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12,81</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2,993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0,52</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color w:val="000000" w:themeColor="text1"/>
                <w:kern w:val="0"/>
                <w:sz w:val="22"/>
                <w:szCs w:val="22"/>
              </w:rPr>
              <w:br w:type="column"/>
            </w:r>
            <w:r w:rsidRPr="00CC7883">
              <w:rPr>
                <w:rFonts w:ascii="Times New Roman" w:eastAsia="Calibri" w:hAnsi="Times New Roman" w:cs="Times New Roman"/>
                <w:i/>
                <w:color w:val="000000" w:themeColor="text1"/>
                <w:kern w:val="0"/>
                <w:sz w:val="28"/>
                <w:szCs w:val="28"/>
              </w:rPr>
              <w:t>Водо</w:t>
            </w:r>
            <w:r w:rsidR="00491666">
              <w:rPr>
                <w:rFonts w:ascii="Times New Roman" w:eastAsia="Calibri" w:hAnsi="Times New Roman" w:cs="Times New Roman"/>
                <w:i/>
                <w:color w:val="000000" w:themeColor="text1"/>
                <w:kern w:val="0"/>
                <w:sz w:val="28"/>
                <w:szCs w:val="28"/>
              </w:rPr>
              <w:t>у</w:t>
            </w:r>
            <w:r w:rsidRPr="00CC7883">
              <w:rPr>
                <w:rFonts w:ascii="Times New Roman" w:eastAsia="Calibri" w:hAnsi="Times New Roman" w:cs="Times New Roman"/>
                <w:i/>
                <w:color w:val="000000" w:themeColor="text1"/>
                <w:kern w:val="0"/>
                <w:sz w:val="28"/>
                <w:szCs w:val="28"/>
              </w:rPr>
              <w:t>триму</w:t>
            </w:r>
            <w:r w:rsidR="00491666">
              <w:rPr>
                <w:rFonts w:ascii="Times New Roman" w:eastAsia="Calibri" w:hAnsi="Times New Roman" w:cs="Times New Roman"/>
                <w:i/>
                <w:color w:val="000000" w:themeColor="text1"/>
                <w:kern w:val="0"/>
                <w:sz w:val="28"/>
                <w:szCs w:val="28"/>
              </w:rPr>
              <w:t>вальн</w:t>
            </w:r>
            <w:r w:rsidRPr="00CC7883">
              <w:rPr>
                <w:rFonts w:ascii="Times New Roman" w:eastAsia="Calibri" w:hAnsi="Times New Roman" w:cs="Times New Roman"/>
                <w:i/>
                <w:color w:val="000000" w:themeColor="text1"/>
                <w:kern w:val="0"/>
                <w:sz w:val="28"/>
                <w:szCs w:val="28"/>
              </w:rPr>
              <w:t>а здатність, г</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5 хв</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250,302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83,434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870,721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44,28</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239,681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79,894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833,775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42,40</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72,333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8,037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83,874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12,80</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2,970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0,53</w:t>
            </w:r>
          </w:p>
        </w:tc>
      </w:tr>
    </w:tbl>
    <w:p w:rsidR="002E6573" w:rsidRPr="00CC7883" w:rsidRDefault="002E6573" w:rsidP="00047411">
      <w:pPr>
        <w:widowControl w:val="0"/>
        <w:rPr>
          <w:color w:val="000000" w:themeColor="text1"/>
        </w:rPr>
        <w:sectPr w:rsidR="002E6573" w:rsidRPr="00CC7883" w:rsidSect="007F4685">
          <w:footerReference w:type="default" r:id="rId233"/>
          <w:pgSz w:w="16838" w:h="11906" w:orient="landscape" w:code="9"/>
          <w:pgMar w:top="1701" w:right="1134" w:bottom="851" w:left="1134" w:header="709" w:footer="709" w:gutter="0"/>
          <w:cols w:space="708"/>
          <w:docGrid w:linePitch="360"/>
        </w:sectPr>
      </w:pPr>
    </w:p>
    <w:p w:rsidR="002E6573" w:rsidRPr="00CC7883" w:rsidRDefault="000A69CE" w:rsidP="000A69CE">
      <w:pPr>
        <w:widowControl w:val="0"/>
        <w:spacing w:line="259" w:lineRule="auto"/>
        <w:ind w:left="10635" w:right="105"/>
        <w:jc w:val="center"/>
        <w:rPr>
          <w:rFonts w:ascii="Times New Roman" w:eastAsia="Calibri" w:hAnsi="Times New Roman" w:cs="Times New Roman"/>
          <w:color w:val="000000" w:themeColor="text1"/>
          <w:kern w:val="0"/>
        </w:rPr>
      </w:pPr>
      <w:r>
        <w:rPr>
          <w:rFonts w:ascii="Times New Roman" w:eastAsia="Calibri" w:hAnsi="Times New Roman" w:cs="Times New Roman"/>
          <w:color w:val="000000" w:themeColor="text1"/>
          <w:kern w:val="0"/>
        </w:rPr>
        <w:lastRenderedPageBreak/>
        <w:t xml:space="preserve">     </w:t>
      </w:r>
      <w:r w:rsidR="002E6573"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2E6573" w:rsidRPr="00CC7883">
        <w:rPr>
          <w:rFonts w:ascii="Times New Roman" w:eastAsia="Calibri" w:hAnsi="Times New Roman" w:cs="Times New Roman"/>
          <w:color w:val="000000" w:themeColor="text1"/>
          <w:kern w:val="0"/>
        </w:rPr>
        <w:t>9</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2E6573" w:rsidRPr="00CC7883" w:rsidTr="000A69CE">
        <w:trPr>
          <w:jc w:val="center"/>
        </w:trPr>
        <w:tc>
          <w:tcPr>
            <w:tcW w:w="3827"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10 хв</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2,211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0,11</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12,69</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2,348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13,47</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0,845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0,58</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14,55</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59,29</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15 хв</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4,022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11,54</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17,348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49,76</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1,053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0,42</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9,06</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29,64</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20 хв</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45,114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21,51</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147,710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70,41</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2,206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0,05</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3,16</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4,93</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30 хв</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61,106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19,78</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230,341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74,54</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2,407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2,34</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3,34</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60 хв</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522,006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35,74</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865,337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59,25</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20,915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4,30</w:t>
            </w:r>
          </w:p>
        </w:tc>
      </w:tr>
    </w:tbl>
    <w:p w:rsidR="002E6573" w:rsidRPr="00CC7883" w:rsidRDefault="002E6573" w:rsidP="00047411">
      <w:pPr>
        <w:widowControl w:val="0"/>
        <w:rPr>
          <w:color w:val="000000" w:themeColor="text1"/>
        </w:rPr>
        <w:sectPr w:rsidR="002E6573" w:rsidRPr="00CC7883" w:rsidSect="00B610AB">
          <w:footerReference w:type="default" r:id="rId234"/>
          <w:pgSz w:w="16838" w:h="11906" w:orient="landscape" w:code="9"/>
          <w:pgMar w:top="1701" w:right="1134" w:bottom="850" w:left="1134" w:header="708" w:footer="708" w:gutter="0"/>
          <w:cols w:space="708"/>
          <w:docGrid w:linePitch="360"/>
        </w:sectPr>
      </w:pPr>
    </w:p>
    <w:p w:rsidR="002E6573" w:rsidRPr="00CC7883" w:rsidRDefault="000A69CE" w:rsidP="000A69CE">
      <w:pPr>
        <w:widowControl w:val="0"/>
        <w:spacing w:line="259" w:lineRule="auto"/>
        <w:ind w:left="9926" w:right="105" w:firstLine="709"/>
        <w:jc w:val="center"/>
        <w:rPr>
          <w:rFonts w:ascii="Times New Roman" w:eastAsia="Calibri" w:hAnsi="Times New Roman" w:cs="Times New Roman"/>
          <w:color w:val="000000" w:themeColor="text1"/>
          <w:kern w:val="0"/>
        </w:rPr>
      </w:pPr>
      <w:r>
        <w:rPr>
          <w:rFonts w:ascii="Times New Roman" w:eastAsia="Calibri" w:hAnsi="Times New Roman" w:cs="Times New Roman"/>
          <w:color w:val="000000" w:themeColor="text1"/>
          <w:kern w:val="0"/>
        </w:rPr>
        <w:lastRenderedPageBreak/>
        <w:t xml:space="preserve">     </w:t>
      </w:r>
      <w:r w:rsidR="002E6573"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2E6573" w:rsidRPr="00CC7883">
        <w:rPr>
          <w:rFonts w:ascii="Times New Roman" w:eastAsia="Calibri" w:hAnsi="Times New Roman" w:cs="Times New Roman"/>
          <w:color w:val="000000" w:themeColor="text1"/>
          <w:kern w:val="0"/>
        </w:rPr>
        <w:t>9</w:t>
      </w:r>
    </w:p>
    <w:tbl>
      <w:tblPr>
        <w:tblW w:w="13623"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2E6573" w:rsidRPr="00CC7883" w:rsidTr="000A69CE">
        <w:trPr>
          <w:jc w:val="center"/>
        </w:trPr>
        <w:tc>
          <w:tcPr>
            <w:tcW w:w="3827"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0,71</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сухих речовин, %</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9,808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3,269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53,211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2,90</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310,645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103,548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1685,277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91,86</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15,808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1,756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28,587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4,67</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1,905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0,56</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Інтенсивність транспірації, г/м</w:t>
            </w:r>
            <w:r w:rsidRPr="00CC7883">
              <w:rPr>
                <w:rFonts w:ascii="Times New Roman" w:eastAsia="Calibri" w:hAnsi="Times New Roman" w:cs="Times New Roman"/>
                <w:i/>
                <w:color w:val="000000" w:themeColor="text1"/>
                <w:kern w:val="0"/>
                <w:sz w:val="28"/>
                <w:szCs w:val="28"/>
                <w:vertAlign w:val="superscript"/>
              </w:rPr>
              <w:t>2</w:t>
            </w:r>
            <w:r w:rsidRPr="00CC7883">
              <w:rPr>
                <w:rFonts w:ascii="Times New Roman" w:eastAsia="Calibri" w:hAnsi="Times New Roman" w:cs="Times New Roman"/>
                <w:i/>
                <w:color w:val="000000" w:themeColor="text1"/>
                <w:kern w:val="0"/>
                <w:sz w:val="28"/>
                <w:szCs w:val="28"/>
              </w:rPr>
              <w:t>×год</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5 хв</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0,315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0,105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4,048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2,45</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9,910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3,303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127,356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77,02</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1,838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0,204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7,875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14,29</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0,804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6,25</w:t>
            </w:r>
          </w:p>
        </w:tc>
      </w:tr>
      <w:tr w:rsidR="00854E40" w:rsidRPr="00CC7883" w:rsidTr="000A69CE">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Через 10 хв</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8,498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2,833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54,669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10,71</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40,050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13,350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257,649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50,47</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29,197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62,609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36,79</w:t>
            </w:r>
          </w:p>
        </w:tc>
      </w:tr>
      <w:tr w:rsidR="00854E40" w:rsidRPr="00CC7883" w:rsidTr="000A69CE">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0,052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2,02</w:t>
            </w:r>
          </w:p>
        </w:tc>
      </w:tr>
    </w:tbl>
    <w:p w:rsidR="00854E40" w:rsidRPr="00CC7883" w:rsidRDefault="00854E40" w:rsidP="00047411">
      <w:pPr>
        <w:widowControl w:val="0"/>
        <w:spacing w:line="259" w:lineRule="auto"/>
        <w:rPr>
          <w:rFonts w:ascii="Times New Roman" w:eastAsia="Calibri" w:hAnsi="Times New Roman" w:cs="Times New Roman"/>
          <w:color w:val="000000" w:themeColor="text1"/>
          <w:kern w:val="0"/>
          <w:sz w:val="28"/>
          <w:szCs w:val="28"/>
        </w:rPr>
        <w:sectPr w:rsidR="00854E40" w:rsidRPr="00CC7883" w:rsidSect="00B610AB">
          <w:footerReference w:type="default" r:id="rId235"/>
          <w:pgSz w:w="16838" w:h="11906" w:orient="landscape" w:code="9"/>
          <w:pgMar w:top="1701" w:right="1134" w:bottom="850" w:left="1134" w:header="708" w:footer="708" w:gutter="0"/>
          <w:cols w:space="708"/>
          <w:docGrid w:linePitch="360"/>
        </w:sectPr>
      </w:pPr>
    </w:p>
    <w:p w:rsidR="002E6573" w:rsidRPr="00CC7883" w:rsidRDefault="002E6573"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7B45D6">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10</w:t>
      </w:r>
    </w:p>
    <w:p w:rsidR="002E6573" w:rsidRPr="00CC7883" w:rsidRDefault="002E6573" w:rsidP="00047411">
      <w:pPr>
        <w:widowControl w:val="0"/>
        <w:spacing w:line="259" w:lineRule="auto"/>
        <w:jc w:val="center"/>
        <w:rPr>
          <w:rFonts w:ascii="Times New Roman" w:eastAsia="Calibri" w:hAnsi="Times New Roman" w:cs="Times New Roman"/>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5</w:t>
      </w:r>
      <w:r w:rsidR="00C44A5C">
        <w:rPr>
          <w:rFonts w:ascii="Times New Roman" w:eastAsia="Calibri" w:hAnsi="Times New Roman" w:cs="Times New Roman"/>
          <w:b/>
          <w:color w:val="000000" w:themeColor="text1"/>
          <w:kern w:val="0"/>
          <w:sz w:val="28"/>
          <w:szCs w:val="28"/>
          <w:lang w:val="ru-RU"/>
        </w:rPr>
        <w:t xml:space="preserve"> </w:t>
      </w:r>
      <w:r w:rsidR="003E6D23" w:rsidRPr="00CC7883">
        <w:rPr>
          <w:rFonts w:ascii="Times New Roman" w:eastAsia="Calibri" w:hAnsi="Times New Roman" w:cs="Times New Roman"/>
          <w:b/>
          <w:color w:val="000000" w:themeColor="text1"/>
          <w:kern w:val="0"/>
          <w:sz w:val="28"/>
          <w:szCs w:val="28"/>
        </w:rPr>
        <w:t>(дослід 2)</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854E40" w:rsidRPr="00CC7883" w:rsidTr="007B45D6">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7B45D6">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води у коренях, %</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18,488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6,163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32,238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7,67</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118,715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39,572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207,002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49,28</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97,787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10,865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56,836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40,59</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5,926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0,191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2,46</w:t>
            </w:r>
          </w:p>
        </w:tc>
      </w:tr>
      <w:tr w:rsidR="00854E40" w:rsidRPr="00CC7883" w:rsidTr="007B45D6">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 xml:space="preserve">Вміст </w:t>
            </w:r>
            <w:r w:rsidR="00C87671" w:rsidRPr="00C87671">
              <w:rPr>
                <w:rFonts w:ascii="Times New Roman" w:hAnsi="Times New Roman" w:cs="Times New Roman"/>
                <w:i/>
                <w:iCs/>
                <w:color w:val="000000" w:themeColor="text1"/>
                <w:sz w:val="28"/>
                <w:szCs w:val="28"/>
              </w:rPr>
              <w:t>легкоутримуваної</w:t>
            </w:r>
            <w:r w:rsidRPr="00CC7883">
              <w:rPr>
                <w:rFonts w:ascii="Times New Roman" w:eastAsia="Calibri" w:hAnsi="Times New Roman" w:cs="Times New Roman"/>
                <w:i/>
                <w:color w:val="000000" w:themeColor="text1"/>
                <w:kern w:val="0"/>
                <w:sz w:val="28"/>
                <w:szCs w:val="28"/>
              </w:rPr>
              <w:t xml:space="preserve"> води у коренях, %</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725,207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241,736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1675,222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13,88</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2997,456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999,152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6924,093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57,37</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1497,869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166,430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1153,354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28,67</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4,473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w:t>
            </w:r>
          </w:p>
        </w:tc>
      </w:tr>
      <w:tr w:rsidR="00854E40" w:rsidRPr="00CC7883" w:rsidTr="007B45D6">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сухих речовин у коренях, %</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18,576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6,192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71,163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7,81</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118,949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39,650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455,688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50,01</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97,637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10,849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124,681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41,05</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1,13</w:t>
            </w:r>
          </w:p>
        </w:tc>
      </w:tr>
    </w:tbl>
    <w:p w:rsidR="00854E40" w:rsidRPr="00CC7883" w:rsidRDefault="00854E40" w:rsidP="00047411">
      <w:pPr>
        <w:widowControl w:val="0"/>
        <w:spacing w:line="259" w:lineRule="auto"/>
        <w:jc w:val="right"/>
        <w:rPr>
          <w:rFonts w:ascii="Times New Roman" w:eastAsia="Calibri" w:hAnsi="Times New Roman" w:cs="Times New Roman"/>
          <w:i/>
          <w:color w:val="000000" w:themeColor="text1"/>
          <w:kern w:val="0"/>
          <w:sz w:val="28"/>
          <w:szCs w:val="28"/>
        </w:rPr>
        <w:sectPr w:rsidR="00854E40" w:rsidRPr="00CC7883" w:rsidSect="00B610AB">
          <w:footerReference w:type="default" r:id="rId236"/>
          <w:pgSz w:w="16838" w:h="11906" w:orient="landscape" w:code="9"/>
          <w:pgMar w:top="1701" w:right="1134" w:bottom="851" w:left="1134" w:header="709" w:footer="709" w:gutter="0"/>
          <w:cols w:space="708"/>
          <w:docGrid w:linePitch="360"/>
        </w:sectPr>
      </w:pPr>
    </w:p>
    <w:p w:rsidR="002E6573" w:rsidRPr="00CC7883" w:rsidRDefault="002E6573"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7B45D6">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11</w:t>
      </w:r>
    </w:p>
    <w:p w:rsidR="002E6573" w:rsidRPr="00CC7883" w:rsidRDefault="002E6573" w:rsidP="00047411">
      <w:pPr>
        <w:widowControl w:val="0"/>
        <w:spacing w:line="259" w:lineRule="auto"/>
        <w:jc w:val="center"/>
        <w:rPr>
          <w:rFonts w:ascii="Times New Roman" w:eastAsia="Calibri" w:hAnsi="Times New Roman" w:cs="Times New Roman"/>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Cs/>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5</w:t>
      </w:r>
      <w:r w:rsidR="003E6D23" w:rsidRPr="00CC7883">
        <w:rPr>
          <w:rFonts w:ascii="Times New Roman" w:eastAsia="Calibri" w:hAnsi="Times New Roman" w:cs="Times New Roman"/>
          <w:b/>
          <w:color w:val="000000" w:themeColor="text1"/>
          <w:kern w:val="0"/>
          <w:sz w:val="28"/>
          <w:szCs w:val="28"/>
        </w:rPr>
        <w:t xml:space="preserve"> (дослід 2)</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854E40" w:rsidRPr="00CC7883" w:rsidTr="007B45D6">
        <w:trPr>
          <w:cantSplit/>
          <w:trHeight w:val="1454"/>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7B45D6">
        <w:trPr>
          <w:cantSplit/>
          <w:trHeight w:val="355"/>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7B45D6">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Листки</w:t>
            </w:r>
          </w:p>
        </w:tc>
      </w:tr>
      <w:tr w:rsidR="00854E40" w:rsidRPr="00CC7883" w:rsidTr="007B45D6">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хлорофілу a, мг/г вологої маси</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0,889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0,296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16806,408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29,38</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1,713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0,571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32382,738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56,62</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0,423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2665,486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13,98</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w:t>
            </w:r>
          </w:p>
        </w:tc>
      </w:tr>
      <w:tr w:rsidR="00854E40" w:rsidRPr="00CC7883" w:rsidTr="007B45D6">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хлорофілу b, мг/г вологої маси</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0,208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9155,848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53,22</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0,113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4951,365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28,78</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1028,733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17,94</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w:t>
            </w:r>
          </w:p>
        </w:tc>
      </w:tr>
      <w:tr w:rsidR="00854E40" w:rsidRPr="00CC7883" w:rsidTr="007B45D6">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Сума хлорофілів a і b, мг/г вологої маси</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1,921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0,640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22950,121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35,68</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2,702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0,901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32277,180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50,19</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0,760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3025,415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14,11</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w:t>
            </w:r>
          </w:p>
        </w:tc>
      </w:tr>
    </w:tbl>
    <w:p w:rsidR="002E6573" w:rsidRPr="00CC7883" w:rsidRDefault="002E6573" w:rsidP="00047411">
      <w:pPr>
        <w:widowControl w:val="0"/>
        <w:rPr>
          <w:color w:val="000000" w:themeColor="text1"/>
        </w:rPr>
        <w:sectPr w:rsidR="002E6573" w:rsidRPr="00CC7883" w:rsidSect="00B610AB">
          <w:footerReference w:type="default" r:id="rId237"/>
          <w:pgSz w:w="16838" w:h="11906" w:orient="landscape" w:code="9"/>
          <w:pgMar w:top="1701" w:right="1134" w:bottom="850" w:left="1134" w:header="708" w:footer="708" w:gutter="0"/>
          <w:cols w:space="708"/>
          <w:docGrid w:linePitch="360"/>
        </w:sectPr>
      </w:pPr>
    </w:p>
    <w:p w:rsidR="007B395A" w:rsidRPr="00CC7883" w:rsidRDefault="00DB65BA" w:rsidP="007B45D6">
      <w:pPr>
        <w:widowControl w:val="0"/>
        <w:spacing w:line="259" w:lineRule="auto"/>
        <w:ind w:left="10635" w:right="105"/>
        <w:jc w:val="center"/>
        <w:rPr>
          <w:rFonts w:ascii="Times New Roman" w:eastAsia="Calibri" w:hAnsi="Times New Roman" w:cs="Times New Roman"/>
          <w:color w:val="000000" w:themeColor="text1"/>
          <w:kern w:val="0"/>
        </w:rPr>
      </w:pPr>
      <w:r>
        <w:rPr>
          <w:rFonts w:ascii="Times New Roman" w:eastAsia="Calibri" w:hAnsi="Times New Roman" w:cs="Times New Roman"/>
          <w:color w:val="000000" w:themeColor="text1"/>
          <w:kern w:val="0"/>
        </w:rPr>
        <w:lastRenderedPageBreak/>
        <w:t xml:space="preserve">    </w:t>
      </w:r>
      <w:r w:rsidR="007B395A"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7B395A" w:rsidRPr="00CC7883">
        <w:rPr>
          <w:rFonts w:ascii="Times New Roman" w:eastAsia="Calibri" w:hAnsi="Times New Roman" w:cs="Times New Roman"/>
          <w:color w:val="000000" w:themeColor="text1"/>
          <w:kern w:val="0"/>
        </w:rPr>
        <w:t>11</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2E6573" w:rsidRPr="00CC7883" w:rsidTr="007B45D6">
        <w:trPr>
          <w:jc w:val="center"/>
        </w:trPr>
        <w:tc>
          <w:tcPr>
            <w:tcW w:w="3827"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2E6573" w:rsidRPr="00CC7883" w:rsidRDefault="002E657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7B45D6">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каротиноїдів, мг/г вологої маси</w:t>
            </w:r>
          </w:p>
        </w:tc>
      </w:tr>
      <w:tr w:rsidR="00854E40" w:rsidRPr="00CC7883" w:rsidTr="007B45D6">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5007,107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27,54</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0,248</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0,083</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12955,475</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71,26</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69,559</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1,15</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w:t>
            </w:r>
          </w:p>
        </w:tc>
      </w:tr>
      <w:tr w:rsidR="000D346D" w:rsidRPr="00CC7883" w:rsidTr="007B45D6">
        <w:trPr>
          <w:jc w:val="center"/>
        </w:trPr>
        <w:tc>
          <w:tcPr>
            <w:tcW w:w="13623" w:type="dxa"/>
            <w:gridSpan w:val="8"/>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Пагони</w:t>
            </w:r>
          </w:p>
        </w:tc>
      </w:tr>
      <w:tr w:rsidR="000D346D" w:rsidRPr="00CC7883" w:rsidTr="007B45D6">
        <w:trPr>
          <w:jc w:val="center"/>
        </w:trPr>
        <w:tc>
          <w:tcPr>
            <w:tcW w:w="13623" w:type="dxa"/>
            <w:gridSpan w:val="8"/>
          </w:tcPr>
          <w:p w:rsidR="000D346D" w:rsidRPr="00CC7883" w:rsidRDefault="000D346D"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хлорофілу a, мг/г вологої маси</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0,015</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0,005</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605,467</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32,36</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0,028</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0,009</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1112,243</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59,44</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0,004</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47,724</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7,65</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0,55</w:t>
            </w:r>
          </w:p>
        </w:tc>
      </w:tr>
      <w:tr w:rsidR="000D346D" w:rsidRPr="00CC7883" w:rsidTr="007B45D6">
        <w:trPr>
          <w:jc w:val="center"/>
        </w:trPr>
        <w:tc>
          <w:tcPr>
            <w:tcW w:w="13623" w:type="dxa"/>
            <w:gridSpan w:val="8"/>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хлорофілу b, мг/г вологої маси</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118,085</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23,95</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0,005</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281,820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57,16</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27,594</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16,79</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2,10</w:t>
            </w:r>
          </w:p>
        </w:tc>
      </w:tr>
      <w:tr w:rsidR="000D346D" w:rsidRPr="00CC7883" w:rsidTr="007B45D6">
        <w:trPr>
          <w:jc w:val="center"/>
        </w:trPr>
        <w:tc>
          <w:tcPr>
            <w:tcW w:w="13623" w:type="dxa"/>
            <w:gridSpan w:val="8"/>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Сума хлорофілів a і b, мг/г вологої маси</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118,085</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23,95</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0,005</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281,820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57,16</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0,002</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27,594</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16,79</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2,10</w:t>
            </w:r>
          </w:p>
        </w:tc>
      </w:tr>
      <w:tr w:rsidR="000D346D" w:rsidRPr="00CC7883" w:rsidTr="007B45D6">
        <w:trPr>
          <w:jc w:val="center"/>
        </w:trPr>
        <w:tc>
          <w:tcPr>
            <w:tcW w:w="13623" w:type="dxa"/>
            <w:gridSpan w:val="8"/>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Вміст каротиноїдів, мг/г вологої маси</w:t>
            </w:r>
          </w:p>
        </w:tc>
      </w:tr>
      <w:tr w:rsidR="000D346D" w:rsidRPr="00CC7883" w:rsidTr="007B45D6">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0,009</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0,003</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391,441</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80,68</w:t>
            </w:r>
          </w:p>
        </w:tc>
      </w:tr>
    </w:tbl>
    <w:p w:rsidR="00FC1009" w:rsidRPr="00CC7883" w:rsidRDefault="00FC1009" w:rsidP="00047411">
      <w:pPr>
        <w:widowControl w:val="0"/>
        <w:rPr>
          <w:color w:val="000000" w:themeColor="text1"/>
        </w:rPr>
        <w:sectPr w:rsidR="00FC1009" w:rsidRPr="00CC7883" w:rsidSect="00B610AB">
          <w:footerReference w:type="default" r:id="rId238"/>
          <w:pgSz w:w="16838" w:h="11906" w:orient="landscape" w:code="9"/>
          <w:pgMar w:top="1701" w:right="1134" w:bottom="851" w:left="1134" w:header="709" w:footer="709" w:gutter="0"/>
          <w:cols w:space="708"/>
          <w:docGrid w:linePitch="360"/>
        </w:sectPr>
      </w:pPr>
    </w:p>
    <w:p w:rsidR="00FC1009" w:rsidRPr="00CC7883" w:rsidRDefault="00DB65BA" w:rsidP="00DB65BA">
      <w:pPr>
        <w:widowControl w:val="0"/>
        <w:ind w:left="9926" w:firstLine="709"/>
        <w:jc w:val="center"/>
        <w:rPr>
          <w:color w:val="000000" w:themeColor="text1"/>
        </w:rPr>
      </w:pPr>
      <w:r>
        <w:rPr>
          <w:rFonts w:ascii="Times New Roman" w:eastAsia="Calibri" w:hAnsi="Times New Roman" w:cs="Times New Roman"/>
          <w:color w:val="000000" w:themeColor="text1"/>
          <w:kern w:val="0"/>
          <w:szCs w:val="28"/>
        </w:rPr>
        <w:lastRenderedPageBreak/>
        <w:t xml:space="preserve">  </w:t>
      </w:r>
      <w:r w:rsidR="00C44A5C" w:rsidRPr="00CC7883">
        <w:rPr>
          <w:rFonts w:ascii="Times New Roman" w:eastAsia="Calibri" w:hAnsi="Times New Roman" w:cs="Times New Roman"/>
          <w:color w:val="000000" w:themeColor="text1"/>
          <w:kern w:val="0"/>
          <w:szCs w:val="28"/>
        </w:rPr>
        <w:t xml:space="preserve">Продовження додатку </w:t>
      </w:r>
      <w:r w:rsidR="00FC1009" w:rsidRPr="00CC7883">
        <w:rPr>
          <w:rFonts w:ascii="Times New Roman" w:eastAsia="Calibri" w:hAnsi="Times New Roman" w:cs="Times New Roman"/>
          <w:color w:val="000000" w:themeColor="text1"/>
          <w:kern w:val="0"/>
        </w:rPr>
        <w:t>Г.</w:t>
      </w:r>
      <w:r>
        <w:rPr>
          <w:rFonts w:ascii="Times New Roman" w:eastAsia="Calibri" w:hAnsi="Times New Roman" w:cs="Times New Roman"/>
          <w:color w:val="000000" w:themeColor="text1"/>
          <w:kern w:val="0"/>
        </w:rPr>
        <w:t xml:space="preserve"> </w:t>
      </w:r>
      <w:r w:rsidR="00FC1009" w:rsidRPr="00CC7883">
        <w:rPr>
          <w:rFonts w:ascii="Times New Roman" w:eastAsia="Calibri" w:hAnsi="Times New Roman" w:cs="Times New Roman"/>
          <w:color w:val="000000" w:themeColor="text1"/>
          <w:kern w:val="0"/>
        </w:rPr>
        <w:t>11</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FC1009" w:rsidRPr="00CC7883" w:rsidTr="00DB65BA">
        <w:trPr>
          <w:trHeight w:val="327"/>
          <w:jc w:val="center"/>
        </w:trPr>
        <w:tc>
          <w:tcPr>
            <w:tcW w:w="3827" w:type="dxa"/>
          </w:tcPr>
          <w:p w:rsidR="00FC1009" w:rsidRPr="00CC7883" w:rsidRDefault="00FC100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FC1009" w:rsidRPr="00CC7883" w:rsidRDefault="00FC100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FC1009" w:rsidRPr="00CC7883" w:rsidRDefault="00FC100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FC1009" w:rsidRPr="00CC7883" w:rsidRDefault="00FC100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FC1009" w:rsidRPr="00CC7883" w:rsidRDefault="00FC100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FC1009" w:rsidRPr="00CC7883" w:rsidRDefault="00FC100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FC1009" w:rsidRPr="00CC7883" w:rsidRDefault="00FC1009" w:rsidP="00047411">
            <w:pPr>
              <w:widowControl w:val="0"/>
              <w:spacing w:after="0" w:line="240" w:lineRule="auto"/>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149" w:type="dxa"/>
          </w:tcPr>
          <w:p w:rsidR="00FC1009" w:rsidRPr="00CC7883" w:rsidRDefault="00FC1009"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0D346D" w:rsidRPr="00CC7883" w:rsidTr="00DB65BA">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0,001</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65,059</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13,41</w:t>
            </w:r>
          </w:p>
        </w:tc>
      </w:tr>
      <w:tr w:rsidR="000D346D" w:rsidRPr="00CC7883" w:rsidTr="00DB65BA">
        <w:trPr>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6,106</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3,78</w:t>
            </w:r>
          </w:p>
        </w:tc>
      </w:tr>
      <w:tr w:rsidR="000D346D" w:rsidRPr="00CC7883" w:rsidTr="00DB65BA">
        <w:trPr>
          <w:trHeight w:val="327"/>
          <w:jc w:val="center"/>
        </w:trPr>
        <w:tc>
          <w:tcPr>
            <w:tcW w:w="3827" w:type="dxa"/>
          </w:tcPr>
          <w:p w:rsidR="000D346D" w:rsidRPr="00CC7883" w:rsidRDefault="000D346D"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85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0,000</w:t>
            </w: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sz w:val="28"/>
                <w:szCs w:val="28"/>
              </w:rPr>
            </w:pPr>
          </w:p>
        </w:tc>
        <w:tc>
          <w:tcPr>
            <w:tcW w:w="1149" w:type="dxa"/>
          </w:tcPr>
          <w:p w:rsidR="000D346D" w:rsidRPr="00CC7883" w:rsidRDefault="000D346D"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2,13</w:t>
            </w:r>
          </w:p>
        </w:tc>
      </w:tr>
    </w:tbl>
    <w:p w:rsidR="000D346D" w:rsidRPr="00CC7883" w:rsidRDefault="000D346D" w:rsidP="00047411">
      <w:pPr>
        <w:widowControl w:val="0"/>
        <w:spacing w:line="259" w:lineRule="auto"/>
        <w:jc w:val="center"/>
        <w:rPr>
          <w:rFonts w:ascii="Times New Roman" w:eastAsia="Calibri" w:hAnsi="Times New Roman" w:cs="Times New Roman"/>
          <w:b/>
          <w:color w:val="000000" w:themeColor="text1"/>
          <w:kern w:val="0"/>
          <w:sz w:val="28"/>
          <w:szCs w:val="28"/>
        </w:rPr>
        <w:sectPr w:rsidR="000D346D" w:rsidRPr="00CC7883" w:rsidSect="00B610AB">
          <w:footerReference w:type="default" r:id="rId239"/>
          <w:pgSz w:w="16838" w:h="11906" w:orient="landscape" w:code="9"/>
          <w:pgMar w:top="1701" w:right="1134" w:bottom="851" w:left="1134" w:header="709" w:footer="709" w:gutter="0"/>
          <w:cols w:space="708"/>
          <w:docGrid w:linePitch="360"/>
        </w:sectPr>
      </w:pPr>
    </w:p>
    <w:p w:rsidR="007B395A" w:rsidRPr="00CC7883" w:rsidRDefault="007B395A" w:rsidP="00047411">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9D63B0">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12</w:t>
      </w:r>
    </w:p>
    <w:p w:rsidR="007B395A" w:rsidRPr="00CC7883" w:rsidRDefault="007B395A" w:rsidP="00047411">
      <w:pPr>
        <w:widowControl w:val="0"/>
        <w:spacing w:line="259" w:lineRule="auto"/>
        <w:jc w:val="center"/>
        <w:rPr>
          <w:rFonts w:ascii="Times New Roman" w:eastAsia="Calibri" w:hAnsi="Times New Roman" w:cs="Times New Roman"/>
          <w:color w:val="000000" w:themeColor="text1"/>
          <w:kern w:val="0"/>
          <w:sz w:val="28"/>
          <w:szCs w:val="28"/>
        </w:rPr>
      </w:pPr>
    </w:p>
    <w:p w:rsidR="00854E40" w:rsidRPr="00CC7883" w:rsidRDefault="00854E40" w:rsidP="00047411">
      <w:pPr>
        <w:widowControl w:val="0"/>
        <w:spacing w:line="259"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6</w:t>
      </w:r>
      <w:r w:rsidR="003E6D23" w:rsidRPr="00CC7883">
        <w:rPr>
          <w:rFonts w:ascii="Times New Roman" w:eastAsia="Calibri" w:hAnsi="Times New Roman" w:cs="Times New Roman"/>
          <w:b/>
          <w:color w:val="000000" w:themeColor="text1"/>
          <w:kern w:val="0"/>
          <w:sz w:val="28"/>
          <w:szCs w:val="28"/>
        </w:rPr>
        <w:t xml:space="preserve"> (дослід 1)</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515"/>
        <w:gridCol w:w="1730"/>
        <w:gridCol w:w="850"/>
        <w:gridCol w:w="1560"/>
        <w:gridCol w:w="1701"/>
        <w:gridCol w:w="1701"/>
        <w:gridCol w:w="1417"/>
        <w:gridCol w:w="1149"/>
      </w:tblGrid>
      <w:tr w:rsidR="00854E40" w:rsidRPr="00CC7883" w:rsidTr="009D63B0">
        <w:trPr>
          <w:cantSplit/>
          <w:trHeight w:val="1454"/>
          <w:jc w:val="center"/>
        </w:trPr>
        <w:tc>
          <w:tcPr>
            <w:tcW w:w="3515"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extDirection w:val="btLr"/>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9D63B0">
        <w:trPr>
          <w:cantSplit/>
          <w:trHeight w:val="214"/>
          <w:jc w:val="center"/>
        </w:trPr>
        <w:tc>
          <w:tcPr>
            <w:tcW w:w="3515"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9D63B0">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Кількість продихів на 1 мм</w:t>
            </w:r>
            <w:r w:rsidRPr="00CC7883">
              <w:rPr>
                <w:rFonts w:ascii="Times New Roman" w:eastAsia="Calibri" w:hAnsi="Times New Roman" w:cs="Times New Roman"/>
                <w:i/>
                <w:color w:val="000000" w:themeColor="text1"/>
                <w:kern w:val="0"/>
                <w:sz w:val="28"/>
                <w:szCs w:val="28"/>
                <w:vertAlign w:val="superscript"/>
              </w:rPr>
              <w:t>2</w:t>
            </w:r>
            <w:r w:rsidRPr="00CC7883">
              <w:rPr>
                <w:rFonts w:ascii="Times New Roman" w:eastAsia="Calibri" w:hAnsi="Times New Roman" w:cs="Times New Roman"/>
                <w:i/>
                <w:color w:val="000000" w:themeColor="text1"/>
                <w:kern w:val="0"/>
                <w:sz w:val="28"/>
                <w:szCs w:val="28"/>
              </w:rPr>
              <w:t>, шт.</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1559,666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519,889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5473,861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28,63</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68,944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68,944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725,900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1,27</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3689,403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737,881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7769,077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67,73</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1,724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0,575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6,051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109,363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7,291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76,765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2,01</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5,491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1,098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11,563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0,10</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3,291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0,235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2,475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9,213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0,17</w:t>
            </w:r>
          </w:p>
        </w:tc>
      </w:tr>
      <w:tr w:rsidR="00854E40" w:rsidRPr="00CC7883" w:rsidTr="009D63B0">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 xml:space="preserve">Кількість продихів на листковій </w:t>
            </w:r>
            <w:r w:rsidR="008D163E" w:rsidRPr="00CC7883">
              <w:rPr>
                <w:rFonts w:ascii="Times New Roman" w:eastAsia="Calibri" w:hAnsi="Times New Roman" w:cs="Times New Roman"/>
                <w:i/>
                <w:color w:val="000000" w:themeColor="text1"/>
                <w:kern w:val="0"/>
                <w:sz w:val="28"/>
                <w:szCs w:val="28"/>
              </w:rPr>
              <w:t>пластиці</w:t>
            </w:r>
            <w:r w:rsidRPr="00CC7883">
              <w:rPr>
                <w:rFonts w:ascii="Times New Roman" w:eastAsia="Calibri" w:hAnsi="Times New Roman" w:cs="Times New Roman"/>
                <w:i/>
                <w:color w:val="000000" w:themeColor="text1"/>
                <w:kern w:val="0"/>
                <w:sz w:val="28"/>
                <w:szCs w:val="28"/>
              </w:rPr>
              <w:t>, шт.</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2910402,397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970134,132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68875,269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54,92</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306850,770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306850,770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21785,059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5,79</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1753989,595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350797,919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24905,114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33,10</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25864,006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8621,335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612,077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0,49</w:t>
            </w:r>
          </w:p>
        </w:tc>
      </w:tr>
      <w:tr w:rsidR="00854E40" w:rsidRPr="00CC7883" w:rsidTr="009D63B0">
        <w:trPr>
          <w:jc w:val="center"/>
        </w:trPr>
        <w:tc>
          <w:tcPr>
            <w:tcW w:w="3515"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73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208949,512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13929,967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988,967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3,94</w:t>
            </w:r>
          </w:p>
        </w:tc>
      </w:tr>
    </w:tbl>
    <w:p w:rsidR="00854E40" w:rsidRPr="00CC7883" w:rsidRDefault="00854E40" w:rsidP="00047411">
      <w:pPr>
        <w:widowControl w:val="0"/>
        <w:spacing w:line="259" w:lineRule="auto"/>
        <w:rPr>
          <w:rFonts w:ascii="Times New Roman" w:eastAsia="Calibri" w:hAnsi="Times New Roman" w:cs="Times New Roman"/>
          <w:color w:val="000000" w:themeColor="text1"/>
          <w:kern w:val="0"/>
          <w:sz w:val="22"/>
          <w:szCs w:val="22"/>
        </w:rPr>
        <w:sectPr w:rsidR="00854E40" w:rsidRPr="00CC7883" w:rsidSect="00B610AB">
          <w:footerReference w:type="default" r:id="rId240"/>
          <w:pgSz w:w="16838" w:h="11906" w:orient="landscape" w:code="9"/>
          <w:pgMar w:top="1701" w:right="1134" w:bottom="851" w:left="1134" w:header="709" w:footer="709" w:gutter="0"/>
          <w:cols w:space="708"/>
          <w:docGrid w:linePitch="360"/>
        </w:sectPr>
      </w:pPr>
    </w:p>
    <w:p w:rsidR="00854E40" w:rsidRPr="00CC7883" w:rsidRDefault="009D63B0" w:rsidP="009D63B0">
      <w:pPr>
        <w:widowControl w:val="0"/>
        <w:spacing w:line="259" w:lineRule="auto"/>
        <w:ind w:left="9926" w:right="105" w:firstLine="709"/>
        <w:jc w:val="center"/>
        <w:rPr>
          <w:rFonts w:ascii="Times New Roman" w:eastAsia="Calibri" w:hAnsi="Times New Roman" w:cs="Times New Roman"/>
          <w:color w:val="000000" w:themeColor="text1"/>
          <w:kern w:val="0"/>
          <w:sz w:val="20"/>
          <w:szCs w:val="20"/>
        </w:rPr>
      </w:pPr>
      <w:r>
        <w:rPr>
          <w:rFonts w:ascii="Times New Roman" w:eastAsia="Calibri" w:hAnsi="Times New Roman" w:cs="Times New Roman"/>
          <w:color w:val="000000" w:themeColor="text1"/>
          <w:kern w:val="0"/>
        </w:rPr>
        <w:lastRenderedPageBreak/>
        <w:t xml:space="preserve">   </w:t>
      </w:r>
      <w:r w:rsidR="00B07113" w:rsidRPr="00CC7883">
        <w:rPr>
          <w:rFonts w:ascii="Times New Roman" w:eastAsia="Calibri" w:hAnsi="Times New Roman" w:cs="Times New Roman"/>
          <w:color w:val="000000" w:themeColor="text1"/>
          <w:kern w:val="0"/>
        </w:rPr>
        <w:t xml:space="preserve">Продовження </w:t>
      </w:r>
      <w:r w:rsidR="007B395A" w:rsidRPr="00CC7883">
        <w:rPr>
          <w:rFonts w:ascii="Times New Roman" w:eastAsia="Calibri" w:hAnsi="Times New Roman" w:cs="Times New Roman"/>
          <w:color w:val="000000" w:themeColor="text1"/>
          <w:kern w:val="0"/>
        </w:rPr>
        <w:t>додатку</w:t>
      </w:r>
      <w:r w:rsidR="00B07113" w:rsidRPr="00CC7883">
        <w:rPr>
          <w:rFonts w:ascii="Times New Roman" w:eastAsia="Calibri" w:hAnsi="Times New Roman" w:cs="Times New Roman"/>
          <w:color w:val="000000" w:themeColor="text1"/>
          <w:kern w:val="0"/>
        </w:rPr>
        <w:t xml:space="preserve"> Г</w:t>
      </w:r>
      <w:r w:rsidR="00494889" w:rsidRPr="00CC7883">
        <w:rPr>
          <w:rFonts w:ascii="Times New Roman" w:eastAsia="Calibri" w:hAnsi="Times New Roman" w:cs="Times New Roman"/>
          <w:color w:val="000000" w:themeColor="text1"/>
          <w:kern w:val="0"/>
        </w:rPr>
        <w:t>.</w:t>
      </w:r>
      <w:r>
        <w:rPr>
          <w:rFonts w:ascii="Times New Roman" w:eastAsia="Calibri" w:hAnsi="Times New Roman" w:cs="Times New Roman"/>
          <w:color w:val="000000" w:themeColor="text1"/>
          <w:kern w:val="0"/>
        </w:rPr>
        <w:t xml:space="preserve"> </w:t>
      </w:r>
      <w:r w:rsidR="00494889" w:rsidRPr="00CC7883">
        <w:rPr>
          <w:rFonts w:ascii="Times New Roman" w:eastAsia="Calibri" w:hAnsi="Times New Roman" w:cs="Times New Roman"/>
          <w:color w:val="000000" w:themeColor="text1"/>
          <w:kern w:val="0"/>
        </w:rPr>
        <w:t>12</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854E40" w:rsidRPr="00CC7883" w:rsidTr="009D63B0">
        <w:trPr>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24347,866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4869,573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345,718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0,46</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67330,739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4809,338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341,442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1,27</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1366,282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14,085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w:t>
            </w:r>
          </w:p>
        </w:tc>
      </w:tr>
      <w:tr w:rsidR="00854E40" w:rsidRPr="00CC7883" w:rsidTr="009D63B0">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Довжина продих</w:t>
            </w:r>
            <w:r w:rsidR="008D163E" w:rsidRPr="00CC7883">
              <w:rPr>
                <w:rFonts w:ascii="Times New Roman" w:eastAsia="Calibri" w:hAnsi="Times New Roman" w:cs="Times New Roman"/>
                <w:i/>
                <w:color w:val="000000" w:themeColor="text1"/>
                <w:kern w:val="0"/>
                <w:sz w:val="28"/>
                <w:szCs w:val="28"/>
              </w:rPr>
              <w:t>ів</w:t>
            </w:r>
            <w:r w:rsidRPr="00CC7883">
              <w:rPr>
                <w:rFonts w:ascii="Times New Roman" w:eastAsia="Calibri" w:hAnsi="Times New Roman" w:cs="Times New Roman"/>
                <w:i/>
                <w:color w:val="000000" w:themeColor="text1"/>
                <w:kern w:val="0"/>
                <w:sz w:val="28"/>
                <w:szCs w:val="28"/>
              </w:rPr>
              <w:t>, мкм</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96,760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32,253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381,610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20,12</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6,309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6,309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74,650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1,31</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340,757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68,151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806,341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70,87</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0,316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0,105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1,246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22,400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1,493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17,669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4,66</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4,549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10,763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0,95</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1,540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1,302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0,22</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0,32</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8,198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1,71</w:t>
            </w:r>
          </w:p>
        </w:tc>
      </w:tr>
      <w:tr w:rsidR="00854E40" w:rsidRPr="00CC7883" w:rsidTr="009D63B0">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Ширина продих</w:t>
            </w:r>
            <w:r w:rsidR="008D163E" w:rsidRPr="00CC7883">
              <w:rPr>
                <w:rFonts w:ascii="Times New Roman" w:eastAsia="Calibri" w:hAnsi="Times New Roman" w:cs="Times New Roman"/>
                <w:i/>
                <w:color w:val="000000" w:themeColor="text1"/>
                <w:kern w:val="0"/>
                <w:sz w:val="28"/>
                <w:szCs w:val="28"/>
              </w:rPr>
              <w:t>ів</w:t>
            </w:r>
            <w:r w:rsidRPr="00CC7883">
              <w:rPr>
                <w:rFonts w:ascii="Times New Roman" w:eastAsia="Calibri" w:hAnsi="Times New Roman" w:cs="Times New Roman"/>
                <w:i/>
                <w:color w:val="000000" w:themeColor="text1"/>
                <w:kern w:val="0"/>
                <w:sz w:val="28"/>
                <w:szCs w:val="28"/>
              </w:rPr>
              <w:t>, мкм</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77,638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25,879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314,386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12,90</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12,923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12,923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156,989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2,15</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459,652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91,930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1116,777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76,37</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0,217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0,879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0,45</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0,04</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36,507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2,434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29,566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6,07</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2,254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0,451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5,475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0,37</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4,660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0,333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4,044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0,77</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7,985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1,33</w:t>
            </w:r>
          </w:p>
        </w:tc>
      </w:tr>
      <w:tr w:rsidR="00854E40" w:rsidRPr="00CC7883" w:rsidTr="009D63B0">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Ширина замикаючої клітини, мкм</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1,085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0,362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4,729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1,75</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0,379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0,379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4,953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0,03</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0,61</w:t>
            </w:r>
          </w:p>
        </w:tc>
      </w:tr>
    </w:tbl>
    <w:p w:rsidR="00854E40" w:rsidRPr="00CC7883" w:rsidRDefault="00854E40" w:rsidP="00047411">
      <w:pPr>
        <w:widowControl w:val="0"/>
        <w:spacing w:line="259" w:lineRule="auto"/>
        <w:rPr>
          <w:rFonts w:ascii="Times New Roman" w:eastAsia="Calibri" w:hAnsi="Times New Roman" w:cs="Times New Roman"/>
          <w:color w:val="000000" w:themeColor="text1"/>
          <w:kern w:val="0"/>
          <w:sz w:val="22"/>
          <w:szCs w:val="22"/>
        </w:rPr>
        <w:sectPr w:rsidR="00854E40" w:rsidRPr="00CC7883" w:rsidSect="00B610AB">
          <w:footerReference w:type="default" r:id="rId241"/>
          <w:pgSz w:w="16838" w:h="11906" w:orient="landscape" w:code="9"/>
          <w:pgMar w:top="1701" w:right="1134" w:bottom="851" w:left="1134" w:header="709" w:footer="709" w:gutter="0"/>
          <w:cols w:space="708"/>
          <w:docGrid w:linePitch="360"/>
        </w:sectPr>
      </w:pPr>
    </w:p>
    <w:p w:rsidR="007B395A" w:rsidRPr="00CC7883" w:rsidRDefault="009D63B0" w:rsidP="009D63B0">
      <w:pPr>
        <w:widowControl w:val="0"/>
        <w:spacing w:line="259" w:lineRule="auto"/>
        <w:ind w:left="9926" w:right="105" w:firstLine="709"/>
        <w:jc w:val="center"/>
        <w:rPr>
          <w:rFonts w:ascii="Times New Roman" w:eastAsia="Calibri" w:hAnsi="Times New Roman" w:cs="Times New Roman"/>
          <w:color w:val="000000" w:themeColor="text1"/>
          <w:kern w:val="0"/>
          <w:sz w:val="20"/>
          <w:szCs w:val="20"/>
        </w:rPr>
      </w:pPr>
      <w:r>
        <w:rPr>
          <w:rFonts w:ascii="Times New Roman" w:eastAsia="Calibri" w:hAnsi="Times New Roman" w:cs="Times New Roman"/>
          <w:color w:val="000000" w:themeColor="text1"/>
          <w:kern w:val="0"/>
        </w:rPr>
        <w:lastRenderedPageBreak/>
        <w:t xml:space="preserve">   </w:t>
      </w:r>
      <w:r w:rsidR="007B395A"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7B395A" w:rsidRPr="00CC7883">
        <w:rPr>
          <w:rFonts w:ascii="Times New Roman" w:eastAsia="Calibri" w:hAnsi="Times New Roman" w:cs="Times New Roman"/>
          <w:color w:val="000000" w:themeColor="text1"/>
          <w:kern w:val="0"/>
        </w:rPr>
        <w:t>12</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417"/>
        <w:gridCol w:w="1149"/>
      </w:tblGrid>
      <w:tr w:rsidR="00854E40" w:rsidRPr="00CC7883" w:rsidTr="009D63B0">
        <w:trPr>
          <w:jc w:val="center"/>
        </w:trPr>
        <w:tc>
          <w:tcPr>
            <w:tcW w:w="382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43,538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8,708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113,850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70,15</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1,109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0,370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4,834</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4,298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0,287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3,746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6,92</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0,615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0,123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1,607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0,17</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0,99</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3,621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0,259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3,382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5,83</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7,419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0,076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11,95</w:t>
            </w:r>
          </w:p>
        </w:tc>
      </w:tr>
      <w:tr w:rsidR="00854E40" w:rsidRPr="00CC7883" w:rsidTr="009D63B0">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Ширина продихової щілини, мкм</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2,940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12,313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0,78</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4,671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4,671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58,683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1,23</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336,981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67,396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846,676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88,86</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4,694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1,565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19,656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1,24</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8,580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0,572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7,186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2,26</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7,896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1,579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19,839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2,08</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5,738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5,149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1,51</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7,721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2,04</w:t>
            </w:r>
          </w:p>
        </w:tc>
      </w:tr>
      <w:tr w:rsidR="00854E40" w:rsidRPr="00CC7883" w:rsidTr="009D63B0">
        <w:trPr>
          <w:jc w:val="center"/>
        </w:trPr>
        <w:tc>
          <w:tcPr>
            <w:tcW w:w="13623"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vertAlign w:val="superscript"/>
              </w:rPr>
            </w:pPr>
            <w:r w:rsidRPr="00CC7883">
              <w:rPr>
                <w:rFonts w:ascii="Times New Roman" w:eastAsia="Calibri" w:hAnsi="Times New Roman" w:cs="Times New Roman"/>
                <w:i/>
                <w:color w:val="000000" w:themeColor="text1"/>
                <w:kern w:val="0"/>
                <w:sz w:val="28"/>
                <w:szCs w:val="28"/>
              </w:rPr>
              <w:t>Площа продих</w:t>
            </w:r>
            <w:r w:rsidR="008D163E" w:rsidRPr="00CC7883">
              <w:rPr>
                <w:rFonts w:ascii="Times New Roman" w:eastAsia="Calibri" w:hAnsi="Times New Roman" w:cs="Times New Roman"/>
                <w:i/>
                <w:color w:val="000000" w:themeColor="text1"/>
                <w:kern w:val="0"/>
                <w:sz w:val="28"/>
                <w:szCs w:val="28"/>
              </w:rPr>
              <w:t>ів</w:t>
            </w:r>
            <w:r w:rsidRPr="00CC7883">
              <w:rPr>
                <w:rFonts w:ascii="Times New Roman" w:eastAsia="Calibri" w:hAnsi="Times New Roman" w:cs="Times New Roman"/>
                <w:i/>
                <w:color w:val="000000" w:themeColor="text1"/>
                <w:kern w:val="0"/>
                <w:sz w:val="28"/>
                <w:szCs w:val="28"/>
              </w:rPr>
              <w:t>, мкм</w:t>
            </w:r>
            <w:r w:rsidRPr="00CC7883">
              <w:rPr>
                <w:rFonts w:ascii="Times New Roman" w:eastAsia="Calibri" w:hAnsi="Times New Roman" w:cs="Times New Roman"/>
                <w:i/>
                <w:color w:val="000000" w:themeColor="text1"/>
                <w:kern w:val="0"/>
                <w:sz w:val="28"/>
                <w:szCs w:val="28"/>
                <w:vertAlign w:val="superscript"/>
              </w:rPr>
              <w:t>2</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2,940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0,980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12,313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0,78</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4,671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4,671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58,683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3,939</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1,23</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336,981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67,396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846,676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88,86</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4,694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1,565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19,656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2,698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1,24</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8,580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0,572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7,186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1,771</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2,26</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7,896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1,579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19,839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2,308</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2,08</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5,738</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0,410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5,149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1,795</w:t>
            </w: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1,51</w:t>
            </w:r>
          </w:p>
        </w:tc>
      </w:tr>
      <w:tr w:rsidR="00854E40" w:rsidRPr="00CC7883" w:rsidTr="009D63B0">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7,721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97</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7"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2,04</w:t>
            </w:r>
          </w:p>
        </w:tc>
      </w:tr>
    </w:tbl>
    <w:p w:rsidR="00854E40" w:rsidRPr="00CC7883" w:rsidRDefault="00854E40" w:rsidP="00047411">
      <w:pPr>
        <w:widowControl w:val="0"/>
        <w:spacing w:line="259" w:lineRule="auto"/>
        <w:jc w:val="right"/>
        <w:rPr>
          <w:rFonts w:ascii="Times New Roman" w:eastAsia="Calibri" w:hAnsi="Times New Roman" w:cs="Times New Roman"/>
          <w:i/>
          <w:color w:val="000000" w:themeColor="text1"/>
          <w:kern w:val="0"/>
          <w:sz w:val="28"/>
          <w:szCs w:val="28"/>
        </w:rPr>
        <w:sectPr w:rsidR="00854E40" w:rsidRPr="00CC7883" w:rsidSect="00B610AB">
          <w:footerReference w:type="default" r:id="rId242"/>
          <w:pgSz w:w="16838" w:h="11906" w:orient="landscape" w:code="9"/>
          <w:pgMar w:top="1701" w:right="1134" w:bottom="851" w:left="1134" w:header="709" w:footer="709" w:gutter="0"/>
          <w:cols w:space="708"/>
          <w:docGrid w:linePitch="360"/>
        </w:sectPr>
      </w:pPr>
    </w:p>
    <w:p w:rsidR="007B395A" w:rsidRPr="00CC7883" w:rsidRDefault="007B395A" w:rsidP="00422BEE">
      <w:pPr>
        <w:widowControl w:val="0"/>
        <w:spacing w:line="259"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lastRenderedPageBreak/>
        <w:t>Додаток Г.</w:t>
      </w:r>
      <w:r w:rsidR="005B534A">
        <w:rPr>
          <w:rFonts w:ascii="Times New Roman" w:eastAsia="Calibri" w:hAnsi="Times New Roman" w:cs="Times New Roman"/>
          <w:color w:val="000000" w:themeColor="text1"/>
          <w:kern w:val="0"/>
          <w:sz w:val="28"/>
          <w:szCs w:val="28"/>
        </w:rPr>
        <w:t xml:space="preserve"> </w:t>
      </w:r>
      <w:r w:rsidRPr="00CC7883">
        <w:rPr>
          <w:rFonts w:ascii="Times New Roman" w:eastAsia="Calibri" w:hAnsi="Times New Roman" w:cs="Times New Roman"/>
          <w:color w:val="000000" w:themeColor="text1"/>
          <w:kern w:val="0"/>
          <w:sz w:val="28"/>
          <w:szCs w:val="28"/>
        </w:rPr>
        <w:t>13</w:t>
      </w:r>
    </w:p>
    <w:p w:rsidR="007B395A" w:rsidRPr="00CC7883" w:rsidRDefault="007B395A" w:rsidP="00422BEE">
      <w:pPr>
        <w:widowControl w:val="0"/>
        <w:spacing w:line="259" w:lineRule="auto"/>
        <w:jc w:val="center"/>
        <w:rPr>
          <w:rFonts w:ascii="Times New Roman" w:eastAsia="Calibri" w:hAnsi="Times New Roman" w:cs="Times New Roman"/>
          <w:color w:val="000000" w:themeColor="text1"/>
          <w:kern w:val="0"/>
          <w:sz w:val="28"/>
          <w:szCs w:val="28"/>
        </w:rPr>
      </w:pPr>
    </w:p>
    <w:p w:rsidR="00854E40" w:rsidRPr="00CC7883" w:rsidRDefault="00854E40" w:rsidP="00422BEE">
      <w:pPr>
        <w:widowControl w:val="0"/>
        <w:spacing w:line="259" w:lineRule="auto"/>
        <w:jc w:val="center"/>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6</w:t>
      </w:r>
      <w:r w:rsidR="003E6D23" w:rsidRPr="00CC7883">
        <w:rPr>
          <w:rFonts w:ascii="Times New Roman" w:eastAsia="Calibri" w:hAnsi="Times New Roman" w:cs="Times New Roman"/>
          <w:b/>
          <w:color w:val="000000" w:themeColor="text1"/>
          <w:kern w:val="0"/>
          <w:sz w:val="28"/>
          <w:szCs w:val="28"/>
        </w:rPr>
        <w:t xml:space="preserve"> (дослід 2)</w:t>
      </w:r>
    </w:p>
    <w:tbl>
      <w:tblPr>
        <w:tblW w:w="136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172"/>
        <w:gridCol w:w="1412"/>
      </w:tblGrid>
      <w:tr w:rsidR="00854E40" w:rsidRPr="00CC7883" w:rsidTr="005B534A">
        <w:trPr>
          <w:cantSplit/>
          <w:trHeight w:val="1454"/>
          <w:jc w:val="center"/>
        </w:trPr>
        <w:tc>
          <w:tcPr>
            <w:tcW w:w="3827"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2" w:type="dxa"/>
            <w:textDirection w:val="btLr"/>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854E40" w:rsidRPr="00CC7883" w:rsidTr="005B534A">
        <w:trPr>
          <w:cantSplit/>
          <w:trHeight w:val="355"/>
          <w:jc w:val="center"/>
        </w:trPr>
        <w:tc>
          <w:tcPr>
            <w:tcW w:w="3827"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5B534A">
        <w:trPr>
          <w:jc w:val="center"/>
        </w:trPr>
        <w:tc>
          <w:tcPr>
            <w:tcW w:w="13641" w:type="dxa"/>
            <w:gridSpan w:val="8"/>
          </w:tcPr>
          <w:p w:rsidR="00854E40" w:rsidRPr="00CC7883" w:rsidRDefault="00854E40" w:rsidP="00422BEE">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Кількість продихів на 1 мм</w:t>
            </w:r>
            <w:r w:rsidRPr="00CC7883">
              <w:rPr>
                <w:rFonts w:ascii="Times New Roman" w:eastAsia="Calibri" w:hAnsi="Times New Roman" w:cs="Times New Roman"/>
                <w:i/>
                <w:color w:val="000000" w:themeColor="text1"/>
                <w:kern w:val="0"/>
                <w:sz w:val="28"/>
                <w:szCs w:val="28"/>
                <w:vertAlign w:val="superscript"/>
              </w:rPr>
              <w:t>2</w:t>
            </w:r>
            <w:r w:rsidRPr="00CC7883">
              <w:rPr>
                <w:rFonts w:ascii="Times New Roman" w:eastAsia="Calibri" w:hAnsi="Times New Roman" w:cs="Times New Roman"/>
                <w:i/>
                <w:color w:val="000000" w:themeColor="text1"/>
                <w:kern w:val="0"/>
                <w:sz w:val="28"/>
                <w:szCs w:val="28"/>
              </w:rPr>
              <w:t>, шт.</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1015,257</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338,419</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5228,972</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38,95</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1455,062</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485,021</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7494,136</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55,83</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134,089</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14,899</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230,203</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5,14</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2,006</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0,065</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0,08</w:t>
            </w:r>
          </w:p>
        </w:tc>
      </w:tr>
      <w:tr w:rsidR="00854E40" w:rsidRPr="00CC7883" w:rsidTr="005B534A">
        <w:trPr>
          <w:jc w:val="center"/>
        </w:trPr>
        <w:tc>
          <w:tcPr>
            <w:tcW w:w="13641" w:type="dxa"/>
            <w:gridSpan w:val="8"/>
          </w:tcPr>
          <w:p w:rsidR="00854E40" w:rsidRPr="00CC7883" w:rsidRDefault="00854E40" w:rsidP="00422BEE">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 xml:space="preserve">Кількість продихів на листковій </w:t>
            </w:r>
            <w:r w:rsidR="008D163E" w:rsidRPr="00CC7883">
              <w:rPr>
                <w:rFonts w:ascii="Times New Roman" w:eastAsia="Calibri" w:hAnsi="Times New Roman" w:cs="Times New Roman"/>
                <w:i/>
                <w:color w:val="000000" w:themeColor="text1"/>
                <w:kern w:val="0"/>
                <w:sz w:val="28"/>
                <w:szCs w:val="28"/>
              </w:rPr>
              <w:t>пластинці</w:t>
            </w:r>
            <w:r w:rsidRPr="00CC7883">
              <w:rPr>
                <w:rFonts w:ascii="Times New Roman" w:eastAsia="Calibri" w:hAnsi="Times New Roman" w:cs="Times New Roman"/>
                <w:i/>
                <w:color w:val="000000" w:themeColor="text1"/>
                <w:kern w:val="0"/>
                <w:sz w:val="28"/>
                <w:szCs w:val="28"/>
              </w:rPr>
              <w:t>, шт.</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73466,758</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24488,919</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4037,789</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7,49</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485068,652</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161689,551</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26659,740</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49,48</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421623,563</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46847,063</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7724,250</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43,01</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188,013</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6,065</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0,02</w:t>
            </w:r>
          </w:p>
        </w:tc>
      </w:tr>
      <w:tr w:rsidR="00854E40" w:rsidRPr="00CC7883" w:rsidTr="005B534A">
        <w:trPr>
          <w:jc w:val="center"/>
        </w:trPr>
        <w:tc>
          <w:tcPr>
            <w:tcW w:w="13641" w:type="dxa"/>
            <w:gridSpan w:val="8"/>
          </w:tcPr>
          <w:p w:rsidR="00854E40" w:rsidRPr="00CC7883" w:rsidRDefault="00854E40" w:rsidP="00422BEE">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Довжина продихів, мкм</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3,061</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1,020</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8,188</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5,47</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35,998</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11,999</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96,309</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64,37</w:t>
            </w:r>
          </w:p>
        </w:tc>
      </w:tr>
      <w:tr w:rsidR="00854E40" w:rsidRPr="00CC7883" w:rsidTr="005B534A">
        <w:trPr>
          <w:jc w:val="center"/>
        </w:trPr>
        <w:tc>
          <w:tcPr>
            <w:tcW w:w="3827" w:type="dxa"/>
          </w:tcPr>
          <w:p w:rsidR="00854E40" w:rsidRPr="00CC7883" w:rsidRDefault="00854E40" w:rsidP="00422BEE">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13,002</w:t>
            </w:r>
          </w:p>
        </w:tc>
        <w:tc>
          <w:tcPr>
            <w:tcW w:w="85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1,445</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11,595</w:t>
            </w:r>
          </w:p>
        </w:tc>
        <w:tc>
          <w:tcPr>
            <w:tcW w:w="1701"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17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412" w:type="dxa"/>
          </w:tcPr>
          <w:p w:rsidR="00854E40" w:rsidRPr="00CC7883" w:rsidRDefault="00854E40" w:rsidP="00422BEE">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23,25</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3,862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0,125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7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412"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6,91</w:t>
            </w:r>
          </w:p>
        </w:tc>
      </w:tr>
    </w:tbl>
    <w:p w:rsidR="007B395A" w:rsidRPr="00CC7883" w:rsidRDefault="007B395A" w:rsidP="00047411">
      <w:pPr>
        <w:widowControl w:val="0"/>
        <w:rPr>
          <w:color w:val="000000" w:themeColor="text1"/>
        </w:rPr>
        <w:sectPr w:rsidR="007B395A" w:rsidRPr="00CC7883" w:rsidSect="00422BEE">
          <w:footerReference w:type="default" r:id="rId243"/>
          <w:pgSz w:w="16838" w:h="11906" w:orient="landscape" w:code="9"/>
          <w:pgMar w:top="1418" w:right="1134" w:bottom="851" w:left="1134" w:header="709" w:footer="709" w:gutter="0"/>
          <w:cols w:space="708"/>
          <w:docGrid w:linePitch="360"/>
        </w:sectPr>
      </w:pPr>
    </w:p>
    <w:p w:rsidR="007B395A" w:rsidRPr="00CC7883" w:rsidRDefault="005B534A" w:rsidP="005B534A">
      <w:pPr>
        <w:widowControl w:val="0"/>
        <w:spacing w:line="259" w:lineRule="auto"/>
        <w:ind w:left="9926" w:right="105" w:firstLine="709"/>
        <w:jc w:val="center"/>
        <w:rPr>
          <w:rFonts w:ascii="Times New Roman" w:eastAsia="Calibri" w:hAnsi="Times New Roman" w:cs="Times New Roman"/>
          <w:color w:val="000000" w:themeColor="text1"/>
          <w:kern w:val="0"/>
          <w:sz w:val="20"/>
          <w:szCs w:val="20"/>
        </w:rPr>
      </w:pPr>
      <w:r>
        <w:rPr>
          <w:rFonts w:ascii="Times New Roman" w:eastAsia="Calibri" w:hAnsi="Times New Roman" w:cs="Times New Roman"/>
          <w:color w:val="000000" w:themeColor="text1"/>
          <w:kern w:val="0"/>
        </w:rPr>
        <w:lastRenderedPageBreak/>
        <w:t xml:space="preserve">  </w:t>
      </w:r>
      <w:r w:rsidR="007B395A" w:rsidRPr="00CC7883">
        <w:rPr>
          <w:rFonts w:ascii="Times New Roman" w:eastAsia="Calibri" w:hAnsi="Times New Roman" w:cs="Times New Roman"/>
          <w:color w:val="000000" w:themeColor="text1"/>
          <w:kern w:val="0"/>
        </w:rPr>
        <w:t>Продовження додатку Г.</w:t>
      </w:r>
      <w:r>
        <w:rPr>
          <w:rFonts w:ascii="Times New Roman" w:eastAsia="Calibri" w:hAnsi="Times New Roman" w:cs="Times New Roman"/>
          <w:color w:val="000000" w:themeColor="text1"/>
          <w:kern w:val="0"/>
        </w:rPr>
        <w:t xml:space="preserve"> </w:t>
      </w:r>
      <w:r w:rsidR="007B395A" w:rsidRPr="00CC7883">
        <w:rPr>
          <w:rFonts w:ascii="Times New Roman" w:eastAsia="Calibri" w:hAnsi="Times New Roman" w:cs="Times New Roman"/>
          <w:color w:val="000000" w:themeColor="text1"/>
          <w:kern w:val="0"/>
        </w:rPr>
        <w:t>13</w:t>
      </w:r>
    </w:p>
    <w:tbl>
      <w:tblPr>
        <w:tblW w:w="13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827"/>
        <w:gridCol w:w="1418"/>
        <w:gridCol w:w="850"/>
        <w:gridCol w:w="1560"/>
        <w:gridCol w:w="1701"/>
        <w:gridCol w:w="1701"/>
        <w:gridCol w:w="1388"/>
        <w:gridCol w:w="1164"/>
      </w:tblGrid>
      <w:tr w:rsidR="007B395A" w:rsidRPr="00CC7883" w:rsidTr="005B534A">
        <w:trPr>
          <w:jc w:val="center"/>
        </w:trPr>
        <w:tc>
          <w:tcPr>
            <w:tcW w:w="3827" w:type="dxa"/>
          </w:tcPr>
          <w:p w:rsidR="007B395A" w:rsidRPr="00CC7883" w:rsidRDefault="007B395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7B395A" w:rsidRPr="00CC7883" w:rsidRDefault="007B395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7B395A" w:rsidRPr="00CC7883" w:rsidRDefault="007B395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7B395A" w:rsidRPr="00CC7883" w:rsidRDefault="007B395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7B395A" w:rsidRPr="00CC7883" w:rsidRDefault="007B395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7B395A" w:rsidRPr="00CC7883" w:rsidRDefault="007B395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388" w:type="dxa"/>
          </w:tcPr>
          <w:p w:rsidR="007B395A" w:rsidRPr="00CC7883" w:rsidRDefault="007B395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64" w:type="dxa"/>
          </w:tcPr>
          <w:p w:rsidR="007B395A" w:rsidRPr="00CC7883" w:rsidRDefault="007B395A"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854E40" w:rsidRPr="00CC7883" w:rsidTr="005B534A">
        <w:trPr>
          <w:jc w:val="center"/>
        </w:trPr>
        <w:tc>
          <w:tcPr>
            <w:tcW w:w="13609"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Ширина продихів, мкм</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3,683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1,228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20,236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7,18</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37,955</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12,652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208,548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73,97</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7,790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0,866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14,268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15,18</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1,881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3,67</w:t>
            </w:r>
          </w:p>
        </w:tc>
      </w:tr>
      <w:tr w:rsidR="00854E40" w:rsidRPr="00CC7883" w:rsidTr="005B534A">
        <w:trPr>
          <w:jc w:val="center"/>
        </w:trPr>
        <w:tc>
          <w:tcPr>
            <w:tcW w:w="13609"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Ширина замикаючої клітини, мкм</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1,616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0,539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5,873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19,34</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3,334</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1,111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12,117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39,90</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0,562</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0,062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0,681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0,72</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6,72</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2,843</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34,03</w:t>
            </w:r>
          </w:p>
        </w:tc>
      </w:tr>
      <w:tr w:rsidR="00854E40" w:rsidRPr="00CC7883" w:rsidTr="005B534A">
        <w:trPr>
          <w:jc w:val="center"/>
        </w:trPr>
        <w:tc>
          <w:tcPr>
            <w:tcW w:w="13609" w:type="dxa"/>
            <w:gridSpan w:val="8"/>
          </w:tcPr>
          <w:p w:rsidR="00854E40" w:rsidRPr="00CC7883" w:rsidRDefault="00854E4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Ширина продихової щілини, мкм</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12,277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4,092</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42,488</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19,35</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37,540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12,513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129,920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59,18</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10,627</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1,181</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12,260</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16,75</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2,986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0,096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4,71</w:t>
            </w:r>
          </w:p>
        </w:tc>
      </w:tr>
      <w:tr w:rsidR="00854E40" w:rsidRPr="00CC7883" w:rsidTr="005B534A">
        <w:trPr>
          <w:jc w:val="center"/>
        </w:trPr>
        <w:tc>
          <w:tcPr>
            <w:tcW w:w="13609" w:type="dxa"/>
            <w:gridSpan w:val="8"/>
          </w:tcPr>
          <w:p w:rsidR="00854E40" w:rsidRPr="00CC7883" w:rsidRDefault="008D163E" w:rsidP="00047411">
            <w:pPr>
              <w:widowControl w:val="0"/>
              <w:spacing w:after="0" w:line="240" w:lineRule="auto"/>
              <w:jc w:val="center"/>
              <w:rPr>
                <w:rFonts w:ascii="Times New Roman" w:eastAsia="Calibri" w:hAnsi="Times New Roman" w:cs="Times New Roman"/>
                <w:i/>
                <w:color w:val="000000" w:themeColor="text1"/>
                <w:kern w:val="0"/>
                <w:sz w:val="28"/>
                <w:szCs w:val="28"/>
                <w:vertAlign w:val="superscript"/>
              </w:rPr>
            </w:pPr>
            <w:r w:rsidRPr="00CC7883">
              <w:rPr>
                <w:rFonts w:ascii="Times New Roman" w:eastAsia="Calibri" w:hAnsi="Times New Roman" w:cs="Times New Roman"/>
                <w:i/>
                <w:color w:val="000000" w:themeColor="text1"/>
                <w:kern w:val="0"/>
                <w:sz w:val="28"/>
                <w:szCs w:val="28"/>
              </w:rPr>
              <w:t>Площа продихів</w:t>
            </w:r>
            <w:r w:rsidR="00854E40" w:rsidRPr="00CC7883">
              <w:rPr>
                <w:rFonts w:ascii="Times New Roman" w:eastAsia="Calibri" w:hAnsi="Times New Roman" w:cs="Times New Roman"/>
                <w:i/>
                <w:color w:val="000000" w:themeColor="text1"/>
                <w:kern w:val="0"/>
                <w:sz w:val="28"/>
                <w:szCs w:val="28"/>
              </w:rPr>
              <w:t>, мкм</w:t>
            </w:r>
            <w:r w:rsidR="00854E40" w:rsidRPr="00CC7883">
              <w:rPr>
                <w:rFonts w:ascii="Times New Roman" w:eastAsia="Calibri" w:hAnsi="Times New Roman" w:cs="Times New Roman"/>
                <w:i/>
                <w:color w:val="000000" w:themeColor="text1"/>
                <w:kern w:val="0"/>
                <w:sz w:val="28"/>
                <w:szCs w:val="28"/>
                <w:vertAlign w:val="superscript"/>
              </w:rPr>
              <w:t>2</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4780,880</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1593,627</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374,463</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5,12</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66706,846</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22235,615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5224,825</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2,911</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71,45</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21745,851</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9</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2416,206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567,749</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2,199</w:t>
            </w: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0,00</w:t>
            </w: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23,29</w:t>
            </w:r>
          </w:p>
        </w:tc>
      </w:tr>
      <w:tr w:rsidR="00854E40" w:rsidRPr="00CC7883" w:rsidTr="005B534A">
        <w:trPr>
          <w:jc w:val="center"/>
        </w:trPr>
        <w:tc>
          <w:tcPr>
            <w:tcW w:w="3827" w:type="dxa"/>
          </w:tcPr>
          <w:p w:rsidR="00854E40" w:rsidRPr="00CC7883" w:rsidRDefault="00854E40"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131,929</w:t>
            </w:r>
          </w:p>
        </w:tc>
        <w:tc>
          <w:tcPr>
            <w:tcW w:w="85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31</w:t>
            </w:r>
          </w:p>
        </w:tc>
        <w:tc>
          <w:tcPr>
            <w:tcW w:w="1560"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4,256</w:t>
            </w: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01"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388"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64" w:type="dxa"/>
          </w:tcPr>
          <w:p w:rsidR="00854E40" w:rsidRPr="00CC7883" w:rsidRDefault="00854E4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0,14</w:t>
            </w:r>
          </w:p>
        </w:tc>
      </w:tr>
    </w:tbl>
    <w:p w:rsidR="00854E40" w:rsidRPr="00CC7883" w:rsidRDefault="00854E40" w:rsidP="00047411">
      <w:pPr>
        <w:widowControl w:val="0"/>
        <w:spacing w:line="259" w:lineRule="auto"/>
        <w:rPr>
          <w:rFonts w:ascii="Times New Roman" w:eastAsia="Calibri" w:hAnsi="Times New Roman" w:cs="Times New Roman"/>
          <w:i/>
          <w:color w:val="000000" w:themeColor="text1"/>
          <w:kern w:val="0"/>
          <w:sz w:val="28"/>
          <w:szCs w:val="28"/>
        </w:rPr>
        <w:sectPr w:rsidR="00854E40" w:rsidRPr="00CC7883" w:rsidSect="00EF4E25">
          <w:footerReference w:type="default" r:id="rId244"/>
          <w:pgSz w:w="16838" w:h="11906" w:orient="landscape" w:code="9"/>
          <w:pgMar w:top="1701" w:right="1134" w:bottom="851" w:left="1134" w:header="709" w:footer="709" w:gutter="0"/>
          <w:cols w:space="708"/>
          <w:docGrid w:linePitch="360"/>
        </w:sectPr>
      </w:pPr>
    </w:p>
    <w:p w:rsidR="005936B8" w:rsidRPr="00CC7883" w:rsidRDefault="005936B8"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lastRenderedPageBreak/>
        <w:t>Додаток Г.</w:t>
      </w:r>
      <w:r w:rsidR="00A32496">
        <w:rPr>
          <w:rFonts w:ascii="Times New Roman" w:eastAsia="NSimSun" w:hAnsi="Times New Roman" w:cs="Times New Roman"/>
          <w:color w:val="000000" w:themeColor="text1"/>
          <w:kern w:val="3"/>
          <w:sz w:val="28"/>
          <w:lang w:eastAsia="zh-CN" w:bidi="hi-IN"/>
        </w:rPr>
        <w:t xml:space="preserve"> </w:t>
      </w:r>
      <w:r w:rsidRPr="00CC7883">
        <w:rPr>
          <w:rFonts w:ascii="Times New Roman" w:eastAsia="NSimSun" w:hAnsi="Times New Roman" w:cs="Times New Roman"/>
          <w:color w:val="000000" w:themeColor="text1"/>
          <w:kern w:val="3"/>
          <w:sz w:val="28"/>
          <w:lang w:eastAsia="zh-CN" w:bidi="hi-IN"/>
        </w:rPr>
        <w:t>14</w:t>
      </w:r>
    </w:p>
    <w:p w:rsidR="005936B8" w:rsidRPr="00CC7883" w:rsidRDefault="005936B8"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lang w:eastAsia="zh-CN" w:bidi="hi-IN"/>
        </w:rPr>
      </w:pPr>
    </w:p>
    <w:p w:rsidR="005936B8" w:rsidRPr="00CC7883" w:rsidRDefault="005936B8" w:rsidP="00047411">
      <w:pPr>
        <w:widowControl w:val="0"/>
        <w:autoSpaceDN w:val="0"/>
        <w:spacing w:after="0" w:line="360" w:lineRule="auto"/>
        <w:jc w:val="center"/>
        <w:textAlignment w:val="baseline"/>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7 (дослід 1)</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40"/>
        <w:gridCol w:w="1305"/>
        <w:gridCol w:w="850"/>
        <w:gridCol w:w="1560"/>
        <w:gridCol w:w="1701"/>
        <w:gridCol w:w="1701"/>
        <w:gridCol w:w="1417"/>
        <w:gridCol w:w="1149"/>
      </w:tblGrid>
      <w:tr w:rsidR="002B4090" w:rsidRPr="00CC7883" w:rsidTr="001955B6">
        <w:trPr>
          <w:cantSplit/>
          <w:trHeight w:val="1454"/>
          <w:jc w:val="center"/>
        </w:trPr>
        <w:tc>
          <w:tcPr>
            <w:tcW w:w="3940"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305"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417"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149" w:type="dxa"/>
            <w:textDirection w:val="btLr"/>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2B4090" w:rsidRPr="00CC7883" w:rsidTr="001955B6">
        <w:trPr>
          <w:cantSplit/>
          <w:trHeight w:val="214"/>
          <w:jc w:val="center"/>
        </w:trPr>
        <w:tc>
          <w:tcPr>
            <w:tcW w:w="3940"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305"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417"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149"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2B4090" w:rsidRPr="00CC7883" w:rsidTr="001955B6">
        <w:trPr>
          <w:jc w:val="center"/>
        </w:trPr>
        <w:tc>
          <w:tcPr>
            <w:tcW w:w="13623" w:type="dxa"/>
            <w:gridSpan w:val="8"/>
          </w:tcPr>
          <w:p w:rsidR="002B4090" w:rsidRPr="00CC7883" w:rsidRDefault="002B409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Приживлюваність в умовах in vivo через 30 діб, %</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1582,34</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527,447</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392,289</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2,698</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5,61</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5111,32</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5111,316</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3801,546</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3,939</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18,14</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17865,18</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3573,035</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2657,448</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2,308</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w:t>
            </w:r>
            <w:r w:rsidR="009E34BC" w:rsidRPr="00CC7883">
              <w:rPr>
                <w:rFonts w:ascii="Times New Roman" w:hAnsi="Times New Roman" w:cs="Times New Roman"/>
                <w:color w:val="000000" w:themeColor="text1"/>
                <w:sz w:val="28"/>
                <w:szCs w:val="28"/>
              </w:rPr>
              <w:t>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63,41</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21,41</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7,138</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5,309</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2,698</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0,07</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1241,76</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82,784</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61,571</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1,77</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F1FBE"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4,40</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256,75</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51,351</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38,192</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2,308</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0,91</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1961,30</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140,093</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104,194</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1,795</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6,96</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130,42</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97</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1,345</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p>
        </w:tc>
        <w:tc>
          <w:tcPr>
            <w:tcW w:w="1417"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0,46</w:t>
            </w:r>
          </w:p>
        </w:tc>
      </w:tr>
      <w:tr w:rsidR="002B4090" w:rsidRPr="00CC7883" w:rsidTr="001955B6">
        <w:trPr>
          <w:jc w:val="center"/>
        </w:trPr>
        <w:tc>
          <w:tcPr>
            <w:tcW w:w="13623" w:type="dxa"/>
            <w:gridSpan w:val="8"/>
          </w:tcPr>
          <w:p w:rsidR="002B4090" w:rsidRPr="00CC7883" w:rsidRDefault="002B4090"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Приживлюваність в умовах in vivo через 60 діб, %</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480,74</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160,247</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204,378</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2,698</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1,62</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2991,07</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2991,071</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3814,791</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3,939</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10,14</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23715,08</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4743,016</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6049,209</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2,308</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80,39</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60,20</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20,066</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25,592</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2,698</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0,20</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655,87</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43,725</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55,766</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1,77</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2,22</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1146,17</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229,233</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292,363</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2,308</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3,88</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371,84</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26,560</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33,875</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1,795</w:t>
            </w:r>
          </w:p>
        </w:tc>
        <w:tc>
          <w:tcPr>
            <w:tcW w:w="1417" w:type="dxa"/>
          </w:tcPr>
          <w:p w:rsidR="009E34BC" w:rsidRPr="00CC7883" w:rsidRDefault="001955B6" w:rsidP="00047411">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9E34BC" w:rsidRPr="00CC7883" w:rsidRDefault="009F1FBE"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1,26</w:t>
            </w:r>
          </w:p>
        </w:tc>
      </w:tr>
    </w:tbl>
    <w:p w:rsidR="004D17B3" w:rsidRPr="00CC7883" w:rsidRDefault="004D17B3" w:rsidP="00047411">
      <w:pPr>
        <w:widowControl w:val="0"/>
        <w:rPr>
          <w:color w:val="000000" w:themeColor="text1"/>
        </w:rPr>
        <w:sectPr w:rsidR="004D17B3" w:rsidRPr="00CC7883" w:rsidSect="00EF4E25">
          <w:footerReference w:type="default" r:id="rId245"/>
          <w:pgSz w:w="16838" w:h="11906" w:orient="landscape" w:code="9"/>
          <w:pgMar w:top="1701" w:right="1134" w:bottom="851" w:left="1134" w:header="709" w:footer="709" w:gutter="0"/>
          <w:cols w:space="708"/>
          <w:docGrid w:linePitch="360"/>
        </w:sectPr>
      </w:pPr>
    </w:p>
    <w:p w:rsidR="004D17B3" w:rsidRPr="00CC7883" w:rsidRDefault="001955B6" w:rsidP="001955B6">
      <w:pPr>
        <w:widowControl w:val="0"/>
        <w:spacing w:line="259" w:lineRule="auto"/>
        <w:ind w:left="9926" w:right="105" w:firstLine="709"/>
        <w:jc w:val="center"/>
        <w:rPr>
          <w:rFonts w:ascii="Times New Roman" w:eastAsia="Calibri" w:hAnsi="Times New Roman" w:cs="Times New Roman"/>
          <w:color w:val="000000" w:themeColor="text1"/>
          <w:kern w:val="0"/>
          <w:sz w:val="20"/>
          <w:szCs w:val="20"/>
        </w:rPr>
      </w:pPr>
      <w:r>
        <w:rPr>
          <w:rFonts w:ascii="Times New Roman" w:eastAsia="Calibri" w:hAnsi="Times New Roman" w:cs="Times New Roman"/>
          <w:color w:val="000000" w:themeColor="text1"/>
          <w:kern w:val="0"/>
        </w:rPr>
        <w:lastRenderedPageBreak/>
        <w:t xml:space="preserve">    </w:t>
      </w:r>
      <w:r w:rsidR="004D17B3" w:rsidRPr="00CC7883">
        <w:rPr>
          <w:rFonts w:ascii="Times New Roman" w:eastAsia="Calibri" w:hAnsi="Times New Roman" w:cs="Times New Roman"/>
          <w:color w:val="000000" w:themeColor="text1"/>
          <w:kern w:val="0"/>
        </w:rPr>
        <w:t>Продовження додатку Г.14</w:t>
      </w:r>
    </w:p>
    <w:tbl>
      <w:tblPr>
        <w:tblW w:w="136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940"/>
        <w:gridCol w:w="1305"/>
        <w:gridCol w:w="850"/>
        <w:gridCol w:w="1560"/>
        <w:gridCol w:w="1701"/>
        <w:gridCol w:w="1701"/>
        <w:gridCol w:w="1417"/>
        <w:gridCol w:w="1149"/>
      </w:tblGrid>
      <w:tr w:rsidR="004D17B3" w:rsidRPr="00CC7883" w:rsidTr="001955B6">
        <w:trPr>
          <w:jc w:val="center"/>
        </w:trPr>
        <w:tc>
          <w:tcPr>
            <w:tcW w:w="3940" w:type="dxa"/>
            <w:tcBorders>
              <w:top w:val="single" w:sz="4" w:space="0" w:color="auto"/>
              <w:left w:val="single" w:sz="4" w:space="0" w:color="auto"/>
              <w:bottom w:val="single" w:sz="4" w:space="0" w:color="auto"/>
              <w:right w:val="single" w:sz="4" w:space="0" w:color="auto"/>
            </w:tcBorders>
          </w:tcPr>
          <w:p w:rsidR="004D17B3" w:rsidRPr="00CC7883" w:rsidRDefault="004D17B3"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305" w:type="dxa"/>
            <w:tcBorders>
              <w:top w:val="single" w:sz="4" w:space="0" w:color="auto"/>
              <w:left w:val="single" w:sz="4" w:space="0" w:color="auto"/>
              <w:bottom w:val="single" w:sz="4" w:space="0" w:color="auto"/>
              <w:right w:val="single" w:sz="4" w:space="0" w:color="auto"/>
            </w:tcBorders>
          </w:tcPr>
          <w:p w:rsidR="004D17B3" w:rsidRPr="00CC7883" w:rsidRDefault="004D17B3"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w:t>
            </w:r>
          </w:p>
        </w:tc>
        <w:tc>
          <w:tcPr>
            <w:tcW w:w="850" w:type="dxa"/>
            <w:tcBorders>
              <w:top w:val="single" w:sz="4" w:space="0" w:color="auto"/>
              <w:left w:val="single" w:sz="4" w:space="0" w:color="auto"/>
              <w:bottom w:val="single" w:sz="4" w:space="0" w:color="auto"/>
              <w:right w:val="single" w:sz="4" w:space="0" w:color="auto"/>
            </w:tcBorders>
          </w:tcPr>
          <w:p w:rsidR="004D17B3" w:rsidRPr="00CC7883" w:rsidRDefault="004D17B3"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Borders>
              <w:top w:val="single" w:sz="4" w:space="0" w:color="auto"/>
              <w:left w:val="single" w:sz="4" w:space="0" w:color="auto"/>
              <w:bottom w:val="single" w:sz="4" w:space="0" w:color="auto"/>
              <w:right w:val="single" w:sz="4" w:space="0" w:color="auto"/>
            </w:tcBorders>
          </w:tcPr>
          <w:p w:rsidR="004D17B3" w:rsidRPr="00CC7883" w:rsidRDefault="004D17B3"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w:t>
            </w:r>
          </w:p>
        </w:tc>
        <w:tc>
          <w:tcPr>
            <w:tcW w:w="1701" w:type="dxa"/>
            <w:tcBorders>
              <w:top w:val="single" w:sz="4" w:space="0" w:color="auto"/>
              <w:left w:val="single" w:sz="4" w:space="0" w:color="auto"/>
              <w:bottom w:val="single" w:sz="4" w:space="0" w:color="auto"/>
              <w:right w:val="single" w:sz="4" w:space="0" w:color="auto"/>
            </w:tcBorders>
          </w:tcPr>
          <w:p w:rsidR="004D17B3" w:rsidRPr="00CC7883" w:rsidRDefault="004D17B3"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701" w:type="dxa"/>
            <w:tcBorders>
              <w:top w:val="single" w:sz="4" w:space="0" w:color="auto"/>
              <w:left w:val="single" w:sz="4" w:space="0" w:color="auto"/>
              <w:bottom w:val="single" w:sz="4" w:space="0" w:color="auto"/>
              <w:right w:val="single" w:sz="4" w:space="0" w:color="auto"/>
            </w:tcBorders>
          </w:tcPr>
          <w:p w:rsidR="004D17B3" w:rsidRPr="00CC7883" w:rsidRDefault="004D17B3"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w:t>
            </w:r>
          </w:p>
        </w:tc>
        <w:tc>
          <w:tcPr>
            <w:tcW w:w="1417" w:type="dxa"/>
            <w:tcBorders>
              <w:top w:val="single" w:sz="4" w:space="0" w:color="auto"/>
              <w:left w:val="single" w:sz="4" w:space="0" w:color="auto"/>
              <w:bottom w:val="single" w:sz="4" w:space="0" w:color="auto"/>
              <w:right w:val="single" w:sz="4" w:space="0" w:color="auto"/>
            </w:tcBorders>
          </w:tcPr>
          <w:p w:rsidR="004D17B3" w:rsidRPr="00CC7883" w:rsidRDefault="004D17B3"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w:t>
            </w:r>
          </w:p>
        </w:tc>
        <w:tc>
          <w:tcPr>
            <w:tcW w:w="1149" w:type="dxa"/>
            <w:tcBorders>
              <w:top w:val="single" w:sz="4" w:space="0" w:color="auto"/>
              <w:left w:val="single" w:sz="4" w:space="0" w:color="auto"/>
              <w:bottom w:val="single" w:sz="4" w:space="0" w:color="auto"/>
              <w:right w:val="single" w:sz="4" w:space="0" w:color="auto"/>
            </w:tcBorders>
          </w:tcPr>
          <w:p w:rsidR="004D17B3" w:rsidRPr="00CC7883" w:rsidRDefault="004D17B3"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8</w:t>
            </w:r>
          </w:p>
        </w:tc>
      </w:tr>
      <w:tr w:rsidR="009E34BC" w:rsidRPr="00CC7883" w:rsidTr="001955B6">
        <w:trPr>
          <w:jc w:val="center"/>
        </w:trPr>
        <w:tc>
          <w:tcPr>
            <w:tcW w:w="3940"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30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76,05</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97</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0,784</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p>
        </w:tc>
        <w:tc>
          <w:tcPr>
            <w:tcW w:w="1417"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p>
        </w:tc>
        <w:tc>
          <w:tcPr>
            <w:tcW w:w="1149"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0,25</w:t>
            </w:r>
          </w:p>
        </w:tc>
      </w:tr>
      <w:tr w:rsidR="002B4090" w:rsidRPr="00CC7883" w:rsidTr="001955B6">
        <w:trPr>
          <w:jc w:val="center"/>
        </w:trPr>
        <w:tc>
          <w:tcPr>
            <w:tcW w:w="13623" w:type="dxa"/>
            <w:gridSpan w:val="8"/>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i/>
                <w:color w:val="000000" w:themeColor="text1"/>
                <w:kern w:val="0"/>
                <w:sz w:val="28"/>
                <w:szCs w:val="28"/>
              </w:rPr>
              <w:t>Приживлюваність в умовах in vivo через 90 діб, %</w:t>
            </w:r>
          </w:p>
        </w:tc>
      </w:tr>
      <w:tr w:rsidR="007663DA" w:rsidRPr="00CC7883" w:rsidTr="001955B6">
        <w:trPr>
          <w:jc w:val="center"/>
        </w:trPr>
        <w:tc>
          <w:tcPr>
            <w:tcW w:w="3940" w:type="dxa"/>
          </w:tcPr>
          <w:p w:rsidR="007663DA" w:rsidRPr="00CC7883" w:rsidRDefault="007663DA"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305"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489,926</w:t>
            </w:r>
          </w:p>
        </w:tc>
        <w:tc>
          <w:tcPr>
            <w:tcW w:w="85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163,309</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218,270</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2,698</w:t>
            </w:r>
          </w:p>
        </w:tc>
        <w:tc>
          <w:tcPr>
            <w:tcW w:w="1417" w:type="dxa"/>
          </w:tcPr>
          <w:p w:rsidR="007663DA" w:rsidRPr="00CC7883" w:rsidRDefault="007F226A" w:rsidP="001955B6">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4,87</w:t>
            </w:r>
          </w:p>
        </w:tc>
      </w:tr>
      <w:tr w:rsidR="007663DA" w:rsidRPr="00CC7883" w:rsidTr="001955B6">
        <w:trPr>
          <w:jc w:val="center"/>
        </w:trPr>
        <w:tc>
          <w:tcPr>
            <w:tcW w:w="3940" w:type="dxa"/>
          </w:tcPr>
          <w:p w:rsidR="007663DA" w:rsidRPr="00CC7883" w:rsidRDefault="007663DA"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305"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1435,519</w:t>
            </w:r>
          </w:p>
        </w:tc>
        <w:tc>
          <w:tcPr>
            <w:tcW w:w="85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w:t>
            </w:r>
          </w:p>
        </w:tc>
        <w:tc>
          <w:tcPr>
            <w:tcW w:w="156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1435,519</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1918,640</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3,939</w:t>
            </w:r>
          </w:p>
        </w:tc>
        <w:tc>
          <w:tcPr>
            <w:tcW w:w="1417" w:type="dxa"/>
          </w:tcPr>
          <w:p w:rsidR="007663DA" w:rsidRPr="00CC7883" w:rsidRDefault="007F226A" w:rsidP="001955B6">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14,29</w:t>
            </w:r>
          </w:p>
        </w:tc>
      </w:tr>
      <w:tr w:rsidR="007663DA" w:rsidRPr="00CC7883" w:rsidTr="001955B6">
        <w:trPr>
          <w:jc w:val="center"/>
        </w:trPr>
        <w:tc>
          <w:tcPr>
            <w:tcW w:w="3940" w:type="dxa"/>
          </w:tcPr>
          <w:p w:rsidR="007663DA" w:rsidRPr="00CC7883" w:rsidRDefault="007663DA"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3</w:t>
            </w:r>
          </w:p>
        </w:tc>
        <w:tc>
          <w:tcPr>
            <w:tcW w:w="1305"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6502,868</w:t>
            </w:r>
          </w:p>
        </w:tc>
        <w:tc>
          <w:tcPr>
            <w:tcW w:w="85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56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1300,574</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1738,280</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2,308</w:t>
            </w:r>
          </w:p>
        </w:tc>
        <w:tc>
          <w:tcPr>
            <w:tcW w:w="1417" w:type="dxa"/>
          </w:tcPr>
          <w:p w:rsidR="007663DA" w:rsidRPr="00CC7883" w:rsidRDefault="007F226A" w:rsidP="001955B6">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64,76</w:t>
            </w:r>
          </w:p>
        </w:tc>
      </w:tr>
      <w:tr w:rsidR="007663DA" w:rsidRPr="00CC7883" w:rsidTr="001955B6">
        <w:trPr>
          <w:jc w:val="center"/>
        </w:trPr>
        <w:tc>
          <w:tcPr>
            <w:tcW w:w="3940" w:type="dxa"/>
          </w:tcPr>
          <w:p w:rsidR="007663DA" w:rsidRPr="00CC7883" w:rsidRDefault="007663DA"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305"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59,267</w:t>
            </w:r>
          </w:p>
        </w:tc>
        <w:tc>
          <w:tcPr>
            <w:tcW w:w="85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w:t>
            </w:r>
          </w:p>
        </w:tc>
        <w:tc>
          <w:tcPr>
            <w:tcW w:w="156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19,756</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26,405</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2,698</w:t>
            </w:r>
          </w:p>
        </w:tc>
        <w:tc>
          <w:tcPr>
            <w:tcW w:w="1417" w:type="dxa"/>
          </w:tcPr>
          <w:p w:rsidR="007663DA" w:rsidRPr="00CC7883" w:rsidRDefault="007F226A" w:rsidP="001955B6">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0,59</w:t>
            </w:r>
          </w:p>
        </w:tc>
      </w:tr>
      <w:tr w:rsidR="007663DA" w:rsidRPr="00CC7883" w:rsidTr="001955B6">
        <w:trPr>
          <w:jc w:val="center"/>
        </w:trPr>
        <w:tc>
          <w:tcPr>
            <w:tcW w:w="3940" w:type="dxa"/>
          </w:tcPr>
          <w:p w:rsidR="007663DA" w:rsidRPr="00CC7883" w:rsidRDefault="007663DA"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3</w:t>
            </w:r>
          </w:p>
        </w:tc>
        <w:tc>
          <w:tcPr>
            <w:tcW w:w="1305"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653,692</w:t>
            </w:r>
          </w:p>
        </w:tc>
        <w:tc>
          <w:tcPr>
            <w:tcW w:w="85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15</w:t>
            </w:r>
          </w:p>
        </w:tc>
        <w:tc>
          <w:tcPr>
            <w:tcW w:w="156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43,579</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58,246</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1,77</w:t>
            </w:r>
          </w:p>
        </w:tc>
        <w:tc>
          <w:tcPr>
            <w:tcW w:w="1417" w:type="dxa"/>
          </w:tcPr>
          <w:p w:rsidR="007663DA" w:rsidRPr="00CC7883" w:rsidRDefault="007F226A" w:rsidP="001955B6">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6,51</w:t>
            </w:r>
          </w:p>
        </w:tc>
      </w:tr>
      <w:tr w:rsidR="007663DA" w:rsidRPr="00CC7883" w:rsidTr="001955B6">
        <w:trPr>
          <w:jc w:val="center"/>
        </w:trPr>
        <w:tc>
          <w:tcPr>
            <w:tcW w:w="3940" w:type="dxa"/>
          </w:tcPr>
          <w:p w:rsidR="007663DA" w:rsidRPr="00CC7883" w:rsidRDefault="007663DA"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2×Фактор 3</w:t>
            </w:r>
          </w:p>
        </w:tc>
        <w:tc>
          <w:tcPr>
            <w:tcW w:w="1305"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453,481</w:t>
            </w:r>
          </w:p>
        </w:tc>
        <w:tc>
          <w:tcPr>
            <w:tcW w:w="85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5</w:t>
            </w:r>
          </w:p>
        </w:tc>
        <w:tc>
          <w:tcPr>
            <w:tcW w:w="156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90,696</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121,220</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2,308</w:t>
            </w:r>
          </w:p>
        </w:tc>
        <w:tc>
          <w:tcPr>
            <w:tcW w:w="1417" w:type="dxa"/>
          </w:tcPr>
          <w:p w:rsidR="007663DA" w:rsidRPr="00CC7883" w:rsidRDefault="007F226A" w:rsidP="001955B6">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4,51</w:t>
            </w:r>
          </w:p>
        </w:tc>
      </w:tr>
      <w:tr w:rsidR="007663DA" w:rsidRPr="00CC7883" w:rsidTr="001955B6">
        <w:trPr>
          <w:jc w:val="center"/>
        </w:trPr>
        <w:tc>
          <w:tcPr>
            <w:tcW w:w="3940" w:type="dxa"/>
          </w:tcPr>
          <w:p w:rsidR="007663DA" w:rsidRPr="00CC7883" w:rsidRDefault="007663DA"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2×Фактор 3</w:t>
            </w:r>
          </w:p>
        </w:tc>
        <w:tc>
          <w:tcPr>
            <w:tcW w:w="1305"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372,702</w:t>
            </w:r>
          </w:p>
        </w:tc>
        <w:tc>
          <w:tcPr>
            <w:tcW w:w="85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14</w:t>
            </w:r>
          </w:p>
        </w:tc>
        <w:tc>
          <w:tcPr>
            <w:tcW w:w="156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26,622</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35,581</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1,795</w:t>
            </w:r>
          </w:p>
        </w:tc>
        <w:tc>
          <w:tcPr>
            <w:tcW w:w="1417" w:type="dxa"/>
          </w:tcPr>
          <w:p w:rsidR="007663DA" w:rsidRPr="00CC7883" w:rsidRDefault="007F226A" w:rsidP="001955B6">
            <w:pPr>
              <w:widowControl w:val="0"/>
              <w:spacing w:after="0" w:line="240" w:lineRule="auto"/>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0,00</w:t>
            </w:r>
          </w:p>
        </w:tc>
        <w:tc>
          <w:tcPr>
            <w:tcW w:w="1149"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3,71</w:t>
            </w:r>
          </w:p>
        </w:tc>
      </w:tr>
      <w:tr w:rsidR="007663DA" w:rsidRPr="00CC7883" w:rsidTr="001955B6">
        <w:trPr>
          <w:jc w:val="center"/>
        </w:trPr>
        <w:tc>
          <w:tcPr>
            <w:tcW w:w="3940" w:type="dxa"/>
          </w:tcPr>
          <w:p w:rsidR="007663DA" w:rsidRPr="00CC7883" w:rsidRDefault="007663DA"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305"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72,575</w:t>
            </w:r>
          </w:p>
        </w:tc>
        <w:tc>
          <w:tcPr>
            <w:tcW w:w="85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97</w:t>
            </w:r>
          </w:p>
        </w:tc>
        <w:tc>
          <w:tcPr>
            <w:tcW w:w="1560"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0,748</w:t>
            </w: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p>
        </w:tc>
        <w:tc>
          <w:tcPr>
            <w:tcW w:w="1701"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p>
        </w:tc>
        <w:tc>
          <w:tcPr>
            <w:tcW w:w="1417"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p>
        </w:tc>
        <w:tc>
          <w:tcPr>
            <w:tcW w:w="1149" w:type="dxa"/>
          </w:tcPr>
          <w:p w:rsidR="007663DA" w:rsidRPr="00CC7883" w:rsidRDefault="007663DA" w:rsidP="001955B6">
            <w:pPr>
              <w:widowControl w:val="0"/>
              <w:spacing w:after="0" w:line="240" w:lineRule="auto"/>
              <w:jc w:val="center"/>
              <w:rPr>
                <w:rFonts w:ascii="Times New Roman" w:hAnsi="Times New Roman" w:cs="Times New Roman"/>
                <w:color w:val="000000" w:themeColor="text1"/>
                <w:sz w:val="28"/>
                <w:szCs w:val="28"/>
              </w:rPr>
            </w:pPr>
            <w:r w:rsidRPr="00CC7883">
              <w:rPr>
                <w:rFonts w:ascii="Times New Roman" w:hAnsi="Times New Roman" w:cs="Times New Roman"/>
                <w:color w:val="000000" w:themeColor="text1"/>
                <w:sz w:val="28"/>
                <w:szCs w:val="28"/>
              </w:rPr>
              <w:t>0,72</w:t>
            </w:r>
          </w:p>
        </w:tc>
      </w:tr>
    </w:tbl>
    <w:p w:rsidR="005936B8" w:rsidRPr="00CC7883" w:rsidRDefault="005936B8"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lang w:eastAsia="zh-CN" w:bidi="hi-IN"/>
        </w:rPr>
      </w:pPr>
    </w:p>
    <w:p w:rsidR="005936B8" w:rsidRPr="00CC7883" w:rsidRDefault="005936B8"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lang w:eastAsia="zh-CN" w:bidi="hi-IN"/>
        </w:rPr>
        <w:sectPr w:rsidR="005936B8" w:rsidRPr="00CC7883" w:rsidSect="00EF4E25">
          <w:footerReference w:type="default" r:id="rId246"/>
          <w:pgSz w:w="16838" w:h="11906" w:orient="landscape" w:code="9"/>
          <w:pgMar w:top="1701" w:right="1134" w:bottom="851" w:left="1134" w:header="709" w:footer="709" w:gutter="0"/>
          <w:cols w:space="708"/>
          <w:docGrid w:linePitch="360"/>
        </w:sectPr>
      </w:pPr>
    </w:p>
    <w:p w:rsidR="005936B8" w:rsidRPr="00CC7883" w:rsidRDefault="005936B8"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lastRenderedPageBreak/>
        <w:t>Додаток Г.</w:t>
      </w:r>
      <w:r w:rsidR="001955B6">
        <w:rPr>
          <w:rFonts w:ascii="Times New Roman" w:eastAsia="NSimSun" w:hAnsi="Times New Roman" w:cs="Times New Roman"/>
          <w:color w:val="000000" w:themeColor="text1"/>
          <w:kern w:val="3"/>
          <w:sz w:val="28"/>
          <w:lang w:eastAsia="zh-CN" w:bidi="hi-IN"/>
        </w:rPr>
        <w:t xml:space="preserve"> </w:t>
      </w:r>
      <w:r w:rsidRPr="00CC7883">
        <w:rPr>
          <w:rFonts w:ascii="Times New Roman" w:eastAsia="NSimSun" w:hAnsi="Times New Roman" w:cs="Times New Roman"/>
          <w:color w:val="000000" w:themeColor="text1"/>
          <w:kern w:val="3"/>
          <w:sz w:val="28"/>
          <w:lang w:eastAsia="zh-CN" w:bidi="hi-IN"/>
        </w:rPr>
        <w:t>15</w:t>
      </w:r>
    </w:p>
    <w:p w:rsidR="005936B8" w:rsidRPr="00CC7883" w:rsidRDefault="005936B8"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lang w:eastAsia="zh-CN" w:bidi="hi-IN"/>
        </w:rPr>
      </w:pPr>
    </w:p>
    <w:p w:rsidR="005936B8" w:rsidRPr="00CC7883" w:rsidRDefault="005936B8" w:rsidP="00047411">
      <w:pPr>
        <w:widowControl w:val="0"/>
        <w:autoSpaceDN w:val="0"/>
        <w:spacing w:after="0" w:line="360" w:lineRule="auto"/>
        <w:jc w:val="center"/>
        <w:textAlignment w:val="baseline"/>
        <w:rPr>
          <w:rFonts w:ascii="Times New Roman" w:eastAsia="Calibri" w:hAnsi="Times New Roman" w:cs="Times New Roman"/>
          <w:b/>
          <w:color w:val="000000" w:themeColor="text1"/>
          <w:kern w:val="0"/>
          <w:sz w:val="28"/>
          <w:szCs w:val="28"/>
        </w:rPr>
      </w:pPr>
      <w:r w:rsidRPr="00CC7883">
        <w:rPr>
          <w:rFonts w:ascii="Times New Roman" w:eastAsia="Calibri" w:hAnsi="Times New Roman" w:cs="Times New Roman"/>
          <w:b/>
          <w:color w:val="000000" w:themeColor="text1"/>
          <w:kern w:val="0"/>
          <w:sz w:val="28"/>
          <w:szCs w:val="28"/>
        </w:rPr>
        <w:t>Результати дисперсійного аналізу за даними розділу 7 (дослід 2)</w:t>
      </w:r>
    </w:p>
    <w:p w:rsidR="002B4090" w:rsidRPr="00CC7883" w:rsidRDefault="002B4090" w:rsidP="00047411">
      <w:pPr>
        <w:widowControl w:val="0"/>
        <w:autoSpaceDN w:val="0"/>
        <w:spacing w:after="0" w:line="360" w:lineRule="auto"/>
        <w:textAlignment w:val="baseline"/>
        <w:rPr>
          <w:rFonts w:ascii="Times New Roman" w:eastAsia="Calibri" w:hAnsi="Times New Roman" w:cs="Times New Roman"/>
          <w:b/>
          <w:color w:val="000000" w:themeColor="text1"/>
          <w:kern w:val="0"/>
          <w:sz w:val="28"/>
          <w:szCs w:val="28"/>
        </w:rPr>
      </w:pPr>
    </w:p>
    <w:tbl>
      <w:tblPr>
        <w:tblW w:w="13749" w:type="dxa"/>
        <w:jc w:val="center"/>
        <w:tblInd w:w="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602"/>
        <w:gridCol w:w="1418"/>
        <w:gridCol w:w="850"/>
        <w:gridCol w:w="1560"/>
        <w:gridCol w:w="1701"/>
        <w:gridCol w:w="1701"/>
        <w:gridCol w:w="1172"/>
        <w:gridCol w:w="1745"/>
      </w:tblGrid>
      <w:tr w:rsidR="002B4090" w:rsidRPr="00CC7883" w:rsidTr="001955B6">
        <w:trPr>
          <w:cantSplit/>
          <w:trHeight w:val="1454"/>
          <w:jc w:val="center"/>
        </w:trPr>
        <w:tc>
          <w:tcPr>
            <w:tcW w:w="3602"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Джерело варіації</w:t>
            </w:r>
          </w:p>
        </w:tc>
        <w:tc>
          <w:tcPr>
            <w:tcW w:w="1418"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Сума квадратів</w:t>
            </w:r>
          </w:p>
        </w:tc>
        <w:tc>
          <w:tcPr>
            <w:tcW w:w="850" w:type="dxa"/>
            <w:textDirection w:val="btLr"/>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Ступені свободи</w:t>
            </w:r>
          </w:p>
        </w:tc>
        <w:tc>
          <w:tcPr>
            <w:tcW w:w="1560"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Дисперсія</w:t>
            </w:r>
          </w:p>
        </w:tc>
        <w:tc>
          <w:tcPr>
            <w:tcW w:w="1701"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факт.</w:t>
            </w:r>
          </w:p>
        </w:tc>
        <w:tc>
          <w:tcPr>
            <w:tcW w:w="1701"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F</w:t>
            </w:r>
            <w:r w:rsidRPr="00CC7883">
              <w:rPr>
                <w:rFonts w:ascii="Times New Roman" w:eastAsia="Calibri" w:hAnsi="Times New Roman" w:cs="Times New Roman"/>
                <w:color w:val="000000" w:themeColor="text1"/>
                <w:kern w:val="0"/>
                <w:sz w:val="28"/>
                <w:szCs w:val="28"/>
                <w:vertAlign w:val="subscript"/>
              </w:rPr>
              <w:t>теор.</w:t>
            </w:r>
          </w:p>
        </w:tc>
        <w:tc>
          <w:tcPr>
            <w:tcW w:w="1172"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р-знач.</w:t>
            </w:r>
          </w:p>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p>
        </w:tc>
        <w:tc>
          <w:tcPr>
            <w:tcW w:w="1745" w:type="dxa"/>
            <w:textDirection w:val="btLr"/>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Вплив факторів,%</w:t>
            </w:r>
          </w:p>
        </w:tc>
      </w:tr>
      <w:tr w:rsidR="002B4090" w:rsidRPr="00CC7883" w:rsidTr="001955B6">
        <w:trPr>
          <w:cantSplit/>
          <w:trHeight w:val="355"/>
          <w:jc w:val="center"/>
        </w:trPr>
        <w:tc>
          <w:tcPr>
            <w:tcW w:w="3602"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1</w:t>
            </w:r>
          </w:p>
        </w:tc>
        <w:tc>
          <w:tcPr>
            <w:tcW w:w="1418"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2</w:t>
            </w:r>
          </w:p>
        </w:tc>
        <w:tc>
          <w:tcPr>
            <w:tcW w:w="850"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3</w:t>
            </w:r>
          </w:p>
        </w:tc>
        <w:tc>
          <w:tcPr>
            <w:tcW w:w="1560"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4</w:t>
            </w:r>
          </w:p>
        </w:tc>
        <w:tc>
          <w:tcPr>
            <w:tcW w:w="1701"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5</w:t>
            </w:r>
          </w:p>
        </w:tc>
        <w:tc>
          <w:tcPr>
            <w:tcW w:w="1701"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6</w:t>
            </w:r>
          </w:p>
        </w:tc>
        <w:tc>
          <w:tcPr>
            <w:tcW w:w="1172"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7</w:t>
            </w:r>
          </w:p>
        </w:tc>
        <w:tc>
          <w:tcPr>
            <w:tcW w:w="1745" w:type="dxa"/>
          </w:tcPr>
          <w:p w:rsidR="002B4090" w:rsidRPr="00CC7883" w:rsidRDefault="002B4090" w:rsidP="00047411">
            <w:pPr>
              <w:widowControl w:val="0"/>
              <w:spacing w:after="0" w:line="240" w:lineRule="auto"/>
              <w:jc w:val="center"/>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8</w:t>
            </w:r>
          </w:p>
        </w:tc>
      </w:tr>
      <w:tr w:rsidR="002B4090" w:rsidRPr="00CC7883" w:rsidTr="001955B6">
        <w:trPr>
          <w:jc w:val="center"/>
        </w:trPr>
        <w:tc>
          <w:tcPr>
            <w:tcW w:w="13749" w:type="dxa"/>
            <w:gridSpan w:val="8"/>
          </w:tcPr>
          <w:p w:rsidR="002B4090" w:rsidRPr="00CC7883" w:rsidRDefault="00217E43"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Приживлюваність в умовах in vivo через 30 діб, %</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205,342</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3</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68,4475</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1711,19</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2,901</w:t>
            </w: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0,00</w:t>
            </w:r>
          </w:p>
        </w:tc>
        <w:tc>
          <w:tcPr>
            <w:tcW w:w="174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12,13</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1337,468</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3</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445,8225</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11145,56</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2,901</w:t>
            </w: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0,00</w:t>
            </w:r>
          </w:p>
        </w:tc>
        <w:tc>
          <w:tcPr>
            <w:tcW w:w="174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79,06</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147,563</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9</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16,3958</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409,90</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2,188</w:t>
            </w: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0,00</w:t>
            </w:r>
          </w:p>
        </w:tc>
        <w:tc>
          <w:tcPr>
            <w:tcW w:w="174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8,72</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1,280</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32</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0,0400</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p>
        </w:tc>
        <w:tc>
          <w:tcPr>
            <w:tcW w:w="174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0,07</w:t>
            </w:r>
          </w:p>
        </w:tc>
      </w:tr>
      <w:tr w:rsidR="002B4090" w:rsidRPr="00CC7883" w:rsidTr="001955B6">
        <w:trPr>
          <w:jc w:val="center"/>
        </w:trPr>
        <w:tc>
          <w:tcPr>
            <w:tcW w:w="13749" w:type="dxa"/>
            <w:gridSpan w:val="8"/>
          </w:tcPr>
          <w:p w:rsidR="002B4090" w:rsidRPr="00CC7883" w:rsidRDefault="00217E43"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Приживлюваність в умовах in vivo через 60 діб, %</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72,270</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3</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24,090</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602,25</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2,901</w:t>
            </w: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0,00</w:t>
            </w:r>
          </w:p>
        </w:tc>
        <w:tc>
          <w:tcPr>
            <w:tcW w:w="1745" w:type="dxa"/>
          </w:tcPr>
          <w:p w:rsidR="009E34BC" w:rsidRPr="00CC7883" w:rsidRDefault="004D17B3"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1,48</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4744,845</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3</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1581,615</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39540,38</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2,901</w:t>
            </w: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0,00</w:t>
            </w:r>
          </w:p>
        </w:tc>
        <w:tc>
          <w:tcPr>
            <w:tcW w:w="174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97,18</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63,705</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9</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7,078</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176,96</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2,188</w:t>
            </w: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0,00</w:t>
            </w:r>
          </w:p>
        </w:tc>
        <w:tc>
          <w:tcPr>
            <w:tcW w:w="174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1,30</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1,280</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32</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0,040</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p>
        </w:tc>
        <w:tc>
          <w:tcPr>
            <w:tcW w:w="174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0,02</w:t>
            </w:r>
          </w:p>
        </w:tc>
      </w:tr>
      <w:tr w:rsidR="002B4090" w:rsidRPr="00CC7883" w:rsidTr="001955B6">
        <w:trPr>
          <w:jc w:val="center"/>
        </w:trPr>
        <w:tc>
          <w:tcPr>
            <w:tcW w:w="13749" w:type="dxa"/>
            <w:gridSpan w:val="8"/>
          </w:tcPr>
          <w:p w:rsidR="002B4090" w:rsidRPr="00CC7883" w:rsidRDefault="00217E43" w:rsidP="00047411">
            <w:pPr>
              <w:widowControl w:val="0"/>
              <w:spacing w:after="0" w:line="240" w:lineRule="auto"/>
              <w:jc w:val="center"/>
              <w:rPr>
                <w:rFonts w:ascii="Times New Roman" w:eastAsia="Calibri" w:hAnsi="Times New Roman" w:cs="Times New Roman"/>
                <w:i/>
                <w:color w:val="000000" w:themeColor="text1"/>
                <w:kern w:val="0"/>
                <w:sz w:val="28"/>
                <w:szCs w:val="28"/>
              </w:rPr>
            </w:pPr>
            <w:r w:rsidRPr="00CC7883">
              <w:rPr>
                <w:rFonts w:ascii="Times New Roman" w:eastAsia="Calibri" w:hAnsi="Times New Roman" w:cs="Times New Roman"/>
                <w:i/>
                <w:color w:val="000000" w:themeColor="text1"/>
                <w:kern w:val="0"/>
                <w:sz w:val="28"/>
                <w:szCs w:val="28"/>
              </w:rPr>
              <w:t>Приживлюваність в умовах in vivo через 90 діб, %</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55,282</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3</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18,427</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263,25</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2,901</w:t>
            </w: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0,00</w:t>
            </w:r>
          </w:p>
        </w:tc>
        <w:tc>
          <w:tcPr>
            <w:tcW w:w="174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0,86</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2</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6264,067</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3</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2088,023</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29828,89</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2,901</w:t>
            </w: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0,00</w:t>
            </w:r>
          </w:p>
        </w:tc>
        <w:tc>
          <w:tcPr>
            <w:tcW w:w="174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97,99</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Фактор 1×Фактор 2</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70,403</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9</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7,823</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111,75</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2,188</w:t>
            </w: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0,00</w:t>
            </w:r>
          </w:p>
        </w:tc>
        <w:tc>
          <w:tcPr>
            <w:tcW w:w="1745"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1,10</w:t>
            </w:r>
          </w:p>
        </w:tc>
      </w:tr>
      <w:tr w:rsidR="009E34BC" w:rsidRPr="00CC7883" w:rsidTr="001955B6">
        <w:trPr>
          <w:jc w:val="center"/>
        </w:trPr>
        <w:tc>
          <w:tcPr>
            <w:tcW w:w="3602" w:type="dxa"/>
          </w:tcPr>
          <w:p w:rsidR="009E34BC" w:rsidRPr="00CC7883" w:rsidRDefault="009E34BC" w:rsidP="00047411">
            <w:pPr>
              <w:widowControl w:val="0"/>
              <w:spacing w:after="0" w:line="240" w:lineRule="auto"/>
              <w:rPr>
                <w:rFonts w:ascii="Times New Roman" w:eastAsia="Calibri" w:hAnsi="Times New Roman" w:cs="Times New Roman"/>
                <w:color w:val="000000" w:themeColor="text1"/>
                <w:kern w:val="0"/>
                <w:sz w:val="28"/>
                <w:szCs w:val="28"/>
              </w:rPr>
            </w:pPr>
            <w:r w:rsidRPr="00CC7883">
              <w:rPr>
                <w:rFonts w:ascii="Times New Roman" w:eastAsia="Calibri" w:hAnsi="Times New Roman" w:cs="Times New Roman"/>
                <w:color w:val="000000" w:themeColor="text1"/>
                <w:kern w:val="0"/>
                <w:sz w:val="28"/>
                <w:szCs w:val="28"/>
              </w:rPr>
              <w:t>Похибка</w:t>
            </w:r>
          </w:p>
        </w:tc>
        <w:tc>
          <w:tcPr>
            <w:tcW w:w="1418"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2,240</w:t>
            </w:r>
          </w:p>
        </w:tc>
        <w:tc>
          <w:tcPr>
            <w:tcW w:w="85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32</w:t>
            </w:r>
          </w:p>
        </w:tc>
        <w:tc>
          <w:tcPr>
            <w:tcW w:w="1560"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0,070</w:t>
            </w: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p>
        </w:tc>
        <w:tc>
          <w:tcPr>
            <w:tcW w:w="1701"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p>
        </w:tc>
        <w:tc>
          <w:tcPr>
            <w:tcW w:w="1172" w:type="dxa"/>
          </w:tcPr>
          <w:p w:rsidR="009E34BC" w:rsidRPr="00CC7883" w:rsidRDefault="009E34BC" w:rsidP="00047411">
            <w:pPr>
              <w:widowControl w:val="0"/>
              <w:spacing w:after="0" w:line="240" w:lineRule="auto"/>
              <w:jc w:val="center"/>
              <w:rPr>
                <w:rFonts w:ascii="Times New Roman" w:hAnsi="Times New Roman" w:cs="Times New Roman"/>
                <w:color w:val="000000" w:themeColor="text1"/>
                <w:sz w:val="28"/>
              </w:rPr>
            </w:pPr>
          </w:p>
        </w:tc>
        <w:tc>
          <w:tcPr>
            <w:tcW w:w="1745" w:type="dxa"/>
          </w:tcPr>
          <w:p w:rsidR="009E34BC" w:rsidRPr="00CC7883" w:rsidRDefault="004D17B3" w:rsidP="00047411">
            <w:pPr>
              <w:widowControl w:val="0"/>
              <w:spacing w:after="0" w:line="240" w:lineRule="auto"/>
              <w:jc w:val="center"/>
              <w:rPr>
                <w:rFonts w:ascii="Times New Roman" w:hAnsi="Times New Roman" w:cs="Times New Roman"/>
                <w:color w:val="000000" w:themeColor="text1"/>
                <w:sz w:val="28"/>
              </w:rPr>
            </w:pPr>
            <w:r w:rsidRPr="00CC7883">
              <w:rPr>
                <w:rFonts w:ascii="Times New Roman" w:hAnsi="Times New Roman" w:cs="Times New Roman"/>
                <w:color w:val="000000" w:themeColor="text1"/>
                <w:sz w:val="28"/>
              </w:rPr>
              <w:t>0,03</w:t>
            </w:r>
          </w:p>
        </w:tc>
      </w:tr>
    </w:tbl>
    <w:p w:rsidR="005936B8" w:rsidRPr="00CC7883" w:rsidRDefault="005936B8" w:rsidP="00047411">
      <w:pPr>
        <w:widowControl w:val="0"/>
        <w:autoSpaceDN w:val="0"/>
        <w:spacing w:after="0" w:line="360" w:lineRule="auto"/>
        <w:textAlignment w:val="baseline"/>
        <w:rPr>
          <w:rFonts w:ascii="Times New Roman" w:eastAsia="NSimSun" w:hAnsi="Times New Roman" w:cs="Times New Roman"/>
          <w:color w:val="000000" w:themeColor="text1"/>
          <w:kern w:val="3"/>
          <w:sz w:val="28"/>
          <w:lang w:eastAsia="zh-CN" w:bidi="hi-IN"/>
        </w:rPr>
        <w:sectPr w:rsidR="005936B8" w:rsidRPr="00CC7883" w:rsidSect="00EF4E25">
          <w:footerReference w:type="default" r:id="rId247"/>
          <w:pgSz w:w="16838" w:h="11906" w:orient="landscape" w:code="9"/>
          <w:pgMar w:top="1701" w:right="1134" w:bottom="851" w:left="1134" w:header="709" w:footer="709" w:gutter="0"/>
          <w:cols w:space="708"/>
          <w:docGrid w:linePitch="360"/>
        </w:sectPr>
      </w:pPr>
    </w:p>
    <w:p w:rsidR="00854E40" w:rsidRPr="00CC7883" w:rsidRDefault="00854E40"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lang w:eastAsia="zh-CN" w:bidi="hi-IN"/>
        </w:rPr>
      </w:pPr>
      <w:r w:rsidRPr="00CC7883">
        <w:rPr>
          <w:rFonts w:ascii="Times New Roman" w:eastAsia="NSimSun" w:hAnsi="Times New Roman" w:cs="Times New Roman"/>
          <w:color w:val="000000" w:themeColor="text1"/>
          <w:kern w:val="3"/>
          <w:sz w:val="28"/>
          <w:lang w:eastAsia="zh-CN" w:bidi="hi-IN"/>
        </w:rPr>
        <w:lastRenderedPageBreak/>
        <w:t>Додаток</w:t>
      </w:r>
      <w:r w:rsidR="00B07113" w:rsidRPr="00CC7883">
        <w:rPr>
          <w:rFonts w:ascii="Times New Roman" w:eastAsia="NSimSun" w:hAnsi="Times New Roman" w:cs="Times New Roman"/>
          <w:color w:val="000000" w:themeColor="text1"/>
          <w:kern w:val="3"/>
          <w:sz w:val="28"/>
          <w:lang w:eastAsia="zh-CN" w:bidi="hi-IN"/>
        </w:rPr>
        <w:t xml:space="preserve"> Д</w:t>
      </w:r>
      <w:r w:rsidR="007B395A" w:rsidRPr="00CC7883">
        <w:rPr>
          <w:rFonts w:ascii="Times New Roman" w:eastAsia="NSimSun" w:hAnsi="Times New Roman" w:cs="Times New Roman"/>
          <w:color w:val="000000" w:themeColor="text1"/>
          <w:kern w:val="3"/>
          <w:sz w:val="28"/>
          <w:lang w:eastAsia="zh-CN" w:bidi="hi-IN"/>
        </w:rPr>
        <w:t>.</w:t>
      </w:r>
      <w:r w:rsidR="005515E2">
        <w:rPr>
          <w:rFonts w:ascii="Times New Roman" w:eastAsia="NSimSun" w:hAnsi="Times New Roman" w:cs="Times New Roman"/>
          <w:color w:val="000000" w:themeColor="text1"/>
          <w:kern w:val="3"/>
          <w:sz w:val="28"/>
          <w:lang w:eastAsia="zh-CN" w:bidi="hi-IN"/>
        </w:rPr>
        <w:t xml:space="preserve"> </w:t>
      </w:r>
      <w:r w:rsidR="007B395A" w:rsidRPr="00CC7883">
        <w:rPr>
          <w:rFonts w:ascii="Times New Roman" w:eastAsia="NSimSun" w:hAnsi="Times New Roman" w:cs="Times New Roman"/>
          <w:color w:val="000000" w:themeColor="text1"/>
          <w:kern w:val="3"/>
          <w:sz w:val="28"/>
          <w:lang w:eastAsia="zh-CN" w:bidi="hi-IN"/>
        </w:rPr>
        <w:t>1</w:t>
      </w:r>
    </w:p>
    <w:p w:rsidR="007B395A" w:rsidRPr="00CC7883" w:rsidRDefault="007B395A" w:rsidP="00047411">
      <w:pPr>
        <w:widowControl w:val="0"/>
        <w:autoSpaceDN w:val="0"/>
        <w:spacing w:after="0" w:line="360" w:lineRule="auto"/>
        <w:jc w:val="center"/>
        <w:textAlignment w:val="baseline"/>
        <w:rPr>
          <w:rFonts w:ascii="Times New Roman" w:eastAsia="NSimSun" w:hAnsi="Times New Roman" w:cs="Times New Roman"/>
          <w:color w:val="000000" w:themeColor="text1"/>
          <w:kern w:val="3"/>
          <w:sz w:val="28"/>
          <w:lang w:eastAsia="zh-CN" w:bidi="hi-IN"/>
        </w:rPr>
      </w:pPr>
    </w:p>
    <w:p w:rsidR="00854E40" w:rsidRPr="00CC7883" w:rsidRDefault="00854E40" w:rsidP="00047411">
      <w:pPr>
        <w:widowControl w:val="0"/>
        <w:spacing w:after="0" w:line="360" w:lineRule="auto"/>
        <w:jc w:val="center"/>
        <w:rPr>
          <w:rFonts w:ascii="Times New Roman" w:eastAsia="Calibri" w:hAnsi="Times New Roman" w:cs="Times New Roman"/>
          <w:color w:val="000000" w:themeColor="text1"/>
          <w:kern w:val="0"/>
          <w:sz w:val="28"/>
          <w:szCs w:val="22"/>
        </w:rPr>
      </w:pPr>
      <w:r w:rsidRPr="00CC7883">
        <w:rPr>
          <w:rFonts w:ascii="Times New Roman" w:eastAsia="Calibri" w:hAnsi="Times New Roman" w:cs="Times New Roman"/>
          <w:b/>
          <w:bCs/>
          <w:color w:val="000000" w:themeColor="text1"/>
          <w:kern w:val="0"/>
          <w:sz w:val="28"/>
          <w:szCs w:val="28"/>
          <w:lang w:eastAsia="uk-UA" w:bidi="uk-UA"/>
        </w:rPr>
        <w:t xml:space="preserve">Економічна ефективність удосконалених технологічних прийомів культивування винограду </w:t>
      </w:r>
      <w:r w:rsidR="00F67BBB" w:rsidRPr="00CC7883">
        <w:rPr>
          <w:rFonts w:ascii="Times New Roman" w:eastAsia="Calibri" w:hAnsi="Times New Roman" w:cs="Times New Roman"/>
          <w:b/>
          <w:bCs/>
          <w:i/>
          <w:color w:val="000000" w:themeColor="text1"/>
          <w:kern w:val="0"/>
          <w:sz w:val="28"/>
          <w:szCs w:val="28"/>
          <w:lang w:eastAsia="uk-UA" w:bidi="uk-UA"/>
        </w:rPr>
        <w:t>in</w:t>
      </w:r>
      <w:r w:rsidR="001221F9" w:rsidRPr="00CC7883">
        <w:rPr>
          <w:rFonts w:ascii="Times New Roman" w:eastAsia="Calibri" w:hAnsi="Times New Roman" w:cs="Times New Roman"/>
          <w:b/>
          <w:bCs/>
          <w:i/>
          <w:color w:val="000000" w:themeColor="text1"/>
          <w:kern w:val="0"/>
          <w:sz w:val="28"/>
          <w:szCs w:val="28"/>
          <w:lang w:eastAsia="uk-UA" w:bidi="uk-UA"/>
        </w:rPr>
        <w:t> </w:t>
      </w:r>
      <w:r w:rsidR="00F67BBB" w:rsidRPr="00CC7883">
        <w:rPr>
          <w:rFonts w:ascii="Times New Roman" w:eastAsia="Calibri" w:hAnsi="Times New Roman" w:cs="Times New Roman"/>
          <w:b/>
          <w:bCs/>
          <w:i/>
          <w:color w:val="000000" w:themeColor="text1"/>
          <w:kern w:val="0"/>
          <w:sz w:val="28"/>
          <w:szCs w:val="28"/>
          <w:lang w:eastAsia="uk-UA" w:bidi="uk-UA"/>
        </w:rPr>
        <w:t>vitro</w:t>
      </w:r>
      <w:r w:rsidR="00271886" w:rsidRPr="00CC7883">
        <w:rPr>
          <w:rFonts w:ascii="Times New Roman" w:eastAsia="Calibri" w:hAnsi="Times New Roman" w:cs="Times New Roman"/>
          <w:b/>
          <w:bCs/>
          <w:i/>
          <w:color w:val="000000" w:themeColor="text1"/>
          <w:kern w:val="0"/>
          <w:sz w:val="28"/>
          <w:szCs w:val="28"/>
          <w:lang w:eastAsia="uk-UA" w:bidi="uk-UA"/>
        </w:rPr>
        <w:t xml:space="preserve"> </w:t>
      </w:r>
      <w:r w:rsidRPr="00CC7883">
        <w:rPr>
          <w:rFonts w:ascii="Times New Roman" w:eastAsia="Calibri" w:hAnsi="Times New Roman" w:cs="Times New Roman"/>
          <w:b/>
          <w:bCs/>
          <w:color w:val="000000" w:themeColor="text1"/>
          <w:kern w:val="0"/>
          <w:sz w:val="28"/>
          <w:szCs w:val="28"/>
          <w:lang w:eastAsia="uk-UA" w:bidi="uk-UA"/>
        </w:rPr>
        <w:t xml:space="preserve">підщепного сорту «Гарант» </w:t>
      </w:r>
      <w:r w:rsidR="003E6D23" w:rsidRPr="00CC7883">
        <w:rPr>
          <w:rFonts w:ascii="Times New Roman" w:eastAsia="Calibri" w:hAnsi="Times New Roman" w:cs="Times New Roman"/>
          <w:b/>
          <w:color w:val="000000" w:themeColor="text1"/>
          <w:kern w:val="0"/>
          <w:sz w:val="28"/>
          <w:szCs w:val="28"/>
        </w:rPr>
        <w:t>(дослід 1)</w:t>
      </w:r>
    </w:p>
    <w:tbl>
      <w:tblPr>
        <w:tblStyle w:val="24"/>
        <w:tblW w:w="13836" w:type="dxa"/>
        <w:jc w:val="center"/>
        <w:tblLayout w:type="fixed"/>
        <w:tblLook w:val="04A0"/>
      </w:tblPr>
      <w:tblGrid>
        <w:gridCol w:w="4111"/>
        <w:gridCol w:w="1134"/>
        <w:gridCol w:w="709"/>
        <w:gridCol w:w="1559"/>
        <w:gridCol w:w="1276"/>
        <w:gridCol w:w="1275"/>
        <w:gridCol w:w="1418"/>
        <w:gridCol w:w="1192"/>
        <w:gridCol w:w="1162"/>
      </w:tblGrid>
      <w:tr w:rsidR="00854E40" w:rsidRPr="00CC7883" w:rsidTr="005515E2">
        <w:trPr>
          <w:jc w:val="center"/>
        </w:trPr>
        <w:tc>
          <w:tcPr>
            <w:tcW w:w="4111" w:type="dxa"/>
            <w:vMerge w:val="restart"/>
            <w:vAlign w:val="center"/>
          </w:tcPr>
          <w:p w:rsidR="00854E40" w:rsidRPr="00CC7883" w:rsidRDefault="00854E40" w:rsidP="004A76BD">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Показники</w:t>
            </w:r>
          </w:p>
        </w:tc>
        <w:tc>
          <w:tcPr>
            <w:tcW w:w="1134"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Термін культивування мікроклонів, діб</w:t>
            </w:r>
          </w:p>
        </w:tc>
        <w:tc>
          <w:tcPr>
            <w:tcW w:w="709"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Одиниці вимірювання</w:t>
            </w:r>
          </w:p>
        </w:tc>
        <w:tc>
          <w:tcPr>
            <w:tcW w:w="7882" w:type="dxa"/>
            <w:gridSpan w:val="6"/>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Варіанти досліду</w:t>
            </w:r>
          </w:p>
        </w:tc>
      </w:tr>
      <w:tr w:rsidR="00854E40" w:rsidRPr="00CC7883" w:rsidTr="00636E27">
        <w:trPr>
          <w:trHeight w:val="2576"/>
          <w:jc w:val="center"/>
        </w:trPr>
        <w:tc>
          <w:tcPr>
            <w:tcW w:w="4111" w:type="dxa"/>
            <w:vMerge/>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p>
        </w:tc>
        <w:tc>
          <w:tcPr>
            <w:tcW w:w="1134"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709"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192"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162"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r>
      <w:tr w:rsidR="00854E40" w:rsidRPr="00CC7883" w:rsidTr="00636E27">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1192"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c>
          <w:tcPr>
            <w:tcW w:w="1162"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9</w:t>
            </w:r>
          </w:p>
        </w:tc>
      </w:tr>
      <w:tr w:rsidR="00854E40" w:rsidRPr="00CC7883" w:rsidTr="00636E27">
        <w:trPr>
          <w:jc w:val="center"/>
        </w:trPr>
        <w:tc>
          <w:tcPr>
            <w:tcW w:w="4111" w:type="dxa"/>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Висаджено мікроклонів на адаптацію</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1000,0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1000,0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1000,0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1000,0</w:t>
            </w:r>
          </w:p>
        </w:tc>
        <w:tc>
          <w:tcPr>
            <w:tcW w:w="1192"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1000,0</w:t>
            </w:r>
          </w:p>
        </w:tc>
        <w:tc>
          <w:tcPr>
            <w:tcW w:w="1162"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1000,0</w:t>
            </w:r>
          </w:p>
        </w:tc>
      </w:tr>
      <w:tr w:rsidR="00854E40" w:rsidRPr="00CC7883" w:rsidTr="00636E27">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Приживлюваність мікроклонів через: </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535,0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490,0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680,0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550,0</w:t>
            </w:r>
          </w:p>
        </w:tc>
        <w:tc>
          <w:tcPr>
            <w:tcW w:w="1192"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725,0</w:t>
            </w:r>
          </w:p>
        </w:tc>
        <w:tc>
          <w:tcPr>
            <w:tcW w:w="1162"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620,0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53,5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49,0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68,0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55,0</w:t>
            </w:r>
          </w:p>
        </w:tc>
        <w:tc>
          <w:tcPr>
            <w:tcW w:w="1192"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72,5</w:t>
            </w:r>
          </w:p>
        </w:tc>
        <w:tc>
          <w:tcPr>
            <w:tcW w:w="1162"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62,0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363,0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300,0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520,0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480,0</w:t>
            </w:r>
          </w:p>
        </w:tc>
        <w:tc>
          <w:tcPr>
            <w:tcW w:w="1192"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655,0</w:t>
            </w:r>
          </w:p>
        </w:tc>
        <w:tc>
          <w:tcPr>
            <w:tcW w:w="1162"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550,0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36,3</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30,0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52,0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48,0</w:t>
            </w:r>
          </w:p>
        </w:tc>
        <w:tc>
          <w:tcPr>
            <w:tcW w:w="1192"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65,5</w:t>
            </w:r>
          </w:p>
        </w:tc>
        <w:tc>
          <w:tcPr>
            <w:tcW w:w="1162"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55,0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285,0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255,0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480,0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410,0</w:t>
            </w:r>
          </w:p>
        </w:tc>
        <w:tc>
          <w:tcPr>
            <w:tcW w:w="1192"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585,0</w:t>
            </w:r>
          </w:p>
        </w:tc>
        <w:tc>
          <w:tcPr>
            <w:tcW w:w="1162"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rPr>
              <w:t>480,0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28,5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25,5</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48,0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41,0</w:t>
            </w:r>
          </w:p>
        </w:tc>
        <w:tc>
          <w:tcPr>
            <w:tcW w:w="1192"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58,5</w:t>
            </w:r>
          </w:p>
        </w:tc>
        <w:tc>
          <w:tcPr>
            <w:tcW w:w="1162"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rPr>
              <w:t>48,0</w:t>
            </w:r>
          </w:p>
        </w:tc>
      </w:tr>
      <w:tr w:rsidR="00854E40" w:rsidRPr="00CC7883" w:rsidTr="00636E27">
        <w:trPr>
          <w:jc w:val="center"/>
        </w:trPr>
        <w:tc>
          <w:tcPr>
            <w:tcW w:w="4111" w:type="dxa"/>
            <w:vAlign w:val="center"/>
          </w:tcPr>
          <w:p w:rsidR="00854E40" w:rsidRPr="00FC48E2" w:rsidRDefault="00854E40" w:rsidP="00047411">
            <w:pPr>
              <w:widowControl w:val="0"/>
              <w:rPr>
                <w:rFonts w:ascii="Times New Roman" w:eastAsia="Calibri" w:hAnsi="Times New Roman" w:cs="Times New Roman"/>
                <w:bCs/>
                <w:color w:val="000000" w:themeColor="text1"/>
                <w:sz w:val="28"/>
                <w:szCs w:val="28"/>
                <w:lang w:val="ru-RU"/>
              </w:rPr>
            </w:pPr>
            <w:r w:rsidRPr="00FC48E2">
              <w:rPr>
                <w:rFonts w:ascii="Times New Roman" w:eastAsia="Calibri" w:hAnsi="Times New Roman" w:cs="Times New Roman"/>
                <w:bCs/>
                <w:color w:val="000000" w:themeColor="text1"/>
                <w:sz w:val="28"/>
                <w:szCs w:val="28"/>
                <w:lang w:val="ru-RU"/>
              </w:rPr>
              <w:t xml:space="preserve">Витрати на одержання мікроклонів, у т. ч.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39139,0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40739,0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40249,2</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41849,2</w:t>
            </w:r>
          </w:p>
        </w:tc>
        <w:tc>
          <w:tcPr>
            <w:tcW w:w="1192"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39389,3</w:t>
            </w:r>
          </w:p>
        </w:tc>
        <w:tc>
          <w:tcPr>
            <w:tcW w:w="1162"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40989,3</w:t>
            </w:r>
          </w:p>
        </w:tc>
      </w:tr>
    </w:tbl>
    <w:p w:rsidR="00796AB1" w:rsidRPr="00CC7883" w:rsidRDefault="00854E40" w:rsidP="00047411">
      <w:pPr>
        <w:widowControl w:val="0"/>
        <w:spacing w:after="0" w:line="360" w:lineRule="auto"/>
        <w:rPr>
          <w:rFonts w:ascii="Times New Roman" w:eastAsia="Calibri" w:hAnsi="Times New Roman" w:cs="Times New Roman"/>
          <w:color w:val="000000" w:themeColor="text1"/>
          <w:kern w:val="0"/>
          <w:sz w:val="22"/>
          <w:szCs w:val="22"/>
        </w:rPr>
        <w:sectPr w:rsidR="00796AB1" w:rsidRPr="00CC7883" w:rsidSect="00EF4E25">
          <w:footerReference w:type="default" r:id="rId248"/>
          <w:pgSz w:w="16838" w:h="11906" w:orient="landscape" w:code="9"/>
          <w:pgMar w:top="1701" w:right="1134" w:bottom="851" w:left="1134" w:header="709" w:footer="709" w:gutter="0"/>
          <w:cols w:space="708"/>
          <w:docGrid w:linePitch="360"/>
        </w:sectPr>
      </w:pPr>
      <w:r w:rsidRPr="00CC7883">
        <w:rPr>
          <w:rFonts w:ascii="Times New Roman" w:eastAsia="Calibri" w:hAnsi="Times New Roman" w:cs="Times New Roman"/>
          <w:color w:val="000000" w:themeColor="text1"/>
          <w:kern w:val="0"/>
          <w:sz w:val="22"/>
          <w:szCs w:val="22"/>
        </w:rPr>
        <w:br w:type="page"/>
      </w:r>
    </w:p>
    <w:p w:rsidR="00854E40" w:rsidRPr="00CC7883" w:rsidRDefault="005515E2" w:rsidP="005515E2">
      <w:pPr>
        <w:widowControl w:val="0"/>
        <w:spacing w:after="0" w:line="360" w:lineRule="auto"/>
        <w:ind w:left="9926" w:right="-178" w:firstLine="709"/>
        <w:jc w:val="center"/>
        <w:rPr>
          <w:rFonts w:ascii="Times New Roman" w:eastAsia="Calibri" w:hAnsi="Times New Roman" w:cs="Times New Roman"/>
          <w:color w:val="000000" w:themeColor="text1"/>
          <w:kern w:val="0"/>
          <w:sz w:val="22"/>
          <w:szCs w:val="22"/>
        </w:rPr>
      </w:pPr>
      <w:r>
        <w:rPr>
          <w:rFonts w:ascii="Times New Roman" w:eastAsia="Calibri" w:hAnsi="Times New Roman" w:cs="Times New Roman"/>
          <w:color w:val="000000" w:themeColor="text1"/>
          <w:kern w:val="0"/>
        </w:rPr>
        <w:lastRenderedPageBreak/>
        <w:t xml:space="preserve">     </w:t>
      </w:r>
      <w:r w:rsidR="00B07113" w:rsidRPr="00CC7883">
        <w:rPr>
          <w:rFonts w:ascii="Times New Roman" w:eastAsia="Calibri" w:hAnsi="Times New Roman" w:cs="Times New Roman"/>
          <w:color w:val="000000" w:themeColor="text1"/>
          <w:kern w:val="0"/>
        </w:rPr>
        <w:t xml:space="preserve">Продовження </w:t>
      </w:r>
      <w:r w:rsidR="007B395A" w:rsidRPr="00CC7883">
        <w:rPr>
          <w:rFonts w:ascii="Times New Roman" w:eastAsia="Calibri" w:hAnsi="Times New Roman" w:cs="Times New Roman"/>
          <w:color w:val="000000" w:themeColor="text1"/>
          <w:kern w:val="0"/>
        </w:rPr>
        <w:t>додатку</w:t>
      </w:r>
      <w:r w:rsidR="00B07113" w:rsidRPr="00CC7883">
        <w:rPr>
          <w:rFonts w:ascii="Times New Roman" w:eastAsia="Calibri" w:hAnsi="Times New Roman" w:cs="Times New Roman"/>
          <w:color w:val="000000" w:themeColor="text1"/>
          <w:kern w:val="0"/>
        </w:rPr>
        <w:t xml:space="preserve"> Д</w:t>
      </w:r>
      <w:r w:rsidR="00854E40" w:rsidRPr="00CC7883">
        <w:rPr>
          <w:rFonts w:ascii="Times New Roman" w:eastAsia="Calibri" w:hAnsi="Times New Roman" w:cs="Times New Roman"/>
          <w:color w:val="000000" w:themeColor="text1"/>
          <w:kern w:val="0"/>
        </w:rPr>
        <w:t>.</w:t>
      </w:r>
      <w:r>
        <w:rPr>
          <w:rFonts w:ascii="Times New Roman" w:eastAsia="Calibri" w:hAnsi="Times New Roman" w:cs="Times New Roman"/>
          <w:color w:val="000000" w:themeColor="text1"/>
          <w:kern w:val="0"/>
        </w:rPr>
        <w:t xml:space="preserve"> </w:t>
      </w:r>
      <w:r w:rsidR="00854E40" w:rsidRPr="00CC7883">
        <w:rPr>
          <w:rFonts w:ascii="Times New Roman" w:eastAsia="Calibri" w:hAnsi="Times New Roman" w:cs="Times New Roman"/>
          <w:color w:val="000000" w:themeColor="text1"/>
          <w:kern w:val="0"/>
        </w:rPr>
        <w:t>1</w:t>
      </w:r>
    </w:p>
    <w:tbl>
      <w:tblPr>
        <w:tblStyle w:val="24"/>
        <w:tblW w:w="13892" w:type="dxa"/>
        <w:jc w:val="center"/>
        <w:tblLayout w:type="fixed"/>
        <w:tblLook w:val="04A0"/>
      </w:tblPr>
      <w:tblGrid>
        <w:gridCol w:w="4111"/>
        <w:gridCol w:w="1134"/>
        <w:gridCol w:w="709"/>
        <w:gridCol w:w="1559"/>
        <w:gridCol w:w="1276"/>
        <w:gridCol w:w="1275"/>
        <w:gridCol w:w="1418"/>
        <w:gridCol w:w="1276"/>
        <w:gridCol w:w="1134"/>
      </w:tblGrid>
      <w:tr w:rsidR="00854E40" w:rsidRPr="00CC7883" w:rsidTr="003E6CDD">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9</w:t>
            </w:r>
          </w:p>
        </w:tc>
      </w:tr>
      <w:tr w:rsidR="00854E40" w:rsidRPr="00CC7883" w:rsidTr="00636E27">
        <w:trPr>
          <w:jc w:val="center"/>
        </w:trPr>
        <w:tc>
          <w:tcPr>
            <w:tcW w:w="4111" w:type="dxa"/>
            <w:vAlign w:val="center"/>
          </w:tcPr>
          <w:p w:rsidR="00854E40" w:rsidRPr="00FC48E2" w:rsidRDefault="00854E40" w:rsidP="00047411">
            <w:pPr>
              <w:widowControl w:val="0"/>
              <w:ind w:left="737" w:hanging="426"/>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     витрати на введення ініціальних експлантів та їх мікророзмноження</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r>
      <w:tr w:rsidR="00854E40" w:rsidRPr="00CC7883" w:rsidTr="00636E27">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приготування поживних середовищ</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r>
      <w:tr w:rsidR="00854E40" w:rsidRPr="00CC7883" w:rsidTr="00636E27">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вартість препаратів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1110,2</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1110,2</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250,3</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250,3</w:t>
            </w:r>
          </w:p>
        </w:tc>
      </w:tr>
      <w:tr w:rsidR="00854E40" w:rsidRPr="00CC7883" w:rsidTr="00636E27">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енергоресурси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r>
      <w:tr w:rsidR="00854E40" w:rsidRPr="00CC7883" w:rsidTr="00636E27">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трудові витрати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r>
      <w:tr w:rsidR="00854E40" w:rsidRPr="00CC7883" w:rsidTr="00636E27">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Собівартість 1 тис. адаптованих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73157,0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83140,8</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59190,0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76089,5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54330,1</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66111,8</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107820,9</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135796,7</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77402,3</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87185,8</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60136,3</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74526,0</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137329,8</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159760,8</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83852,5</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102071,2</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67332,1</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85394,4</w:t>
            </w:r>
          </w:p>
        </w:tc>
      </w:tr>
      <w:tr w:rsidR="00854E40" w:rsidRPr="00CC7883" w:rsidTr="00636E27">
        <w:trPr>
          <w:jc w:val="center"/>
        </w:trPr>
        <w:tc>
          <w:tcPr>
            <w:tcW w:w="4111" w:type="dxa"/>
            <w:vAlign w:val="center"/>
          </w:tcPr>
          <w:p w:rsidR="00854E40" w:rsidRPr="00FC48E2" w:rsidRDefault="00854E40" w:rsidP="00047411">
            <w:pPr>
              <w:widowControl w:val="0"/>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Ціна реалізації адаптованого мікроклона, грн</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r>
      <w:tr w:rsidR="00854E40" w:rsidRPr="00CC7883" w:rsidTr="00636E27">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Прибуток (на 1000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9011,0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3361,0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20950,8</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7650,8</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25860,7</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14810,7</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6550,8</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1350,8</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19560,7</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8510,7</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2950,8</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13260,7</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2210,7</w:t>
            </w:r>
          </w:p>
        </w:tc>
      </w:tr>
      <w:tr w:rsidR="00854E40" w:rsidRPr="00CC7883" w:rsidTr="00636E27">
        <w:trPr>
          <w:jc w:val="center"/>
        </w:trPr>
        <w:tc>
          <w:tcPr>
            <w:tcW w:w="4111" w:type="dxa"/>
            <w:vMerge w:val="restart"/>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Рівень рентабельності</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23,0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8,3</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52,1</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18,3</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65,7</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36,1</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16,3</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3,2</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49,7</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20,8</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7,3</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33,7</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5,4</w:t>
            </w:r>
          </w:p>
        </w:tc>
      </w:tr>
    </w:tbl>
    <w:p w:rsidR="00854E40" w:rsidRPr="00CC7883" w:rsidRDefault="00854E40" w:rsidP="00047411">
      <w:pPr>
        <w:widowControl w:val="0"/>
        <w:spacing w:after="0" w:line="360" w:lineRule="auto"/>
        <w:jc w:val="right"/>
        <w:rPr>
          <w:rFonts w:ascii="Times New Roman" w:eastAsia="Calibri" w:hAnsi="Times New Roman" w:cs="Times New Roman"/>
          <w:color w:val="000000" w:themeColor="text1"/>
          <w:kern w:val="0"/>
        </w:rPr>
      </w:pPr>
    </w:p>
    <w:p w:rsidR="00796AB1" w:rsidRPr="00CC7883" w:rsidRDefault="00854E40" w:rsidP="00047411">
      <w:pPr>
        <w:widowControl w:val="0"/>
        <w:spacing w:line="259" w:lineRule="auto"/>
        <w:rPr>
          <w:rFonts w:ascii="Times New Roman" w:eastAsia="Calibri" w:hAnsi="Times New Roman" w:cs="Times New Roman"/>
          <w:color w:val="000000" w:themeColor="text1"/>
          <w:kern w:val="0"/>
        </w:rPr>
        <w:sectPr w:rsidR="00796AB1" w:rsidRPr="00CC7883" w:rsidSect="00EF4E25">
          <w:footerReference w:type="default" r:id="rId249"/>
          <w:pgSz w:w="16838" w:h="11906" w:orient="landscape" w:code="9"/>
          <w:pgMar w:top="1701" w:right="1134" w:bottom="851" w:left="1134" w:header="709" w:footer="709" w:gutter="0"/>
          <w:cols w:space="708"/>
          <w:docGrid w:linePitch="360"/>
        </w:sectPr>
      </w:pPr>
      <w:r w:rsidRPr="00CC7883">
        <w:rPr>
          <w:rFonts w:ascii="Times New Roman" w:eastAsia="Calibri" w:hAnsi="Times New Roman" w:cs="Times New Roman"/>
          <w:color w:val="000000" w:themeColor="text1"/>
          <w:kern w:val="0"/>
        </w:rPr>
        <w:br w:type="page"/>
      </w:r>
    </w:p>
    <w:p w:rsidR="007B395A" w:rsidRPr="00CC7883" w:rsidRDefault="005515E2" w:rsidP="005515E2">
      <w:pPr>
        <w:widowControl w:val="0"/>
        <w:spacing w:after="0" w:line="360" w:lineRule="auto"/>
        <w:ind w:left="10635" w:right="-178"/>
        <w:jc w:val="center"/>
        <w:rPr>
          <w:rFonts w:ascii="Times New Roman" w:eastAsia="Calibri" w:hAnsi="Times New Roman" w:cs="Times New Roman"/>
          <w:color w:val="000000" w:themeColor="text1"/>
          <w:kern w:val="0"/>
          <w:sz w:val="22"/>
          <w:szCs w:val="22"/>
        </w:rPr>
      </w:pPr>
      <w:r>
        <w:rPr>
          <w:rFonts w:ascii="Times New Roman" w:eastAsia="Calibri" w:hAnsi="Times New Roman" w:cs="Times New Roman"/>
          <w:color w:val="000000" w:themeColor="text1"/>
          <w:kern w:val="0"/>
        </w:rPr>
        <w:lastRenderedPageBreak/>
        <w:t xml:space="preserve">     </w:t>
      </w:r>
      <w:r w:rsidR="007B395A" w:rsidRPr="00CC7883">
        <w:rPr>
          <w:rFonts w:ascii="Times New Roman" w:eastAsia="Calibri" w:hAnsi="Times New Roman" w:cs="Times New Roman"/>
          <w:color w:val="000000" w:themeColor="text1"/>
          <w:kern w:val="0"/>
        </w:rPr>
        <w:t>Продовження додатку Д.</w:t>
      </w:r>
      <w:r>
        <w:rPr>
          <w:rFonts w:ascii="Times New Roman" w:eastAsia="Calibri" w:hAnsi="Times New Roman" w:cs="Times New Roman"/>
          <w:color w:val="000000" w:themeColor="text1"/>
          <w:kern w:val="0"/>
        </w:rPr>
        <w:t xml:space="preserve"> </w:t>
      </w:r>
      <w:r w:rsidR="007B395A" w:rsidRPr="00CC7883">
        <w:rPr>
          <w:rFonts w:ascii="Times New Roman" w:eastAsia="Calibri" w:hAnsi="Times New Roman" w:cs="Times New Roman"/>
          <w:color w:val="000000" w:themeColor="text1"/>
          <w:kern w:val="0"/>
        </w:rPr>
        <w:t>1</w:t>
      </w:r>
    </w:p>
    <w:tbl>
      <w:tblPr>
        <w:tblStyle w:val="24"/>
        <w:tblW w:w="13892" w:type="dxa"/>
        <w:jc w:val="center"/>
        <w:tblLayout w:type="fixed"/>
        <w:tblLook w:val="04A0"/>
      </w:tblPr>
      <w:tblGrid>
        <w:gridCol w:w="4111"/>
        <w:gridCol w:w="1134"/>
        <w:gridCol w:w="709"/>
        <w:gridCol w:w="1559"/>
        <w:gridCol w:w="1276"/>
        <w:gridCol w:w="1275"/>
        <w:gridCol w:w="1418"/>
        <w:gridCol w:w="1276"/>
        <w:gridCol w:w="1134"/>
      </w:tblGrid>
      <w:tr w:rsidR="00854E40" w:rsidRPr="00CC7883" w:rsidTr="003E6CDD">
        <w:trPr>
          <w:jc w:val="center"/>
        </w:trPr>
        <w:tc>
          <w:tcPr>
            <w:tcW w:w="4111" w:type="dxa"/>
            <w:vMerge w:val="restart"/>
            <w:vAlign w:val="center"/>
          </w:tcPr>
          <w:p w:rsidR="00854E40" w:rsidRPr="00CC7883" w:rsidRDefault="00854E40" w:rsidP="004A76BD">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Показники</w:t>
            </w:r>
          </w:p>
        </w:tc>
        <w:tc>
          <w:tcPr>
            <w:tcW w:w="1134"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Термін культивування мікроклонів, діб</w:t>
            </w:r>
          </w:p>
        </w:tc>
        <w:tc>
          <w:tcPr>
            <w:tcW w:w="709"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Одиниці вимірювання</w:t>
            </w:r>
          </w:p>
        </w:tc>
        <w:tc>
          <w:tcPr>
            <w:tcW w:w="7938" w:type="dxa"/>
            <w:gridSpan w:val="6"/>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Варіанти досліду</w:t>
            </w:r>
          </w:p>
        </w:tc>
      </w:tr>
      <w:tr w:rsidR="00854E40" w:rsidRPr="00CC7883" w:rsidTr="003E6CDD">
        <w:trPr>
          <w:trHeight w:val="2576"/>
          <w:jc w:val="center"/>
        </w:trPr>
        <w:tc>
          <w:tcPr>
            <w:tcW w:w="4111" w:type="dxa"/>
            <w:vMerge/>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p>
        </w:tc>
        <w:tc>
          <w:tcPr>
            <w:tcW w:w="1134"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709"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r>
      <w:tr w:rsidR="00854E40" w:rsidRPr="00CC7883" w:rsidTr="003E6CDD">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9</w:t>
            </w:r>
          </w:p>
        </w:tc>
      </w:tr>
      <w:tr w:rsidR="00854E40" w:rsidRPr="00CC7883" w:rsidTr="00636E27">
        <w:trPr>
          <w:jc w:val="center"/>
        </w:trPr>
        <w:tc>
          <w:tcPr>
            <w:tcW w:w="4111" w:type="dxa"/>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Висаджено мікроклонів на адаптацію</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r>
      <w:tr w:rsidR="00854E40" w:rsidRPr="00CC7883" w:rsidTr="00636E27">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Приживлюваність мікроклонів через: </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960,0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815,0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860,0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775,0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875,0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840,0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96,0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81,5</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86,0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77,5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87,5</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84,0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770,0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615,0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670,0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585,0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710,0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680,0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77,0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61,5</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67,0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71,0</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68,0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740,0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570,0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525,0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665,0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74,0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57,0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66,5</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65,0</w:t>
            </w:r>
          </w:p>
        </w:tc>
      </w:tr>
      <w:tr w:rsidR="00854E40" w:rsidRPr="00CC7883" w:rsidTr="00636E27">
        <w:trPr>
          <w:jc w:val="center"/>
        </w:trPr>
        <w:tc>
          <w:tcPr>
            <w:tcW w:w="4111" w:type="dxa"/>
            <w:vAlign w:val="center"/>
          </w:tcPr>
          <w:p w:rsidR="00854E40" w:rsidRPr="00FC48E2" w:rsidRDefault="00854E40" w:rsidP="00047411">
            <w:pPr>
              <w:widowControl w:val="0"/>
              <w:rPr>
                <w:rFonts w:ascii="Times New Roman" w:eastAsia="Calibri" w:hAnsi="Times New Roman" w:cs="Times New Roman"/>
                <w:bCs/>
                <w:color w:val="000000" w:themeColor="text1"/>
                <w:sz w:val="28"/>
                <w:szCs w:val="28"/>
                <w:lang w:val="ru-RU"/>
              </w:rPr>
            </w:pPr>
            <w:r w:rsidRPr="00FC48E2">
              <w:rPr>
                <w:rFonts w:ascii="Times New Roman" w:eastAsia="Calibri" w:hAnsi="Times New Roman" w:cs="Times New Roman"/>
                <w:bCs/>
                <w:color w:val="000000" w:themeColor="text1"/>
                <w:sz w:val="28"/>
                <w:szCs w:val="28"/>
                <w:lang w:val="ru-RU"/>
              </w:rPr>
              <w:t xml:space="preserve">Витрати на одержання мікроклонів, у т. ч.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39269,2</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40869,2</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39229,4</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40829,4</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39359,6</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40959,6</w:t>
            </w:r>
          </w:p>
        </w:tc>
      </w:tr>
      <w:tr w:rsidR="00854E40" w:rsidRPr="00CC7883" w:rsidTr="00636E27">
        <w:trPr>
          <w:jc w:val="center"/>
        </w:trPr>
        <w:tc>
          <w:tcPr>
            <w:tcW w:w="4111" w:type="dxa"/>
            <w:vAlign w:val="center"/>
          </w:tcPr>
          <w:p w:rsidR="00854E40" w:rsidRPr="00FC48E2" w:rsidRDefault="00854E40" w:rsidP="00047411">
            <w:pPr>
              <w:widowControl w:val="0"/>
              <w:ind w:left="453"/>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  витрати на введення ініціальних експлантів та їх мікророзмноження</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r>
      <w:tr w:rsidR="00854E40" w:rsidRPr="00CC7883" w:rsidTr="00636E27">
        <w:trPr>
          <w:jc w:val="center"/>
        </w:trPr>
        <w:tc>
          <w:tcPr>
            <w:tcW w:w="4111" w:type="dxa"/>
            <w:vAlign w:val="center"/>
          </w:tcPr>
          <w:p w:rsidR="00854E40" w:rsidRPr="00CC7883" w:rsidRDefault="00854E40" w:rsidP="00047411">
            <w:pPr>
              <w:widowControl w:val="0"/>
              <w:ind w:left="453"/>
              <w:contextualSpacing/>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приготування поживних середовищ</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r>
    </w:tbl>
    <w:p w:rsidR="00796AB1" w:rsidRPr="00CC7883" w:rsidRDefault="00854E40" w:rsidP="00047411">
      <w:pPr>
        <w:widowControl w:val="0"/>
        <w:spacing w:after="0" w:line="360" w:lineRule="auto"/>
        <w:rPr>
          <w:rFonts w:ascii="Times New Roman" w:eastAsia="Calibri" w:hAnsi="Times New Roman" w:cs="Times New Roman"/>
          <w:color w:val="000000" w:themeColor="text1"/>
          <w:kern w:val="0"/>
          <w:sz w:val="22"/>
          <w:szCs w:val="22"/>
        </w:rPr>
        <w:sectPr w:rsidR="00796AB1" w:rsidRPr="00CC7883" w:rsidSect="00EF4E25">
          <w:footerReference w:type="default" r:id="rId250"/>
          <w:pgSz w:w="16838" w:h="11906" w:orient="landscape" w:code="9"/>
          <w:pgMar w:top="1701" w:right="1134" w:bottom="851" w:left="1134" w:header="709" w:footer="709" w:gutter="0"/>
          <w:cols w:space="708"/>
          <w:docGrid w:linePitch="360"/>
        </w:sectPr>
      </w:pPr>
      <w:r w:rsidRPr="00CC7883">
        <w:rPr>
          <w:rFonts w:ascii="Times New Roman" w:eastAsia="Calibri" w:hAnsi="Times New Roman" w:cs="Times New Roman"/>
          <w:color w:val="000000" w:themeColor="text1"/>
          <w:kern w:val="0"/>
          <w:sz w:val="22"/>
          <w:szCs w:val="22"/>
        </w:rPr>
        <w:br w:type="page"/>
      </w:r>
    </w:p>
    <w:p w:rsidR="007B395A" w:rsidRPr="00CC7883" w:rsidRDefault="005515E2" w:rsidP="005515E2">
      <w:pPr>
        <w:widowControl w:val="0"/>
        <w:spacing w:after="0" w:line="360" w:lineRule="auto"/>
        <w:ind w:left="9926" w:right="-178" w:firstLine="709"/>
        <w:jc w:val="center"/>
        <w:rPr>
          <w:rFonts w:ascii="Times New Roman" w:eastAsia="Calibri" w:hAnsi="Times New Roman" w:cs="Times New Roman"/>
          <w:color w:val="000000" w:themeColor="text1"/>
          <w:kern w:val="0"/>
          <w:sz w:val="22"/>
          <w:szCs w:val="22"/>
        </w:rPr>
      </w:pPr>
      <w:r>
        <w:rPr>
          <w:rFonts w:ascii="Times New Roman" w:eastAsia="Calibri" w:hAnsi="Times New Roman" w:cs="Times New Roman"/>
          <w:color w:val="000000" w:themeColor="text1"/>
          <w:kern w:val="0"/>
        </w:rPr>
        <w:lastRenderedPageBreak/>
        <w:t xml:space="preserve">     </w:t>
      </w:r>
      <w:r w:rsidR="007B395A" w:rsidRPr="00CC7883">
        <w:rPr>
          <w:rFonts w:ascii="Times New Roman" w:eastAsia="Calibri" w:hAnsi="Times New Roman" w:cs="Times New Roman"/>
          <w:color w:val="000000" w:themeColor="text1"/>
          <w:kern w:val="0"/>
        </w:rPr>
        <w:t>Продовження додатку Д.</w:t>
      </w:r>
      <w:r>
        <w:rPr>
          <w:rFonts w:ascii="Times New Roman" w:eastAsia="Calibri" w:hAnsi="Times New Roman" w:cs="Times New Roman"/>
          <w:color w:val="000000" w:themeColor="text1"/>
          <w:kern w:val="0"/>
        </w:rPr>
        <w:t xml:space="preserve"> </w:t>
      </w:r>
      <w:r w:rsidR="007B395A" w:rsidRPr="00CC7883">
        <w:rPr>
          <w:rFonts w:ascii="Times New Roman" w:eastAsia="Calibri" w:hAnsi="Times New Roman" w:cs="Times New Roman"/>
          <w:color w:val="000000" w:themeColor="text1"/>
          <w:kern w:val="0"/>
        </w:rPr>
        <w:t>1</w:t>
      </w:r>
    </w:p>
    <w:tbl>
      <w:tblPr>
        <w:tblStyle w:val="24"/>
        <w:tblW w:w="13892" w:type="dxa"/>
        <w:jc w:val="center"/>
        <w:tblLayout w:type="fixed"/>
        <w:tblLook w:val="04A0"/>
      </w:tblPr>
      <w:tblGrid>
        <w:gridCol w:w="4111"/>
        <w:gridCol w:w="1134"/>
        <w:gridCol w:w="709"/>
        <w:gridCol w:w="1559"/>
        <w:gridCol w:w="1276"/>
        <w:gridCol w:w="1275"/>
        <w:gridCol w:w="1418"/>
        <w:gridCol w:w="1276"/>
        <w:gridCol w:w="1134"/>
      </w:tblGrid>
      <w:tr w:rsidR="00854E40" w:rsidRPr="00CC7883" w:rsidTr="003E6CDD">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9</w:t>
            </w:r>
          </w:p>
        </w:tc>
      </w:tr>
      <w:tr w:rsidR="00854E40" w:rsidRPr="00CC7883" w:rsidTr="007E3710">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вартість препаратів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130,2</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130,2</w:t>
            </w:r>
          </w:p>
        </w:tc>
        <w:tc>
          <w:tcPr>
            <w:tcW w:w="1275"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90,4</w:t>
            </w:r>
          </w:p>
        </w:tc>
        <w:tc>
          <w:tcPr>
            <w:tcW w:w="1418"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90,4</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220,6</w:t>
            </w:r>
          </w:p>
        </w:tc>
        <w:tc>
          <w:tcPr>
            <w:tcW w:w="1134"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220,6</w:t>
            </w:r>
          </w:p>
        </w:tc>
      </w:tr>
      <w:tr w:rsidR="00854E40" w:rsidRPr="00CC7883" w:rsidTr="007E3710">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енергоресурси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5"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418"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134"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r>
      <w:tr w:rsidR="00854E40" w:rsidRPr="00CC7883" w:rsidTr="007E3710">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трудові витрати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5"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418"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134"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r>
      <w:tr w:rsidR="00854E40" w:rsidRPr="00CC7883" w:rsidTr="007E3710">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Собівартість 1 тис. адаптованих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40905,4</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50146,3</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45615,6</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52683,1</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44982,4</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48761,4</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50999,0</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66454,0</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58551,3</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69793,8</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55436,1</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60234,7</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53066,5</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71700,4</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65382,3</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77770,3</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59187,4</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63014,8</w:t>
            </w:r>
          </w:p>
        </w:tc>
      </w:tr>
      <w:tr w:rsidR="00854E40" w:rsidRPr="00CC7883" w:rsidTr="007E3710">
        <w:trPr>
          <w:jc w:val="center"/>
        </w:trPr>
        <w:tc>
          <w:tcPr>
            <w:tcW w:w="4111" w:type="dxa"/>
            <w:vAlign w:val="center"/>
          </w:tcPr>
          <w:p w:rsidR="00854E40" w:rsidRPr="00FC48E2" w:rsidRDefault="00854E40" w:rsidP="00047411">
            <w:pPr>
              <w:widowControl w:val="0"/>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Ціна реалізації адаптованого мікроклона, грн</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5"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418"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134"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r>
      <w:tr w:rsidR="00854E40" w:rsidRPr="00CC7883" w:rsidTr="007E3710">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Прибуток (на 1000 мікроклонів)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47130,8</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32480,8</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38170,6</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28920,6</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39390,4</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34640,4</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30030,8</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14480,8</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21070,6</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11820,6</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24540,4</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20240,4</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27330,8</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10430,8</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14770,6</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6420,6</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20490,4</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17540,4</w:t>
            </w:r>
          </w:p>
        </w:tc>
      </w:tr>
      <w:tr w:rsidR="00854E40" w:rsidRPr="00CC7883" w:rsidTr="007E3710">
        <w:trPr>
          <w:jc w:val="center"/>
        </w:trPr>
        <w:tc>
          <w:tcPr>
            <w:tcW w:w="4111" w:type="dxa"/>
            <w:vMerge w:val="restart"/>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Рівень рентабельності</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120,0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79,5</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97,3</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70,8</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100,1</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84,6</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76,5</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35,4</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53,7</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29,0</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62,3</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49,4</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69,6</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25,5</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37,7</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15,7</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52,1</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42,8</w:t>
            </w:r>
          </w:p>
        </w:tc>
      </w:tr>
    </w:tbl>
    <w:p w:rsidR="00854E40" w:rsidRPr="00CC7883" w:rsidRDefault="00854E40" w:rsidP="00047411">
      <w:pPr>
        <w:widowControl w:val="0"/>
        <w:spacing w:after="0" w:line="360" w:lineRule="auto"/>
        <w:jc w:val="right"/>
        <w:rPr>
          <w:rFonts w:ascii="Times New Roman" w:eastAsia="Calibri" w:hAnsi="Times New Roman" w:cs="Times New Roman"/>
          <w:i/>
          <w:color w:val="000000" w:themeColor="text1"/>
          <w:kern w:val="0"/>
          <w:sz w:val="28"/>
          <w:szCs w:val="22"/>
        </w:rPr>
      </w:pPr>
    </w:p>
    <w:p w:rsidR="00796AB1" w:rsidRPr="00CC7883" w:rsidRDefault="00854E40" w:rsidP="00047411">
      <w:pPr>
        <w:widowControl w:val="0"/>
        <w:spacing w:line="259" w:lineRule="auto"/>
        <w:rPr>
          <w:rFonts w:ascii="Times New Roman" w:eastAsia="Calibri" w:hAnsi="Times New Roman" w:cs="Times New Roman"/>
          <w:i/>
          <w:color w:val="000000" w:themeColor="text1"/>
          <w:kern w:val="0"/>
          <w:sz w:val="28"/>
          <w:szCs w:val="22"/>
        </w:rPr>
        <w:sectPr w:rsidR="00796AB1" w:rsidRPr="00CC7883" w:rsidSect="00EF4E25">
          <w:footerReference w:type="default" r:id="rId251"/>
          <w:pgSz w:w="16838" w:h="11906" w:orient="landscape" w:code="9"/>
          <w:pgMar w:top="1701" w:right="1134" w:bottom="851" w:left="1134" w:header="709" w:footer="709" w:gutter="0"/>
          <w:cols w:space="708"/>
          <w:docGrid w:linePitch="360"/>
        </w:sectPr>
      </w:pPr>
      <w:r w:rsidRPr="00CC7883">
        <w:rPr>
          <w:rFonts w:ascii="Times New Roman" w:eastAsia="Calibri" w:hAnsi="Times New Roman" w:cs="Times New Roman"/>
          <w:i/>
          <w:color w:val="000000" w:themeColor="text1"/>
          <w:kern w:val="0"/>
          <w:sz w:val="28"/>
          <w:szCs w:val="22"/>
        </w:rPr>
        <w:br w:type="page"/>
      </w:r>
    </w:p>
    <w:p w:rsidR="007B395A" w:rsidRPr="00CC7883" w:rsidRDefault="007B395A" w:rsidP="00047411">
      <w:pPr>
        <w:widowControl w:val="0"/>
        <w:spacing w:after="0" w:line="360" w:lineRule="auto"/>
        <w:jc w:val="center"/>
        <w:rPr>
          <w:rFonts w:ascii="Times New Roman" w:eastAsia="Calibri" w:hAnsi="Times New Roman" w:cs="Times New Roman"/>
          <w:bCs/>
          <w:color w:val="000000" w:themeColor="text1"/>
          <w:kern w:val="0"/>
          <w:sz w:val="28"/>
          <w:szCs w:val="28"/>
          <w:lang w:eastAsia="uk-UA" w:bidi="uk-UA"/>
        </w:rPr>
      </w:pPr>
      <w:r w:rsidRPr="00CC7883">
        <w:rPr>
          <w:rFonts w:ascii="Times New Roman" w:eastAsia="Calibri" w:hAnsi="Times New Roman" w:cs="Times New Roman"/>
          <w:bCs/>
          <w:color w:val="000000" w:themeColor="text1"/>
          <w:kern w:val="0"/>
          <w:sz w:val="28"/>
          <w:szCs w:val="28"/>
          <w:lang w:eastAsia="uk-UA" w:bidi="uk-UA"/>
        </w:rPr>
        <w:lastRenderedPageBreak/>
        <w:t>Додаток Д.</w:t>
      </w:r>
      <w:r w:rsidR="005515E2">
        <w:rPr>
          <w:rFonts w:ascii="Times New Roman" w:eastAsia="Calibri" w:hAnsi="Times New Roman" w:cs="Times New Roman"/>
          <w:bCs/>
          <w:color w:val="000000" w:themeColor="text1"/>
          <w:kern w:val="0"/>
          <w:sz w:val="28"/>
          <w:szCs w:val="28"/>
          <w:lang w:eastAsia="uk-UA" w:bidi="uk-UA"/>
        </w:rPr>
        <w:t xml:space="preserve"> </w:t>
      </w:r>
      <w:r w:rsidRPr="00CC7883">
        <w:rPr>
          <w:rFonts w:ascii="Times New Roman" w:eastAsia="Calibri" w:hAnsi="Times New Roman" w:cs="Times New Roman"/>
          <w:bCs/>
          <w:color w:val="000000" w:themeColor="text1"/>
          <w:kern w:val="0"/>
          <w:sz w:val="28"/>
          <w:szCs w:val="28"/>
          <w:lang w:eastAsia="uk-UA" w:bidi="uk-UA"/>
        </w:rPr>
        <w:t>2</w:t>
      </w:r>
    </w:p>
    <w:p w:rsidR="007B395A" w:rsidRPr="00CC7883" w:rsidRDefault="007B395A" w:rsidP="00047411">
      <w:pPr>
        <w:widowControl w:val="0"/>
        <w:spacing w:after="0" w:line="360" w:lineRule="auto"/>
        <w:jc w:val="center"/>
        <w:rPr>
          <w:rFonts w:ascii="Times New Roman" w:eastAsia="Calibri" w:hAnsi="Times New Roman" w:cs="Times New Roman"/>
          <w:bCs/>
          <w:color w:val="000000" w:themeColor="text1"/>
          <w:kern w:val="0"/>
          <w:sz w:val="28"/>
          <w:szCs w:val="28"/>
          <w:lang w:eastAsia="uk-UA" w:bidi="uk-UA"/>
        </w:rPr>
      </w:pPr>
    </w:p>
    <w:p w:rsidR="00854E40" w:rsidRPr="00CC7883" w:rsidRDefault="00854E40" w:rsidP="00047411">
      <w:pPr>
        <w:widowControl w:val="0"/>
        <w:spacing w:after="0" w:line="360" w:lineRule="auto"/>
        <w:jc w:val="center"/>
        <w:rPr>
          <w:rFonts w:ascii="Times New Roman" w:eastAsia="Calibri" w:hAnsi="Times New Roman" w:cs="Times New Roman"/>
          <w:color w:val="000000" w:themeColor="text1"/>
          <w:kern w:val="0"/>
          <w:sz w:val="28"/>
          <w:szCs w:val="22"/>
        </w:rPr>
      </w:pPr>
      <w:r w:rsidRPr="00CC7883">
        <w:rPr>
          <w:rFonts w:ascii="Times New Roman" w:eastAsia="Calibri" w:hAnsi="Times New Roman" w:cs="Times New Roman"/>
          <w:b/>
          <w:bCs/>
          <w:color w:val="000000" w:themeColor="text1"/>
          <w:kern w:val="0"/>
          <w:sz w:val="28"/>
          <w:szCs w:val="28"/>
          <w:lang w:eastAsia="uk-UA" w:bidi="uk-UA"/>
        </w:rPr>
        <w:t xml:space="preserve">Економічна ефективність удосконалених технологічних прийомів культивування винограду </w:t>
      </w:r>
      <w:r w:rsidR="00F67BBB" w:rsidRPr="00CC7883">
        <w:rPr>
          <w:rFonts w:ascii="Times New Roman" w:eastAsia="Calibri" w:hAnsi="Times New Roman" w:cs="Times New Roman"/>
          <w:b/>
          <w:bCs/>
          <w:i/>
          <w:color w:val="000000" w:themeColor="text1"/>
          <w:kern w:val="0"/>
          <w:sz w:val="28"/>
          <w:szCs w:val="28"/>
          <w:lang w:eastAsia="uk-UA" w:bidi="uk-UA"/>
        </w:rPr>
        <w:t>in</w:t>
      </w:r>
      <w:r w:rsidR="001221F9" w:rsidRPr="00CC7883">
        <w:rPr>
          <w:rFonts w:ascii="Times New Roman" w:eastAsia="Calibri" w:hAnsi="Times New Roman" w:cs="Times New Roman"/>
          <w:b/>
          <w:bCs/>
          <w:i/>
          <w:color w:val="000000" w:themeColor="text1"/>
          <w:kern w:val="0"/>
          <w:sz w:val="28"/>
          <w:szCs w:val="28"/>
          <w:lang w:eastAsia="uk-UA" w:bidi="uk-UA"/>
        </w:rPr>
        <w:t> </w:t>
      </w:r>
      <w:r w:rsidR="00F67BBB" w:rsidRPr="00CC7883">
        <w:rPr>
          <w:rFonts w:ascii="Times New Roman" w:eastAsia="Calibri" w:hAnsi="Times New Roman" w:cs="Times New Roman"/>
          <w:b/>
          <w:bCs/>
          <w:i/>
          <w:color w:val="000000" w:themeColor="text1"/>
          <w:kern w:val="0"/>
          <w:sz w:val="28"/>
          <w:szCs w:val="28"/>
          <w:lang w:eastAsia="uk-UA" w:bidi="uk-UA"/>
        </w:rPr>
        <w:t>vitro</w:t>
      </w:r>
      <w:r w:rsidR="001221F9" w:rsidRPr="00CC7883">
        <w:rPr>
          <w:rFonts w:ascii="Times New Roman" w:eastAsia="Calibri" w:hAnsi="Times New Roman" w:cs="Times New Roman"/>
          <w:b/>
          <w:bCs/>
          <w:i/>
          <w:color w:val="000000" w:themeColor="text1"/>
          <w:kern w:val="0"/>
          <w:sz w:val="28"/>
          <w:szCs w:val="28"/>
          <w:lang w:eastAsia="uk-UA" w:bidi="uk-UA"/>
        </w:rPr>
        <w:t xml:space="preserve"> </w:t>
      </w:r>
      <w:r w:rsidRPr="00CC7883">
        <w:rPr>
          <w:rFonts w:ascii="Times New Roman" w:eastAsia="Calibri" w:hAnsi="Times New Roman" w:cs="Times New Roman"/>
          <w:b/>
          <w:bCs/>
          <w:color w:val="000000" w:themeColor="text1"/>
          <w:kern w:val="0"/>
          <w:sz w:val="28"/>
          <w:szCs w:val="28"/>
          <w:lang w:eastAsia="uk-UA" w:bidi="uk-UA"/>
        </w:rPr>
        <w:t xml:space="preserve">технічного сорту «Ярило» </w:t>
      </w:r>
      <w:r w:rsidR="003E6D23" w:rsidRPr="00CC7883">
        <w:rPr>
          <w:rFonts w:ascii="Times New Roman" w:eastAsia="Calibri" w:hAnsi="Times New Roman" w:cs="Times New Roman"/>
          <w:b/>
          <w:color w:val="000000" w:themeColor="text1"/>
          <w:kern w:val="0"/>
          <w:sz w:val="28"/>
          <w:szCs w:val="28"/>
        </w:rPr>
        <w:t>(дослід 1)</w:t>
      </w:r>
    </w:p>
    <w:tbl>
      <w:tblPr>
        <w:tblStyle w:val="24"/>
        <w:tblW w:w="13892" w:type="dxa"/>
        <w:jc w:val="center"/>
        <w:tblLayout w:type="fixed"/>
        <w:tblLook w:val="04A0"/>
      </w:tblPr>
      <w:tblGrid>
        <w:gridCol w:w="4111"/>
        <w:gridCol w:w="1134"/>
        <w:gridCol w:w="709"/>
        <w:gridCol w:w="1559"/>
        <w:gridCol w:w="1276"/>
        <w:gridCol w:w="1275"/>
        <w:gridCol w:w="1418"/>
        <w:gridCol w:w="1276"/>
        <w:gridCol w:w="1134"/>
      </w:tblGrid>
      <w:tr w:rsidR="00854E40" w:rsidRPr="00CC7883" w:rsidTr="003E6CDD">
        <w:trPr>
          <w:jc w:val="center"/>
        </w:trPr>
        <w:tc>
          <w:tcPr>
            <w:tcW w:w="4111" w:type="dxa"/>
            <w:vMerge w:val="restart"/>
            <w:vAlign w:val="center"/>
          </w:tcPr>
          <w:p w:rsidR="00854E40" w:rsidRPr="00CC7883" w:rsidRDefault="00854E40" w:rsidP="004A76BD">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Показники</w:t>
            </w:r>
          </w:p>
        </w:tc>
        <w:tc>
          <w:tcPr>
            <w:tcW w:w="1134"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Термін культивування мікроклонів, діб</w:t>
            </w:r>
          </w:p>
        </w:tc>
        <w:tc>
          <w:tcPr>
            <w:tcW w:w="709"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Одиниці вимірювання</w:t>
            </w:r>
          </w:p>
        </w:tc>
        <w:tc>
          <w:tcPr>
            <w:tcW w:w="7938" w:type="dxa"/>
            <w:gridSpan w:val="6"/>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Варіанти досліду</w:t>
            </w:r>
          </w:p>
        </w:tc>
      </w:tr>
      <w:tr w:rsidR="00854E40" w:rsidRPr="00CC7883" w:rsidTr="003E6CDD">
        <w:trPr>
          <w:trHeight w:val="2576"/>
          <w:jc w:val="center"/>
        </w:trPr>
        <w:tc>
          <w:tcPr>
            <w:tcW w:w="4111" w:type="dxa"/>
            <w:vMerge/>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p>
        </w:tc>
        <w:tc>
          <w:tcPr>
            <w:tcW w:w="1134"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709"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r>
      <w:tr w:rsidR="00854E40" w:rsidRPr="00CC7883" w:rsidTr="003E6CDD">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9</w:t>
            </w:r>
          </w:p>
        </w:tc>
      </w:tr>
      <w:tr w:rsidR="00854E40" w:rsidRPr="00CC7883" w:rsidTr="00636E27">
        <w:trPr>
          <w:jc w:val="center"/>
        </w:trPr>
        <w:tc>
          <w:tcPr>
            <w:tcW w:w="4111" w:type="dxa"/>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Висаджено мікроклонів на адаптацію</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r>
      <w:tr w:rsidR="00854E40" w:rsidRPr="00CC7883" w:rsidTr="00636E27">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Приживлюваність мікроклонів через: </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520,0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580,0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685,0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625,0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68,5</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62,5</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320,0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580,0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623,0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550,0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32,0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50,0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62,3</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55,0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355,0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280,0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530,0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470,0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585,0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515,0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35,5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28,0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53,0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47,0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58,5</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51,5</w:t>
            </w:r>
          </w:p>
        </w:tc>
      </w:tr>
      <w:tr w:rsidR="00854E40" w:rsidRPr="00CC7883" w:rsidTr="00636E27">
        <w:trPr>
          <w:jc w:val="center"/>
        </w:trPr>
        <w:tc>
          <w:tcPr>
            <w:tcW w:w="4111" w:type="dxa"/>
            <w:vAlign w:val="center"/>
          </w:tcPr>
          <w:p w:rsidR="00854E40" w:rsidRPr="00FC48E2" w:rsidRDefault="00854E40" w:rsidP="00047411">
            <w:pPr>
              <w:widowControl w:val="0"/>
              <w:rPr>
                <w:rFonts w:ascii="Times New Roman" w:eastAsia="Calibri" w:hAnsi="Times New Roman" w:cs="Times New Roman"/>
                <w:bCs/>
                <w:color w:val="000000" w:themeColor="text1"/>
                <w:sz w:val="28"/>
                <w:szCs w:val="28"/>
                <w:lang w:val="ru-RU"/>
              </w:rPr>
            </w:pPr>
            <w:r w:rsidRPr="00FC48E2">
              <w:rPr>
                <w:rFonts w:ascii="Times New Roman" w:eastAsia="Calibri" w:hAnsi="Times New Roman" w:cs="Times New Roman"/>
                <w:bCs/>
                <w:color w:val="000000" w:themeColor="text1"/>
                <w:sz w:val="28"/>
                <w:szCs w:val="28"/>
                <w:lang w:val="ru-RU"/>
              </w:rPr>
              <w:t xml:space="preserve">Витрати на одержання мікроклонів, у т. ч.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39139,0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40739,0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40249,2</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41849,2</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39389,3</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40989,3</w:t>
            </w:r>
          </w:p>
        </w:tc>
      </w:tr>
    </w:tbl>
    <w:p w:rsidR="00796AB1" w:rsidRPr="00CC7883" w:rsidRDefault="00854E40" w:rsidP="00047411">
      <w:pPr>
        <w:widowControl w:val="0"/>
        <w:spacing w:after="0" w:line="360" w:lineRule="auto"/>
        <w:rPr>
          <w:rFonts w:ascii="Times New Roman" w:eastAsia="Calibri" w:hAnsi="Times New Roman" w:cs="Times New Roman"/>
          <w:color w:val="000000" w:themeColor="text1"/>
          <w:kern w:val="0"/>
          <w:sz w:val="22"/>
          <w:szCs w:val="22"/>
        </w:rPr>
        <w:sectPr w:rsidR="00796AB1" w:rsidRPr="00CC7883" w:rsidSect="00EF4E25">
          <w:footerReference w:type="default" r:id="rId252"/>
          <w:pgSz w:w="16838" w:h="11906" w:orient="landscape" w:code="9"/>
          <w:pgMar w:top="1701" w:right="1134" w:bottom="851" w:left="1134" w:header="709" w:footer="709" w:gutter="0"/>
          <w:cols w:space="708"/>
          <w:docGrid w:linePitch="360"/>
        </w:sectPr>
      </w:pPr>
      <w:r w:rsidRPr="00CC7883">
        <w:rPr>
          <w:rFonts w:ascii="Times New Roman" w:eastAsia="Calibri" w:hAnsi="Times New Roman" w:cs="Times New Roman"/>
          <w:color w:val="000000" w:themeColor="text1"/>
          <w:kern w:val="0"/>
          <w:sz w:val="22"/>
          <w:szCs w:val="22"/>
        </w:rPr>
        <w:br w:type="page"/>
      </w:r>
    </w:p>
    <w:p w:rsidR="00854E40" w:rsidRPr="00CC7883" w:rsidRDefault="005515E2" w:rsidP="005515E2">
      <w:pPr>
        <w:widowControl w:val="0"/>
        <w:spacing w:after="0" w:line="360" w:lineRule="auto"/>
        <w:ind w:left="9217" w:right="-320" w:firstLine="709"/>
        <w:jc w:val="center"/>
        <w:rPr>
          <w:rFonts w:ascii="Times New Roman" w:eastAsia="Calibri" w:hAnsi="Times New Roman" w:cs="Times New Roman"/>
          <w:color w:val="000000" w:themeColor="text1"/>
          <w:kern w:val="0"/>
          <w:sz w:val="22"/>
          <w:szCs w:val="22"/>
        </w:rPr>
      </w:pPr>
      <w:r>
        <w:rPr>
          <w:rFonts w:ascii="Times New Roman" w:eastAsia="Calibri" w:hAnsi="Times New Roman" w:cs="Times New Roman"/>
          <w:color w:val="000000" w:themeColor="text1"/>
          <w:kern w:val="0"/>
        </w:rPr>
        <w:lastRenderedPageBreak/>
        <w:t xml:space="preserve">              </w:t>
      </w:r>
      <w:r w:rsidR="00B07113" w:rsidRPr="00CC7883">
        <w:rPr>
          <w:rFonts w:ascii="Times New Roman" w:eastAsia="Calibri" w:hAnsi="Times New Roman" w:cs="Times New Roman"/>
          <w:color w:val="000000" w:themeColor="text1"/>
          <w:kern w:val="0"/>
        </w:rPr>
        <w:t xml:space="preserve">Продовження </w:t>
      </w:r>
      <w:r w:rsidR="007B395A" w:rsidRPr="00CC7883">
        <w:rPr>
          <w:rFonts w:ascii="Times New Roman" w:eastAsia="Calibri" w:hAnsi="Times New Roman" w:cs="Times New Roman"/>
          <w:color w:val="000000" w:themeColor="text1"/>
          <w:kern w:val="0"/>
        </w:rPr>
        <w:t>додатку</w:t>
      </w:r>
      <w:r w:rsidR="00B07113" w:rsidRPr="00CC7883">
        <w:rPr>
          <w:rFonts w:ascii="Times New Roman" w:eastAsia="Calibri" w:hAnsi="Times New Roman" w:cs="Times New Roman"/>
          <w:color w:val="000000" w:themeColor="text1"/>
          <w:kern w:val="0"/>
        </w:rPr>
        <w:t xml:space="preserve"> Д</w:t>
      </w:r>
      <w:r w:rsidR="00854E40" w:rsidRPr="00CC7883">
        <w:rPr>
          <w:rFonts w:ascii="Times New Roman" w:eastAsia="Calibri" w:hAnsi="Times New Roman" w:cs="Times New Roman"/>
          <w:color w:val="000000" w:themeColor="text1"/>
          <w:kern w:val="0"/>
        </w:rPr>
        <w:t>.</w:t>
      </w:r>
      <w:r>
        <w:rPr>
          <w:rFonts w:ascii="Times New Roman" w:eastAsia="Calibri" w:hAnsi="Times New Roman" w:cs="Times New Roman"/>
          <w:color w:val="000000" w:themeColor="text1"/>
          <w:kern w:val="0"/>
        </w:rPr>
        <w:t xml:space="preserve"> </w:t>
      </w:r>
      <w:r w:rsidR="00854E40" w:rsidRPr="00CC7883">
        <w:rPr>
          <w:rFonts w:ascii="Times New Roman" w:eastAsia="Calibri" w:hAnsi="Times New Roman" w:cs="Times New Roman"/>
          <w:color w:val="000000" w:themeColor="text1"/>
          <w:kern w:val="0"/>
        </w:rPr>
        <w:t>2</w:t>
      </w:r>
    </w:p>
    <w:tbl>
      <w:tblPr>
        <w:tblStyle w:val="24"/>
        <w:tblW w:w="13892" w:type="dxa"/>
        <w:jc w:val="center"/>
        <w:tblLayout w:type="fixed"/>
        <w:tblLook w:val="04A0"/>
      </w:tblPr>
      <w:tblGrid>
        <w:gridCol w:w="4111"/>
        <w:gridCol w:w="1134"/>
        <w:gridCol w:w="709"/>
        <w:gridCol w:w="1559"/>
        <w:gridCol w:w="1276"/>
        <w:gridCol w:w="1275"/>
        <w:gridCol w:w="1418"/>
        <w:gridCol w:w="1276"/>
        <w:gridCol w:w="1134"/>
      </w:tblGrid>
      <w:tr w:rsidR="00854E40" w:rsidRPr="00CC7883" w:rsidTr="003E6CDD">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9</w:t>
            </w:r>
          </w:p>
        </w:tc>
      </w:tr>
      <w:tr w:rsidR="00854E40" w:rsidRPr="00CC7883" w:rsidTr="00636E27">
        <w:trPr>
          <w:jc w:val="center"/>
        </w:trPr>
        <w:tc>
          <w:tcPr>
            <w:tcW w:w="4111" w:type="dxa"/>
            <w:vAlign w:val="center"/>
          </w:tcPr>
          <w:p w:rsidR="00854E40" w:rsidRPr="00FC48E2" w:rsidRDefault="00854E40" w:rsidP="00047411">
            <w:pPr>
              <w:widowControl w:val="0"/>
              <w:ind w:left="737" w:hanging="426"/>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     витрати на введення ініціальних експлантів та їх мікророзмноження</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r>
      <w:tr w:rsidR="00854E40" w:rsidRPr="00CC7883" w:rsidTr="00636E27">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приготування поживних середовищ</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r>
      <w:tr w:rsidR="00854E40" w:rsidRPr="00CC7883" w:rsidTr="00636E27">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вартість препаратів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1110,2</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1110,2</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250,3</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250,3</w:t>
            </w:r>
          </w:p>
        </w:tc>
      </w:tr>
      <w:tr w:rsidR="00854E40" w:rsidRPr="00CC7883" w:rsidTr="00636E27">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енергоресурси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r>
      <w:tr w:rsidR="00854E40" w:rsidRPr="00CC7883" w:rsidTr="00636E27">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трудові витрати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r>
      <w:tr w:rsidR="00854E40" w:rsidRPr="00CC7883" w:rsidTr="00636E27">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Собівартість 1 тис. адаптованих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65231,7</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78344,2</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61921,8</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72153,8</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57502,6</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65582,9</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97847,5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127309,4</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69395,2</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83698,4</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63225,2</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74526,0</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110250,7</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145496,4</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75941,9</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89040,9</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67332,1</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79590,9</w:t>
            </w:r>
          </w:p>
        </w:tc>
      </w:tr>
      <w:tr w:rsidR="00854E40" w:rsidRPr="00CC7883" w:rsidTr="00636E27">
        <w:trPr>
          <w:jc w:val="center"/>
        </w:trPr>
        <w:tc>
          <w:tcPr>
            <w:tcW w:w="4111" w:type="dxa"/>
            <w:vAlign w:val="center"/>
          </w:tcPr>
          <w:p w:rsidR="00854E40" w:rsidRPr="00FC48E2" w:rsidRDefault="00854E40" w:rsidP="00047411">
            <w:pPr>
              <w:widowControl w:val="0"/>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Ціна реалізації адаптованого мікроклона, грн</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r>
      <w:tr w:rsidR="00854E40" w:rsidRPr="00CC7883" w:rsidTr="00636E27">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Прибуток (на 1000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14861,0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6061,0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18250,8</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10350,8</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22260,7</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15260,7</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11950,8</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3150,8</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16680,7</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8510,7</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7450,8</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450,8</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13260,7</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5360,7</w:t>
            </w:r>
          </w:p>
        </w:tc>
      </w:tr>
      <w:tr w:rsidR="00854E40" w:rsidRPr="00CC7883" w:rsidTr="00636E27">
        <w:trPr>
          <w:jc w:val="center"/>
        </w:trPr>
        <w:tc>
          <w:tcPr>
            <w:tcW w:w="4111" w:type="dxa"/>
            <w:vMerge w:val="restart"/>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Рівень рентабельності</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38,0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14,9</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45,3</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24,7</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56,5</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37,2</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29,7</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42,3</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20,8</w:t>
            </w:r>
          </w:p>
        </w:tc>
      </w:tr>
      <w:tr w:rsidR="00854E40" w:rsidRPr="00CC7883" w:rsidTr="00636E27">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18,5</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33,7</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13,1</w:t>
            </w:r>
          </w:p>
        </w:tc>
      </w:tr>
    </w:tbl>
    <w:p w:rsidR="00854E40" w:rsidRPr="00CC7883" w:rsidRDefault="00854E40" w:rsidP="00047411">
      <w:pPr>
        <w:widowControl w:val="0"/>
        <w:spacing w:line="259" w:lineRule="auto"/>
        <w:rPr>
          <w:rFonts w:ascii="Times New Roman" w:eastAsia="Calibri" w:hAnsi="Times New Roman" w:cs="Times New Roman"/>
          <w:color w:val="000000" w:themeColor="text1"/>
          <w:kern w:val="0"/>
        </w:rPr>
        <w:sectPr w:rsidR="00854E40" w:rsidRPr="00CC7883" w:rsidSect="004E32E3">
          <w:footerReference w:type="default" r:id="rId253"/>
          <w:pgSz w:w="16838" w:h="11906" w:orient="landscape" w:code="9"/>
          <w:pgMar w:top="1701" w:right="1134" w:bottom="851" w:left="1134" w:header="709" w:footer="709" w:gutter="0"/>
          <w:cols w:space="708"/>
          <w:docGrid w:linePitch="360"/>
        </w:sectPr>
      </w:pPr>
    </w:p>
    <w:p w:rsidR="00854E40" w:rsidRPr="00CC7883" w:rsidRDefault="00636E27" w:rsidP="00636E27">
      <w:pPr>
        <w:widowControl w:val="0"/>
        <w:spacing w:after="0" w:line="360" w:lineRule="auto"/>
        <w:ind w:left="9926" w:right="-284" w:firstLine="709"/>
        <w:jc w:val="center"/>
        <w:rPr>
          <w:rFonts w:ascii="Times New Roman" w:eastAsia="Calibri" w:hAnsi="Times New Roman" w:cs="Times New Roman"/>
          <w:i/>
          <w:color w:val="000000" w:themeColor="text1"/>
          <w:kern w:val="0"/>
          <w:sz w:val="28"/>
          <w:szCs w:val="22"/>
        </w:rPr>
      </w:pPr>
      <w:r>
        <w:rPr>
          <w:rFonts w:ascii="Times New Roman" w:eastAsia="Calibri" w:hAnsi="Times New Roman" w:cs="Times New Roman"/>
          <w:color w:val="000000" w:themeColor="text1"/>
          <w:kern w:val="0"/>
        </w:rPr>
        <w:lastRenderedPageBreak/>
        <w:t xml:space="preserve">   </w:t>
      </w:r>
      <w:r w:rsidR="007B395A" w:rsidRPr="00CC7883">
        <w:rPr>
          <w:rFonts w:ascii="Times New Roman" w:eastAsia="Calibri" w:hAnsi="Times New Roman" w:cs="Times New Roman"/>
          <w:color w:val="000000" w:themeColor="text1"/>
          <w:kern w:val="0"/>
        </w:rPr>
        <w:t>Продовження додатку Д.</w:t>
      </w:r>
      <w:r>
        <w:rPr>
          <w:rFonts w:ascii="Times New Roman" w:eastAsia="Calibri" w:hAnsi="Times New Roman" w:cs="Times New Roman"/>
          <w:color w:val="000000" w:themeColor="text1"/>
          <w:kern w:val="0"/>
        </w:rPr>
        <w:t xml:space="preserve"> </w:t>
      </w:r>
      <w:r w:rsidR="007B395A" w:rsidRPr="00CC7883">
        <w:rPr>
          <w:rFonts w:ascii="Times New Roman" w:eastAsia="Calibri" w:hAnsi="Times New Roman" w:cs="Times New Roman"/>
          <w:color w:val="000000" w:themeColor="text1"/>
          <w:kern w:val="0"/>
        </w:rPr>
        <w:t>2</w:t>
      </w:r>
    </w:p>
    <w:tbl>
      <w:tblPr>
        <w:tblStyle w:val="24"/>
        <w:tblW w:w="13892" w:type="dxa"/>
        <w:jc w:val="center"/>
        <w:tblLayout w:type="fixed"/>
        <w:tblLook w:val="04A0"/>
      </w:tblPr>
      <w:tblGrid>
        <w:gridCol w:w="4111"/>
        <w:gridCol w:w="1134"/>
        <w:gridCol w:w="709"/>
        <w:gridCol w:w="1559"/>
        <w:gridCol w:w="1276"/>
        <w:gridCol w:w="1275"/>
        <w:gridCol w:w="1418"/>
        <w:gridCol w:w="1276"/>
        <w:gridCol w:w="1134"/>
      </w:tblGrid>
      <w:tr w:rsidR="00854E40" w:rsidRPr="00CC7883" w:rsidTr="003E6CDD">
        <w:trPr>
          <w:jc w:val="center"/>
        </w:trPr>
        <w:tc>
          <w:tcPr>
            <w:tcW w:w="4111" w:type="dxa"/>
            <w:vMerge w:val="restart"/>
            <w:vAlign w:val="center"/>
          </w:tcPr>
          <w:p w:rsidR="00854E40" w:rsidRPr="00CC7883" w:rsidRDefault="00854E40" w:rsidP="004A76BD">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Показники</w:t>
            </w:r>
          </w:p>
        </w:tc>
        <w:tc>
          <w:tcPr>
            <w:tcW w:w="1134"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Термін культивування мікроклонів, діб</w:t>
            </w:r>
          </w:p>
        </w:tc>
        <w:tc>
          <w:tcPr>
            <w:tcW w:w="709"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Одиниці вимірювання</w:t>
            </w:r>
          </w:p>
        </w:tc>
        <w:tc>
          <w:tcPr>
            <w:tcW w:w="7938" w:type="dxa"/>
            <w:gridSpan w:val="6"/>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Варіанти досліду</w:t>
            </w:r>
          </w:p>
        </w:tc>
      </w:tr>
      <w:tr w:rsidR="00854E40" w:rsidRPr="00CC7883" w:rsidTr="003E6CDD">
        <w:trPr>
          <w:trHeight w:val="2576"/>
          <w:jc w:val="center"/>
        </w:trPr>
        <w:tc>
          <w:tcPr>
            <w:tcW w:w="4111" w:type="dxa"/>
            <w:vMerge/>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p>
        </w:tc>
        <w:tc>
          <w:tcPr>
            <w:tcW w:w="1134"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709"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r>
      <w:tr w:rsidR="00854E40" w:rsidRPr="00CC7883" w:rsidTr="003E6CDD">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9</w:t>
            </w:r>
          </w:p>
        </w:tc>
      </w:tr>
      <w:tr w:rsidR="00854E40" w:rsidRPr="00CC7883" w:rsidTr="00636E27">
        <w:trPr>
          <w:jc w:val="center"/>
        </w:trPr>
        <w:tc>
          <w:tcPr>
            <w:tcW w:w="4111" w:type="dxa"/>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Висаджено мікроклонів на адаптацію</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r>
      <w:tr w:rsidR="00854E40" w:rsidRPr="00CC7883" w:rsidTr="00636E27">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Приживлюваність мікроклонів через: </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795,0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685,0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809,5</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980,0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800,0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79,5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68,5</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81,0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75,0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98,0</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585,0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645,0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855,0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58,5</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64,5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85,5</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75,0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660,0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520,0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660,0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580,0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825,0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700,0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66,0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66,0</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82,5</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70,0</w:t>
            </w:r>
          </w:p>
        </w:tc>
      </w:tr>
      <w:tr w:rsidR="00854E40" w:rsidRPr="00CC7883" w:rsidTr="00636E27">
        <w:trPr>
          <w:jc w:val="center"/>
        </w:trPr>
        <w:tc>
          <w:tcPr>
            <w:tcW w:w="4111" w:type="dxa"/>
            <w:vAlign w:val="center"/>
          </w:tcPr>
          <w:p w:rsidR="00854E40" w:rsidRPr="00FC48E2" w:rsidRDefault="00854E40" w:rsidP="00047411">
            <w:pPr>
              <w:widowControl w:val="0"/>
              <w:rPr>
                <w:rFonts w:ascii="Times New Roman" w:eastAsia="Calibri" w:hAnsi="Times New Roman" w:cs="Times New Roman"/>
                <w:bCs/>
                <w:color w:val="000000" w:themeColor="text1"/>
                <w:sz w:val="28"/>
                <w:szCs w:val="28"/>
                <w:lang w:val="ru-RU"/>
              </w:rPr>
            </w:pPr>
            <w:r w:rsidRPr="00FC48E2">
              <w:rPr>
                <w:rFonts w:ascii="Times New Roman" w:eastAsia="Calibri" w:hAnsi="Times New Roman" w:cs="Times New Roman"/>
                <w:bCs/>
                <w:color w:val="000000" w:themeColor="text1"/>
                <w:sz w:val="28"/>
                <w:szCs w:val="28"/>
                <w:lang w:val="ru-RU"/>
              </w:rPr>
              <w:t xml:space="preserve">Витрати на одержання мікроклонів, у т. ч.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39269,2</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40869,2</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39229,4</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40829,4</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39359,6</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40959,6</w:t>
            </w:r>
          </w:p>
        </w:tc>
      </w:tr>
      <w:tr w:rsidR="00854E40" w:rsidRPr="00CC7883" w:rsidTr="00636E27">
        <w:trPr>
          <w:jc w:val="center"/>
        </w:trPr>
        <w:tc>
          <w:tcPr>
            <w:tcW w:w="4111" w:type="dxa"/>
            <w:vAlign w:val="center"/>
          </w:tcPr>
          <w:p w:rsidR="00854E40" w:rsidRPr="00FC48E2" w:rsidRDefault="00854E40" w:rsidP="00047411">
            <w:pPr>
              <w:widowControl w:val="0"/>
              <w:ind w:left="595" w:hanging="142"/>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  витрати на введення ініціальних експлантів та їх мікророзмноження</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r>
      <w:tr w:rsidR="00854E40" w:rsidRPr="00CC7883" w:rsidTr="00636E27">
        <w:trPr>
          <w:jc w:val="center"/>
        </w:trPr>
        <w:tc>
          <w:tcPr>
            <w:tcW w:w="4111" w:type="dxa"/>
            <w:vAlign w:val="center"/>
          </w:tcPr>
          <w:p w:rsidR="00854E40" w:rsidRPr="00CC7883" w:rsidRDefault="00854E40" w:rsidP="00047411">
            <w:pPr>
              <w:widowControl w:val="0"/>
              <w:ind w:left="595" w:hanging="142"/>
              <w:contextualSpacing/>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приготування поживних середовищ</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r>
    </w:tbl>
    <w:p w:rsidR="00796AB1" w:rsidRPr="00CC7883" w:rsidRDefault="00854E40" w:rsidP="00047411">
      <w:pPr>
        <w:widowControl w:val="0"/>
        <w:spacing w:after="0" w:line="360" w:lineRule="auto"/>
        <w:rPr>
          <w:rFonts w:ascii="Times New Roman" w:eastAsia="Calibri" w:hAnsi="Times New Roman" w:cs="Times New Roman"/>
          <w:color w:val="000000" w:themeColor="text1"/>
          <w:kern w:val="0"/>
          <w:sz w:val="22"/>
          <w:szCs w:val="22"/>
        </w:rPr>
        <w:sectPr w:rsidR="00796AB1" w:rsidRPr="00CC7883" w:rsidSect="004E32E3">
          <w:footerReference w:type="default" r:id="rId254"/>
          <w:pgSz w:w="16838" w:h="11906" w:orient="landscape" w:code="9"/>
          <w:pgMar w:top="1701" w:right="1098" w:bottom="851" w:left="1134" w:header="709" w:footer="709" w:gutter="0"/>
          <w:cols w:space="708"/>
          <w:docGrid w:linePitch="360"/>
        </w:sectPr>
      </w:pPr>
      <w:r w:rsidRPr="00CC7883">
        <w:rPr>
          <w:rFonts w:ascii="Times New Roman" w:eastAsia="Calibri" w:hAnsi="Times New Roman" w:cs="Times New Roman"/>
          <w:color w:val="000000" w:themeColor="text1"/>
          <w:kern w:val="0"/>
          <w:sz w:val="22"/>
          <w:szCs w:val="22"/>
        </w:rPr>
        <w:br w:type="page"/>
      </w:r>
    </w:p>
    <w:p w:rsidR="00854E40" w:rsidRPr="00CC7883" w:rsidRDefault="00636E27" w:rsidP="00636E27">
      <w:pPr>
        <w:widowControl w:val="0"/>
        <w:spacing w:after="0" w:line="360" w:lineRule="auto"/>
        <w:ind w:left="10635" w:right="-284"/>
        <w:jc w:val="center"/>
        <w:rPr>
          <w:rFonts w:ascii="Times New Roman" w:eastAsia="Calibri" w:hAnsi="Times New Roman" w:cs="Times New Roman"/>
          <w:color w:val="000000" w:themeColor="text1"/>
          <w:kern w:val="0"/>
          <w:sz w:val="22"/>
          <w:szCs w:val="22"/>
        </w:rPr>
      </w:pPr>
      <w:r>
        <w:rPr>
          <w:rFonts w:ascii="Times New Roman" w:eastAsia="Calibri" w:hAnsi="Times New Roman" w:cs="Times New Roman"/>
          <w:color w:val="000000" w:themeColor="text1"/>
          <w:kern w:val="0"/>
        </w:rPr>
        <w:lastRenderedPageBreak/>
        <w:t xml:space="preserve">  </w:t>
      </w:r>
      <w:r w:rsidR="007B395A" w:rsidRPr="00CC7883">
        <w:rPr>
          <w:rFonts w:ascii="Times New Roman" w:eastAsia="Calibri" w:hAnsi="Times New Roman" w:cs="Times New Roman"/>
          <w:color w:val="000000" w:themeColor="text1"/>
          <w:kern w:val="0"/>
        </w:rPr>
        <w:t>Продовження додатку Д.</w:t>
      </w:r>
      <w:r>
        <w:rPr>
          <w:rFonts w:ascii="Times New Roman" w:eastAsia="Calibri" w:hAnsi="Times New Roman" w:cs="Times New Roman"/>
          <w:color w:val="000000" w:themeColor="text1"/>
          <w:kern w:val="0"/>
        </w:rPr>
        <w:t xml:space="preserve"> </w:t>
      </w:r>
      <w:r w:rsidR="007B395A" w:rsidRPr="00CC7883">
        <w:rPr>
          <w:rFonts w:ascii="Times New Roman" w:eastAsia="Calibri" w:hAnsi="Times New Roman" w:cs="Times New Roman"/>
          <w:color w:val="000000" w:themeColor="text1"/>
          <w:kern w:val="0"/>
        </w:rPr>
        <w:t>2</w:t>
      </w:r>
    </w:p>
    <w:tbl>
      <w:tblPr>
        <w:tblStyle w:val="24"/>
        <w:tblW w:w="13892" w:type="dxa"/>
        <w:jc w:val="center"/>
        <w:tblInd w:w="137" w:type="dxa"/>
        <w:tblLayout w:type="fixed"/>
        <w:tblLook w:val="04A0"/>
      </w:tblPr>
      <w:tblGrid>
        <w:gridCol w:w="4111"/>
        <w:gridCol w:w="1134"/>
        <w:gridCol w:w="709"/>
        <w:gridCol w:w="1559"/>
        <w:gridCol w:w="1276"/>
        <w:gridCol w:w="1275"/>
        <w:gridCol w:w="1418"/>
        <w:gridCol w:w="1276"/>
        <w:gridCol w:w="1134"/>
      </w:tblGrid>
      <w:tr w:rsidR="00854E40" w:rsidRPr="00CC7883" w:rsidTr="00636E27">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9</w:t>
            </w:r>
          </w:p>
        </w:tc>
      </w:tr>
      <w:tr w:rsidR="00854E40" w:rsidRPr="00CC7883" w:rsidTr="007E3710">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вартість препаратів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130,2</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130,2</w:t>
            </w:r>
          </w:p>
        </w:tc>
        <w:tc>
          <w:tcPr>
            <w:tcW w:w="1275"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90,4</w:t>
            </w:r>
          </w:p>
        </w:tc>
        <w:tc>
          <w:tcPr>
            <w:tcW w:w="1418"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90,4</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220,6</w:t>
            </w:r>
          </w:p>
        </w:tc>
        <w:tc>
          <w:tcPr>
            <w:tcW w:w="1134"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220,6</w:t>
            </w:r>
          </w:p>
        </w:tc>
      </w:tr>
      <w:tr w:rsidR="00854E40" w:rsidRPr="00CC7883" w:rsidTr="007E3710">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енергоресурси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5"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418"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134"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r>
      <w:tr w:rsidR="00854E40" w:rsidRPr="00CC7883" w:rsidTr="007E3710">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трудові витрати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5"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418"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134"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r>
      <w:tr w:rsidR="00854E40" w:rsidRPr="00CC7883" w:rsidTr="007E3710">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Собівартість 1 тис. адаптованих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49395,2</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59663,1</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48459,8</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54439,2</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40162,9</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51199,5</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56098,9</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69861,9</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56042,0</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63301,4</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46034,6</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54612,8</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59498,8</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78594,6</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59438,5</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70395,5</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47708,6</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58513,7</w:t>
            </w:r>
          </w:p>
        </w:tc>
      </w:tr>
      <w:tr w:rsidR="00854E40" w:rsidRPr="00CC7883" w:rsidTr="007E3710">
        <w:trPr>
          <w:jc w:val="center"/>
        </w:trPr>
        <w:tc>
          <w:tcPr>
            <w:tcW w:w="4111" w:type="dxa"/>
            <w:vAlign w:val="center"/>
          </w:tcPr>
          <w:p w:rsidR="00854E40" w:rsidRPr="00FC48E2" w:rsidRDefault="00854E40" w:rsidP="00047411">
            <w:pPr>
              <w:widowControl w:val="0"/>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Ціна реалізації адаптованого мікроклона, грн</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5"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418"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134"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r>
      <w:tr w:rsidR="00854E40" w:rsidRPr="00CC7883" w:rsidTr="007E3710">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Прибуток (на 1000 мікроклонів)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32280,8</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20780,8</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33627,7</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26670,6</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48840,4</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31040,4</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23730,8</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11780,8</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23770,6</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17220,6</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37590,4</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26540,4</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20130,8</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5930,8</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20170,6</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11370,6</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34890,4</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22040,4</w:t>
            </w:r>
          </w:p>
        </w:tc>
      </w:tr>
      <w:tr w:rsidR="00854E40" w:rsidRPr="00CC7883" w:rsidTr="007E3710">
        <w:trPr>
          <w:jc w:val="center"/>
        </w:trPr>
        <w:tc>
          <w:tcPr>
            <w:tcW w:w="4111" w:type="dxa"/>
            <w:vMerge w:val="restart"/>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Рівень рентабельності</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82,2</w:t>
            </w:r>
          </w:p>
        </w:tc>
        <w:tc>
          <w:tcPr>
            <w:tcW w:w="1276" w:type="dxa"/>
          </w:tcPr>
          <w:p w:rsidR="00854E40" w:rsidRPr="00CC7883" w:rsidRDefault="00854E40" w:rsidP="007E3710">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50,8</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85,7</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65,3</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124,1</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75,8</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60,4</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28,8</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60,6</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42,2</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95,5</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64,8</w:t>
            </w:r>
          </w:p>
        </w:tc>
      </w:tr>
      <w:tr w:rsidR="00854E40" w:rsidRPr="00CC7883" w:rsidTr="007E3710">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51,3</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14,5</w:t>
            </w:r>
          </w:p>
        </w:tc>
        <w:tc>
          <w:tcPr>
            <w:tcW w:w="1275"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51,4</w:t>
            </w:r>
          </w:p>
        </w:tc>
        <w:tc>
          <w:tcPr>
            <w:tcW w:w="1418"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27,8</w:t>
            </w:r>
          </w:p>
        </w:tc>
        <w:tc>
          <w:tcPr>
            <w:tcW w:w="1276"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88,6</w:t>
            </w:r>
          </w:p>
        </w:tc>
        <w:tc>
          <w:tcPr>
            <w:tcW w:w="1134" w:type="dxa"/>
          </w:tcPr>
          <w:p w:rsidR="00854E40" w:rsidRPr="00CC7883" w:rsidRDefault="00854E40" w:rsidP="007E3710">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53,8</w:t>
            </w:r>
          </w:p>
        </w:tc>
      </w:tr>
    </w:tbl>
    <w:p w:rsidR="00854E40" w:rsidRPr="00CC7883" w:rsidRDefault="00854E40" w:rsidP="00047411">
      <w:pPr>
        <w:widowControl w:val="0"/>
        <w:spacing w:after="0" w:line="360" w:lineRule="auto"/>
        <w:jc w:val="right"/>
        <w:rPr>
          <w:rFonts w:ascii="Times New Roman" w:eastAsia="Calibri" w:hAnsi="Times New Roman" w:cs="Times New Roman"/>
          <w:i/>
          <w:color w:val="000000" w:themeColor="text1"/>
          <w:kern w:val="0"/>
          <w:sz w:val="28"/>
          <w:szCs w:val="22"/>
        </w:rPr>
      </w:pPr>
    </w:p>
    <w:p w:rsidR="00796AB1" w:rsidRPr="00CC7883" w:rsidRDefault="00854E40" w:rsidP="00047411">
      <w:pPr>
        <w:widowControl w:val="0"/>
        <w:spacing w:line="259" w:lineRule="auto"/>
        <w:rPr>
          <w:rFonts w:ascii="Times New Roman" w:eastAsia="Calibri" w:hAnsi="Times New Roman" w:cs="Times New Roman"/>
          <w:i/>
          <w:color w:val="000000" w:themeColor="text1"/>
          <w:kern w:val="0"/>
          <w:sz w:val="28"/>
          <w:szCs w:val="22"/>
        </w:rPr>
        <w:sectPr w:rsidR="00796AB1" w:rsidRPr="00CC7883" w:rsidSect="003E6CDD">
          <w:footerReference w:type="default" r:id="rId255"/>
          <w:pgSz w:w="16838" w:h="11906" w:orient="landscape" w:code="9"/>
          <w:pgMar w:top="1701" w:right="1098" w:bottom="851" w:left="1134" w:header="709" w:footer="709" w:gutter="0"/>
          <w:cols w:space="708"/>
          <w:docGrid w:linePitch="360"/>
        </w:sectPr>
      </w:pPr>
      <w:r w:rsidRPr="00CC7883">
        <w:rPr>
          <w:rFonts w:ascii="Times New Roman" w:eastAsia="Calibri" w:hAnsi="Times New Roman" w:cs="Times New Roman"/>
          <w:i/>
          <w:color w:val="000000" w:themeColor="text1"/>
          <w:kern w:val="0"/>
          <w:sz w:val="28"/>
          <w:szCs w:val="22"/>
        </w:rPr>
        <w:br w:type="page"/>
      </w:r>
    </w:p>
    <w:p w:rsidR="007B395A" w:rsidRPr="00CC7883" w:rsidRDefault="007B395A" w:rsidP="00047411">
      <w:pPr>
        <w:widowControl w:val="0"/>
        <w:spacing w:after="0" w:line="360" w:lineRule="auto"/>
        <w:jc w:val="center"/>
        <w:rPr>
          <w:rFonts w:ascii="Times New Roman" w:eastAsia="Calibri" w:hAnsi="Times New Roman" w:cs="Times New Roman"/>
          <w:bCs/>
          <w:color w:val="000000" w:themeColor="text1"/>
          <w:kern w:val="0"/>
          <w:sz w:val="28"/>
          <w:szCs w:val="28"/>
          <w:lang w:eastAsia="uk-UA" w:bidi="uk-UA"/>
        </w:rPr>
      </w:pPr>
      <w:r w:rsidRPr="00CC7883">
        <w:rPr>
          <w:rFonts w:ascii="Times New Roman" w:eastAsia="Calibri" w:hAnsi="Times New Roman" w:cs="Times New Roman"/>
          <w:bCs/>
          <w:color w:val="000000" w:themeColor="text1"/>
          <w:kern w:val="0"/>
          <w:sz w:val="28"/>
          <w:szCs w:val="28"/>
          <w:lang w:eastAsia="uk-UA" w:bidi="uk-UA"/>
        </w:rPr>
        <w:lastRenderedPageBreak/>
        <w:t>Додаток Д.</w:t>
      </w:r>
      <w:r w:rsidR="00636E27">
        <w:rPr>
          <w:rFonts w:ascii="Times New Roman" w:eastAsia="Calibri" w:hAnsi="Times New Roman" w:cs="Times New Roman"/>
          <w:bCs/>
          <w:color w:val="000000" w:themeColor="text1"/>
          <w:kern w:val="0"/>
          <w:sz w:val="28"/>
          <w:szCs w:val="28"/>
          <w:lang w:eastAsia="uk-UA" w:bidi="uk-UA"/>
        </w:rPr>
        <w:t xml:space="preserve"> </w:t>
      </w:r>
      <w:r w:rsidRPr="00CC7883">
        <w:rPr>
          <w:rFonts w:ascii="Times New Roman" w:eastAsia="Calibri" w:hAnsi="Times New Roman" w:cs="Times New Roman"/>
          <w:bCs/>
          <w:color w:val="000000" w:themeColor="text1"/>
          <w:kern w:val="0"/>
          <w:sz w:val="28"/>
          <w:szCs w:val="28"/>
          <w:lang w:eastAsia="uk-UA" w:bidi="uk-UA"/>
        </w:rPr>
        <w:t>3</w:t>
      </w:r>
    </w:p>
    <w:p w:rsidR="007B395A" w:rsidRPr="00CC7883" w:rsidRDefault="007B395A" w:rsidP="00047411">
      <w:pPr>
        <w:widowControl w:val="0"/>
        <w:spacing w:after="0" w:line="360" w:lineRule="auto"/>
        <w:jc w:val="center"/>
        <w:rPr>
          <w:rFonts w:ascii="Times New Roman" w:eastAsia="Calibri" w:hAnsi="Times New Roman" w:cs="Times New Roman"/>
          <w:bCs/>
          <w:color w:val="000000" w:themeColor="text1"/>
          <w:kern w:val="0"/>
          <w:sz w:val="28"/>
          <w:szCs w:val="28"/>
          <w:lang w:eastAsia="uk-UA" w:bidi="uk-UA"/>
        </w:rPr>
      </w:pPr>
    </w:p>
    <w:p w:rsidR="00854E40" w:rsidRPr="00CC7883" w:rsidRDefault="00854E40" w:rsidP="00047411">
      <w:pPr>
        <w:widowControl w:val="0"/>
        <w:spacing w:after="0" w:line="360" w:lineRule="auto"/>
        <w:jc w:val="center"/>
        <w:rPr>
          <w:rFonts w:ascii="Times New Roman" w:eastAsia="Calibri" w:hAnsi="Times New Roman" w:cs="Times New Roman"/>
          <w:color w:val="000000" w:themeColor="text1"/>
          <w:kern w:val="0"/>
          <w:sz w:val="28"/>
          <w:szCs w:val="22"/>
        </w:rPr>
      </w:pPr>
      <w:r w:rsidRPr="00CC7883">
        <w:rPr>
          <w:rFonts w:ascii="Times New Roman" w:eastAsia="Calibri" w:hAnsi="Times New Roman" w:cs="Times New Roman"/>
          <w:b/>
          <w:bCs/>
          <w:color w:val="000000" w:themeColor="text1"/>
          <w:kern w:val="0"/>
          <w:sz w:val="28"/>
          <w:szCs w:val="28"/>
          <w:lang w:eastAsia="uk-UA" w:bidi="uk-UA"/>
        </w:rPr>
        <w:t xml:space="preserve">Економічна ефективність удосконалених технологічних прийомів культивування винограду </w:t>
      </w:r>
      <w:r w:rsidR="00F67BBB" w:rsidRPr="00CC7883">
        <w:rPr>
          <w:rFonts w:ascii="Times New Roman" w:eastAsia="Calibri" w:hAnsi="Times New Roman" w:cs="Times New Roman"/>
          <w:b/>
          <w:bCs/>
          <w:i/>
          <w:color w:val="000000" w:themeColor="text1"/>
          <w:kern w:val="0"/>
          <w:sz w:val="28"/>
          <w:szCs w:val="28"/>
          <w:lang w:eastAsia="uk-UA" w:bidi="uk-UA"/>
        </w:rPr>
        <w:t>in</w:t>
      </w:r>
      <w:r w:rsidR="001221F9" w:rsidRPr="00CC7883">
        <w:rPr>
          <w:rFonts w:ascii="Times New Roman" w:eastAsia="Calibri" w:hAnsi="Times New Roman" w:cs="Times New Roman"/>
          <w:b/>
          <w:bCs/>
          <w:i/>
          <w:color w:val="000000" w:themeColor="text1"/>
          <w:kern w:val="0"/>
          <w:sz w:val="28"/>
          <w:szCs w:val="28"/>
          <w:lang w:eastAsia="uk-UA" w:bidi="uk-UA"/>
        </w:rPr>
        <w:t> </w:t>
      </w:r>
      <w:r w:rsidR="00F67BBB" w:rsidRPr="00CC7883">
        <w:rPr>
          <w:rFonts w:ascii="Times New Roman" w:eastAsia="Calibri" w:hAnsi="Times New Roman" w:cs="Times New Roman"/>
          <w:b/>
          <w:bCs/>
          <w:i/>
          <w:color w:val="000000" w:themeColor="text1"/>
          <w:kern w:val="0"/>
          <w:sz w:val="28"/>
          <w:szCs w:val="28"/>
          <w:lang w:eastAsia="uk-UA" w:bidi="uk-UA"/>
        </w:rPr>
        <w:t>vitro</w:t>
      </w:r>
      <w:r w:rsidR="001221F9" w:rsidRPr="00CC7883">
        <w:rPr>
          <w:rFonts w:ascii="Times New Roman" w:eastAsia="Calibri" w:hAnsi="Times New Roman" w:cs="Times New Roman"/>
          <w:b/>
          <w:bCs/>
          <w:i/>
          <w:color w:val="000000" w:themeColor="text1"/>
          <w:kern w:val="0"/>
          <w:sz w:val="28"/>
          <w:szCs w:val="28"/>
          <w:lang w:eastAsia="uk-UA" w:bidi="uk-UA"/>
        </w:rPr>
        <w:t xml:space="preserve"> </w:t>
      </w:r>
      <w:r w:rsidRPr="00CC7883">
        <w:rPr>
          <w:rFonts w:ascii="Times New Roman" w:eastAsia="Calibri" w:hAnsi="Times New Roman" w:cs="Times New Roman"/>
          <w:b/>
          <w:bCs/>
          <w:color w:val="000000" w:themeColor="text1"/>
          <w:kern w:val="0"/>
          <w:sz w:val="28"/>
          <w:szCs w:val="28"/>
          <w:lang w:eastAsia="uk-UA" w:bidi="uk-UA"/>
        </w:rPr>
        <w:t xml:space="preserve">технічного сорту «Загрей» </w:t>
      </w:r>
      <w:r w:rsidR="003E6D23" w:rsidRPr="00CC7883">
        <w:rPr>
          <w:rFonts w:ascii="Times New Roman" w:eastAsia="Calibri" w:hAnsi="Times New Roman" w:cs="Times New Roman"/>
          <w:b/>
          <w:color w:val="000000" w:themeColor="text1"/>
          <w:kern w:val="0"/>
          <w:sz w:val="28"/>
          <w:szCs w:val="28"/>
        </w:rPr>
        <w:t>(дослід 1)</w:t>
      </w:r>
    </w:p>
    <w:tbl>
      <w:tblPr>
        <w:tblStyle w:val="24"/>
        <w:tblW w:w="13892" w:type="dxa"/>
        <w:jc w:val="center"/>
        <w:tblLayout w:type="fixed"/>
        <w:tblLook w:val="04A0"/>
      </w:tblPr>
      <w:tblGrid>
        <w:gridCol w:w="4111"/>
        <w:gridCol w:w="1134"/>
        <w:gridCol w:w="709"/>
        <w:gridCol w:w="1559"/>
        <w:gridCol w:w="1276"/>
        <w:gridCol w:w="1275"/>
        <w:gridCol w:w="1418"/>
        <w:gridCol w:w="1276"/>
        <w:gridCol w:w="1134"/>
      </w:tblGrid>
      <w:tr w:rsidR="00854E40" w:rsidRPr="00CC7883" w:rsidTr="003E6CDD">
        <w:trPr>
          <w:jc w:val="center"/>
        </w:trPr>
        <w:tc>
          <w:tcPr>
            <w:tcW w:w="4111" w:type="dxa"/>
            <w:vMerge w:val="restart"/>
            <w:vAlign w:val="center"/>
          </w:tcPr>
          <w:p w:rsidR="00854E40" w:rsidRPr="00CC7883" w:rsidRDefault="00854E40" w:rsidP="004A76BD">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Показники</w:t>
            </w:r>
          </w:p>
        </w:tc>
        <w:tc>
          <w:tcPr>
            <w:tcW w:w="1134"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Термін культивування мікроклонів, діб</w:t>
            </w:r>
          </w:p>
        </w:tc>
        <w:tc>
          <w:tcPr>
            <w:tcW w:w="709"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Одиниці вимірювання</w:t>
            </w:r>
          </w:p>
        </w:tc>
        <w:tc>
          <w:tcPr>
            <w:tcW w:w="7938" w:type="dxa"/>
            <w:gridSpan w:val="6"/>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Варіанти досліду</w:t>
            </w:r>
          </w:p>
        </w:tc>
      </w:tr>
      <w:tr w:rsidR="00854E40" w:rsidRPr="00CC7883" w:rsidTr="003E6CDD">
        <w:trPr>
          <w:trHeight w:val="2576"/>
          <w:jc w:val="center"/>
        </w:trPr>
        <w:tc>
          <w:tcPr>
            <w:tcW w:w="4111" w:type="dxa"/>
            <w:vMerge/>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p>
        </w:tc>
        <w:tc>
          <w:tcPr>
            <w:tcW w:w="1134"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709"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r>
      <w:tr w:rsidR="00854E40" w:rsidRPr="00CC7883" w:rsidTr="003E6CDD">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9</w:t>
            </w:r>
          </w:p>
        </w:tc>
      </w:tr>
      <w:tr w:rsidR="00854E40" w:rsidRPr="00CC7883" w:rsidTr="00636E27">
        <w:trPr>
          <w:jc w:val="center"/>
        </w:trPr>
        <w:tc>
          <w:tcPr>
            <w:tcW w:w="4111" w:type="dxa"/>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Висаджено мікроклонів на адаптацію</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r>
      <w:tr w:rsidR="00854E40" w:rsidRPr="00CC7883" w:rsidTr="00636E27">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Приживлюваність мікроклонів через: </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570,0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475,0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655,0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580,0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685,0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57,0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47,5</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65,5</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68,5</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369,0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295,0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545,0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469,0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602,0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512,0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36,9</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29,5</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54,5</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46,9</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60,2</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51,2</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285,0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250,0</w:t>
            </w:r>
          </w:p>
        </w:tc>
        <w:tc>
          <w:tcPr>
            <w:tcW w:w="1275"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456,0</w:t>
            </w:r>
          </w:p>
        </w:tc>
        <w:tc>
          <w:tcPr>
            <w:tcW w:w="1418"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400,0</w:t>
            </w:r>
          </w:p>
        </w:tc>
        <w:tc>
          <w:tcPr>
            <w:tcW w:w="1276"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555,0</w:t>
            </w:r>
          </w:p>
        </w:tc>
        <w:tc>
          <w:tcPr>
            <w:tcW w:w="1134" w:type="dxa"/>
          </w:tcPr>
          <w:p w:rsidR="00854E40" w:rsidRPr="00CC7883" w:rsidRDefault="00854E40" w:rsidP="00636E27">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470,0</w:t>
            </w:r>
          </w:p>
        </w:tc>
      </w:tr>
      <w:tr w:rsidR="00854E40" w:rsidRPr="00CC7883" w:rsidTr="00636E27">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28,5</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25,0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45,6</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55,5</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47,0</w:t>
            </w:r>
          </w:p>
        </w:tc>
      </w:tr>
      <w:tr w:rsidR="00854E40" w:rsidRPr="00CC7883" w:rsidTr="00636E27">
        <w:trPr>
          <w:jc w:val="center"/>
        </w:trPr>
        <w:tc>
          <w:tcPr>
            <w:tcW w:w="4111" w:type="dxa"/>
            <w:vAlign w:val="center"/>
          </w:tcPr>
          <w:p w:rsidR="00854E40" w:rsidRPr="00FC48E2" w:rsidRDefault="00854E40" w:rsidP="00047411">
            <w:pPr>
              <w:widowControl w:val="0"/>
              <w:rPr>
                <w:rFonts w:ascii="Times New Roman" w:eastAsia="Calibri" w:hAnsi="Times New Roman" w:cs="Times New Roman"/>
                <w:bCs/>
                <w:color w:val="000000" w:themeColor="text1"/>
                <w:sz w:val="28"/>
                <w:szCs w:val="28"/>
                <w:lang w:val="ru-RU"/>
              </w:rPr>
            </w:pPr>
            <w:r w:rsidRPr="00FC48E2">
              <w:rPr>
                <w:rFonts w:ascii="Times New Roman" w:eastAsia="Calibri" w:hAnsi="Times New Roman" w:cs="Times New Roman"/>
                <w:bCs/>
                <w:color w:val="000000" w:themeColor="text1"/>
                <w:sz w:val="28"/>
                <w:szCs w:val="28"/>
                <w:lang w:val="ru-RU"/>
              </w:rPr>
              <w:t xml:space="preserve">Витрати на одержання мікроклонів, у т. ч.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39139,0</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40739,0</w:t>
            </w:r>
          </w:p>
        </w:tc>
        <w:tc>
          <w:tcPr>
            <w:tcW w:w="1275"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40249,2</w:t>
            </w:r>
          </w:p>
        </w:tc>
        <w:tc>
          <w:tcPr>
            <w:tcW w:w="1418"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41849,2</w:t>
            </w:r>
          </w:p>
        </w:tc>
        <w:tc>
          <w:tcPr>
            <w:tcW w:w="1276"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39389,3</w:t>
            </w:r>
          </w:p>
        </w:tc>
        <w:tc>
          <w:tcPr>
            <w:tcW w:w="1134" w:type="dxa"/>
          </w:tcPr>
          <w:p w:rsidR="00854E40" w:rsidRPr="00CC7883" w:rsidRDefault="00854E40" w:rsidP="00636E27">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40989,3</w:t>
            </w:r>
          </w:p>
        </w:tc>
      </w:tr>
    </w:tbl>
    <w:p w:rsidR="00796AB1" w:rsidRPr="00CC7883" w:rsidRDefault="00854E40" w:rsidP="00047411">
      <w:pPr>
        <w:widowControl w:val="0"/>
        <w:spacing w:after="0" w:line="360" w:lineRule="auto"/>
        <w:rPr>
          <w:rFonts w:ascii="Times New Roman" w:eastAsia="Calibri" w:hAnsi="Times New Roman" w:cs="Times New Roman"/>
          <w:color w:val="000000" w:themeColor="text1"/>
          <w:kern w:val="0"/>
          <w:sz w:val="22"/>
          <w:szCs w:val="22"/>
        </w:rPr>
        <w:sectPr w:rsidR="00796AB1" w:rsidRPr="00CC7883" w:rsidSect="004E32E3">
          <w:footerReference w:type="default" r:id="rId256"/>
          <w:pgSz w:w="16838" w:h="11906" w:orient="landscape" w:code="9"/>
          <w:pgMar w:top="1701" w:right="1098" w:bottom="851" w:left="1134" w:header="709" w:footer="709" w:gutter="0"/>
          <w:cols w:space="708"/>
          <w:docGrid w:linePitch="360"/>
        </w:sectPr>
      </w:pPr>
      <w:r w:rsidRPr="00CC7883">
        <w:rPr>
          <w:rFonts w:ascii="Times New Roman" w:eastAsia="Calibri" w:hAnsi="Times New Roman" w:cs="Times New Roman"/>
          <w:color w:val="000000" w:themeColor="text1"/>
          <w:kern w:val="0"/>
          <w:sz w:val="22"/>
          <w:szCs w:val="22"/>
        </w:rPr>
        <w:br w:type="page"/>
      </w:r>
    </w:p>
    <w:p w:rsidR="00854E40" w:rsidRPr="00CC7883" w:rsidRDefault="00AA267C" w:rsidP="00AA267C">
      <w:pPr>
        <w:widowControl w:val="0"/>
        <w:spacing w:after="0" w:line="360" w:lineRule="auto"/>
        <w:ind w:left="9926" w:right="-284" w:firstLine="709"/>
        <w:jc w:val="center"/>
        <w:rPr>
          <w:rFonts w:ascii="Times New Roman" w:eastAsia="Calibri" w:hAnsi="Times New Roman" w:cs="Times New Roman"/>
          <w:color w:val="000000" w:themeColor="text1"/>
          <w:kern w:val="0"/>
          <w:sz w:val="22"/>
          <w:szCs w:val="22"/>
        </w:rPr>
      </w:pPr>
      <w:r>
        <w:rPr>
          <w:rFonts w:ascii="Times New Roman" w:eastAsia="Calibri" w:hAnsi="Times New Roman" w:cs="Times New Roman"/>
          <w:color w:val="000000" w:themeColor="text1"/>
          <w:kern w:val="0"/>
        </w:rPr>
        <w:lastRenderedPageBreak/>
        <w:t xml:space="preserve">   </w:t>
      </w:r>
      <w:r w:rsidR="00B07113" w:rsidRPr="00CC7883">
        <w:rPr>
          <w:rFonts w:ascii="Times New Roman" w:eastAsia="Calibri" w:hAnsi="Times New Roman" w:cs="Times New Roman"/>
          <w:color w:val="000000" w:themeColor="text1"/>
          <w:kern w:val="0"/>
        </w:rPr>
        <w:t xml:space="preserve">Продовження </w:t>
      </w:r>
      <w:r w:rsidR="007B395A" w:rsidRPr="00CC7883">
        <w:rPr>
          <w:rFonts w:ascii="Times New Roman" w:eastAsia="Calibri" w:hAnsi="Times New Roman" w:cs="Times New Roman"/>
          <w:color w:val="000000" w:themeColor="text1"/>
          <w:kern w:val="0"/>
        </w:rPr>
        <w:t>додатку</w:t>
      </w:r>
      <w:r w:rsidR="00B07113" w:rsidRPr="00CC7883">
        <w:rPr>
          <w:rFonts w:ascii="Times New Roman" w:eastAsia="Calibri" w:hAnsi="Times New Roman" w:cs="Times New Roman"/>
          <w:color w:val="000000" w:themeColor="text1"/>
          <w:kern w:val="0"/>
        </w:rPr>
        <w:t xml:space="preserve"> Д</w:t>
      </w:r>
      <w:r w:rsidR="00854E40" w:rsidRPr="00CC7883">
        <w:rPr>
          <w:rFonts w:ascii="Times New Roman" w:eastAsia="Calibri" w:hAnsi="Times New Roman" w:cs="Times New Roman"/>
          <w:color w:val="000000" w:themeColor="text1"/>
          <w:kern w:val="0"/>
        </w:rPr>
        <w:t>.</w:t>
      </w:r>
      <w:r>
        <w:rPr>
          <w:rFonts w:ascii="Times New Roman" w:eastAsia="Calibri" w:hAnsi="Times New Roman" w:cs="Times New Roman"/>
          <w:color w:val="000000" w:themeColor="text1"/>
          <w:kern w:val="0"/>
        </w:rPr>
        <w:t xml:space="preserve"> </w:t>
      </w:r>
      <w:r w:rsidR="00854E40" w:rsidRPr="00CC7883">
        <w:rPr>
          <w:rFonts w:ascii="Times New Roman" w:eastAsia="Calibri" w:hAnsi="Times New Roman" w:cs="Times New Roman"/>
          <w:color w:val="000000" w:themeColor="text1"/>
          <w:kern w:val="0"/>
        </w:rPr>
        <w:t>3</w:t>
      </w:r>
    </w:p>
    <w:tbl>
      <w:tblPr>
        <w:tblStyle w:val="24"/>
        <w:tblW w:w="13892" w:type="dxa"/>
        <w:jc w:val="center"/>
        <w:tblLayout w:type="fixed"/>
        <w:tblLook w:val="04A0"/>
      </w:tblPr>
      <w:tblGrid>
        <w:gridCol w:w="4111"/>
        <w:gridCol w:w="1134"/>
        <w:gridCol w:w="709"/>
        <w:gridCol w:w="1559"/>
        <w:gridCol w:w="1276"/>
        <w:gridCol w:w="1275"/>
        <w:gridCol w:w="1418"/>
        <w:gridCol w:w="1276"/>
        <w:gridCol w:w="1134"/>
      </w:tblGrid>
      <w:tr w:rsidR="00854E40" w:rsidRPr="00CC7883" w:rsidTr="003E6CDD">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9</w:t>
            </w:r>
          </w:p>
        </w:tc>
      </w:tr>
      <w:tr w:rsidR="00854E40" w:rsidRPr="00CC7883" w:rsidTr="00AA267C">
        <w:trPr>
          <w:jc w:val="center"/>
        </w:trPr>
        <w:tc>
          <w:tcPr>
            <w:tcW w:w="4111" w:type="dxa"/>
            <w:vAlign w:val="center"/>
          </w:tcPr>
          <w:p w:rsidR="00854E40" w:rsidRPr="00FC48E2" w:rsidRDefault="00854E40" w:rsidP="00047411">
            <w:pPr>
              <w:widowControl w:val="0"/>
              <w:ind w:left="737" w:hanging="284"/>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   витрати на введення ініціальних експлантів та їх мікророзмноження</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r>
      <w:tr w:rsidR="00854E40" w:rsidRPr="00CC7883" w:rsidTr="00AA267C">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приготування поживних середовищ</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r>
      <w:tr w:rsidR="00854E40" w:rsidRPr="00CC7883" w:rsidTr="00AA267C">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вартість препаратів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1110,2</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1110,2</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250,3</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250,3</w:t>
            </w:r>
          </w:p>
        </w:tc>
      </w:tr>
      <w:tr w:rsidR="00854E40" w:rsidRPr="00CC7883" w:rsidTr="00AA267C">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енергоресурси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r>
      <w:tr w:rsidR="00854E40" w:rsidRPr="00CC7883" w:rsidTr="00AA267C">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трудові витрати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r>
      <w:tr w:rsidR="00854E40" w:rsidRPr="00CC7883" w:rsidTr="00AA267C">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Собівартість 1 тис. адаптованих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68664,9</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85766,3</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61449,2</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72153,8</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57502,6</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68315,5</w:t>
            </w:r>
          </w:p>
        </w:tc>
      </w:tr>
      <w:tr w:rsidR="00854E40" w:rsidRPr="00CC7883" w:rsidTr="00AA267C">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106067,8</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138098,3</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73851,7</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89230,7</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65430,7</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80057,2</w:t>
            </w:r>
          </w:p>
        </w:tc>
      </w:tr>
      <w:tr w:rsidR="00854E40" w:rsidRPr="00CC7883" w:rsidTr="00AA267C">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137329,8</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162956,0</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88265,8</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104623,0</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70971,7</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87211,3</w:t>
            </w:r>
          </w:p>
        </w:tc>
      </w:tr>
      <w:tr w:rsidR="00854E40" w:rsidRPr="00CC7883" w:rsidTr="00AA267C">
        <w:trPr>
          <w:jc w:val="center"/>
        </w:trPr>
        <w:tc>
          <w:tcPr>
            <w:tcW w:w="4111" w:type="dxa"/>
            <w:vAlign w:val="center"/>
          </w:tcPr>
          <w:p w:rsidR="00854E40" w:rsidRPr="00FC48E2" w:rsidRDefault="00854E40" w:rsidP="00047411">
            <w:pPr>
              <w:widowControl w:val="0"/>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Ціна реалізації адаптованого мікроклона, грн</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r>
      <w:tr w:rsidR="00854E40" w:rsidRPr="00CC7883" w:rsidTr="00AA267C">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Прибуток (на 1000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12161,0</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2011,0</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18700,8</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10350,8</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22260,7</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13010,7</w:t>
            </w:r>
          </w:p>
        </w:tc>
      </w:tr>
      <w:tr w:rsidR="00854E40" w:rsidRPr="00CC7883" w:rsidTr="00AA267C">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8800,8</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360,8</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14790,7</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5090,7</w:t>
            </w:r>
          </w:p>
        </w:tc>
      </w:tr>
      <w:tr w:rsidR="00854E40" w:rsidRPr="00CC7883" w:rsidTr="00AA267C">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790,8</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10560,7</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1310,7</w:t>
            </w:r>
          </w:p>
        </w:tc>
      </w:tr>
      <w:tr w:rsidR="00854E40" w:rsidRPr="00CC7883" w:rsidTr="00AA267C">
        <w:trPr>
          <w:jc w:val="center"/>
        </w:trPr>
        <w:tc>
          <w:tcPr>
            <w:tcW w:w="4111" w:type="dxa"/>
            <w:vMerge w:val="restart"/>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Рівень рентабельності</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31,1</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4,9</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46,5</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24,7</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56,5</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31,7</w:t>
            </w:r>
          </w:p>
        </w:tc>
      </w:tr>
      <w:tr w:rsidR="00854E40" w:rsidRPr="00CC7883" w:rsidTr="00AA267C">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21,9</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0,9</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37,6</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12,4</w:t>
            </w:r>
          </w:p>
        </w:tc>
      </w:tr>
      <w:tr w:rsidR="00854E40" w:rsidRPr="00CC7883" w:rsidTr="00AA267C">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2,0</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26,8</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3,2</w:t>
            </w:r>
          </w:p>
        </w:tc>
      </w:tr>
    </w:tbl>
    <w:p w:rsidR="00854E40" w:rsidRPr="00CC7883" w:rsidRDefault="00854E40" w:rsidP="00047411">
      <w:pPr>
        <w:widowControl w:val="0"/>
        <w:spacing w:after="0" w:line="360" w:lineRule="auto"/>
        <w:jc w:val="right"/>
        <w:rPr>
          <w:rFonts w:ascii="Times New Roman" w:eastAsia="Calibri" w:hAnsi="Times New Roman" w:cs="Times New Roman"/>
          <w:color w:val="000000" w:themeColor="text1"/>
          <w:kern w:val="0"/>
        </w:rPr>
      </w:pPr>
    </w:p>
    <w:p w:rsidR="001C0AAF" w:rsidRPr="00CC7883" w:rsidRDefault="00854E40" w:rsidP="00047411">
      <w:pPr>
        <w:widowControl w:val="0"/>
        <w:spacing w:line="259" w:lineRule="auto"/>
        <w:rPr>
          <w:rFonts w:ascii="Times New Roman" w:eastAsia="Calibri" w:hAnsi="Times New Roman" w:cs="Times New Roman"/>
          <w:color w:val="000000" w:themeColor="text1"/>
          <w:kern w:val="0"/>
        </w:rPr>
        <w:sectPr w:rsidR="001C0AAF" w:rsidRPr="00CC7883" w:rsidSect="004E32E3">
          <w:footerReference w:type="default" r:id="rId257"/>
          <w:pgSz w:w="16838" w:h="11906" w:orient="landscape" w:code="9"/>
          <w:pgMar w:top="1701" w:right="1098" w:bottom="851" w:left="1134" w:header="709" w:footer="709" w:gutter="0"/>
          <w:cols w:space="708"/>
          <w:docGrid w:linePitch="360"/>
        </w:sectPr>
      </w:pPr>
      <w:r w:rsidRPr="00CC7883">
        <w:rPr>
          <w:rFonts w:ascii="Times New Roman" w:eastAsia="Calibri" w:hAnsi="Times New Roman" w:cs="Times New Roman"/>
          <w:color w:val="000000" w:themeColor="text1"/>
          <w:kern w:val="0"/>
        </w:rPr>
        <w:br w:type="page"/>
      </w:r>
    </w:p>
    <w:p w:rsidR="007B395A" w:rsidRPr="00CC7883" w:rsidRDefault="00AA267C" w:rsidP="00AA267C">
      <w:pPr>
        <w:widowControl w:val="0"/>
        <w:spacing w:after="0" w:line="360" w:lineRule="auto"/>
        <w:ind w:left="9926" w:right="-284" w:firstLine="709"/>
        <w:jc w:val="center"/>
        <w:rPr>
          <w:rFonts w:ascii="Times New Roman" w:eastAsia="Calibri" w:hAnsi="Times New Roman" w:cs="Times New Roman"/>
          <w:color w:val="000000" w:themeColor="text1"/>
          <w:kern w:val="0"/>
          <w:sz w:val="22"/>
          <w:szCs w:val="22"/>
        </w:rPr>
      </w:pPr>
      <w:r>
        <w:rPr>
          <w:rFonts w:ascii="Times New Roman" w:eastAsia="Calibri" w:hAnsi="Times New Roman" w:cs="Times New Roman"/>
          <w:color w:val="000000" w:themeColor="text1"/>
          <w:kern w:val="0"/>
        </w:rPr>
        <w:lastRenderedPageBreak/>
        <w:t xml:space="preserve">  </w:t>
      </w:r>
      <w:r w:rsidR="007B395A" w:rsidRPr="00CC7883">
        <w:rPr>
          <w:rFonts w:ascii="Times New Roman" w:eastAsia="Calibri" w:hAnsi="Times New Roman" w:cs="Times New Roman"/>
          <w:color w:val="000000" w:themeColor="text1"/>
          <w:kern w:val="0"/>
        </w:rPr>
        <w:t>Продовження додатку Д.</w:t>
      </w:r>
      <w:r>
        <w:rPr>
          <w:rFonts w:ascii="Times New Roman" w:eastAsia="Calibri" w:hAnsi="Times New Roman" w:cs="Times New Roman"/>
          <w:color w:val="000000" w:themeColor="text1"/>
          <w:kern w:val="0"/>
        </w:rPr>
        <w:t xml:space="preserve"> </w:t>
      </w:r>
      <w:r w:rsidR="007B395A" w:rsidRPr="00CC7883">
        <w:rPr>
          <w:rFonts w:ascii="Times New Roman" w:eastAsia="Calibri" w:hAnsi="Times New Roman" w:cs="Times New Roman"/>
          <w:color w:val="000000" w:themeColor="text1"/>
          <w:kern w:val="0"/>
        </w:rPr>
        <w:t>3</w:t>
      </w:r>
    </w:p>
    <w:tbl>
      <w:tblPr>
        <w:tblStyle w:val="24"/>
        <w:tblW w:w="13892" w:type="dxa"/>
        <w:jc w:val="center"/>
        <w:tblLayout w:type="fixed"/>
        <w:tblLook w:val="04A0"/>
      </w:tblPr>
      <w:tblGrid>
        <w:gridCol w:w="4111"/>
        <w:gridCol w:w="1134"/>
        <w:gridCol w:w="709"/>
        <w:gridCol w:w="1559"/>
        <w:gridCol w:w="1276"/>
        <w:gridCol w:w="1275"/>
        <w:gridCol w:w="1418"/>
        <w:gridCol w:w="1276"/>
        <w:gridCol w:w="1134"/>
      </w:tblGrid>
      <w:tr w:rsidR="00854E40" w:rsidRPr="00CC7883" w:rsidTr="003E6CDD">
        <w:trPr>
          <w:jc w:val="center"/>
        </w:trPr>
        <w:tc>
          <w:tcPr>
            <w:tcW w:w="4111" w:type="dxa"/>
            <w:vMerge w:val="restart"/>
            <w:vAlign w:val="center"/>
          </w:tcPr>
          <w:p w:rsidR="00854E40" w:rsidRPr="00CC7883" w:rsidRDefault="00854E40" w:rsidP="004A76BD">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Показники</w:t>
            </w:r>
          </w:p>
        </w:tc>
        <w:tc>
          <w:tcPr>
            <w:tcW w:w="1134"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Термін культивування мікроклонів, діб</w:t>
            </w:r>
          </w:p>
        </w:tc>
        <w:tc>
          <w:tcPr>
            <w:tcW w:w="709"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Одиниці вимірювання</w:t>
            </w:r>
          </w:p>
        </w:tc>
        <w:tc>
          <w:tcPr>
            <w:tcW w:w="7938" w:type="dxa"/>
            <w:gridSpan w:val="6"/>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Варіанти досліду</w:t>
            </w:r>
          </w:p>
        </w:tc>
      </w:tr>
      <w:tr w:rsidR="00854E40" w:rsidRPr="00CC7883" w:rsidTr="003E6CDD">
        <w:trPr>
          <w:trHeight w:val="2576"/>
          <w:jc w:val="center"/>
        </w:trPr>
        <w:tc>
          <w:tcPr>
            <w:tcW w:w="4111" w:type="dxa"/>
            <w:vMerge/>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p>
        </w:tc>
        <w:tc>
          <w:tcPr>
            <w:tcW w:w="1134"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709"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12</w:t>
            </w:r>
          </w:p>
        </w:tc>
      </w:tr>
      <w:tr w:rsidR="00854E40" w:rsidRPr="00CC7883" w:rsidTr="003E6CDD">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rPr>
              <w:t>9</w:t>
            </w:r>
          </w:p>
        </w:tc>
      </w:tr>
      <w:tr w:rsidR="00854E40" w:rsidRPr="00CC7883" w:rsidTr="00AA267C">
        <w:trPr>
          <w:jc w:val="center"/>
        </w:trPr>
        <w:tc>
          <w:tcPr>
            <w:tcW w:w="4111" w:type="dxa"/>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Висаджено мікроклонів на адаптацію</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r>
      <w:tr w:rsidR="00854E40" w:rsidRPr="00CC7883" w:rsidTr="00AA267C">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Приживлюваність мікроклонів через: </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640,0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775,0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940,0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800,0</w:t>
            </w:r>
          </w:p>
        </w:tc>
      </w:tr>
      <w:tr w:rsidR="00854E40" w:rsidRPr="00CC7883" w:rsidTr="00AA267C">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75,0</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64,0</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77,5</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70,0</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94,0</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80,0</w:t>
            </w:r>
          </w:p>
        </w:tc>
      </w:tr>
      <w:tr w:rsidR="00854E40" w:rsidRPr="00CC7883" w:rsidTr="00AA267C">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635,7</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461,0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588,0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530,0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772,0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700,0</w:t>
            </w:r>
          </w:p>
        </w:tc>
      </w:tr>
      <w:tr w:rsidR="00854E40" w:rsidRPr="00CC7883" w:rsidTr="00AA267C">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63,6</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46,1</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58,8</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53,0</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77,2</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70,0</w:t>
            </w:r>
          </w:p>
        </w:tc>
      </w:tr>
      <w:tr w:rsidR="00854E40" w:rsidRPr="00CC7883" w:rsidTr="00AA267C">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560,0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420,0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503,0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470,0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652,0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600,0</w:t>
            </w:r>
          </w:p>
        </w:tc>
      </w:tr>
      <w:tr w:rsidR="00854E40" w:rsidRPr="00CC7883" w:rsidTr="00AA267C">
        <w:trPr>
          <w:jc w:val="center"/>
        </w:trPr>
        <w:tc>
          <w:tcPr>
            <w:tcW w:w="4111"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56,0</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42,0</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50,3</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47,0</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65,2</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60,0</w:t>
            </w:r>
          </w:p>
        </w:tc>
      </w:tr>
      <w:tr w:rsidR="00854E40" w:rsidRPr="00CC7883" w:rsidTr="00AA267C">
        <w:trPr>
          <w:jc w:val="center"/>
        </w:trPr>
        <w:tc>
          <w:tcPr>
            <w:tcW w:w="4111" w:type="dxa"/>
            <w:vAlign w:val="center"/>
          </w:tcPr>
          <w:p w:rsidR="00854E40" w:rsidRPr="00FC48E2" w:rsidRDefault="00854E40" w:rsidP="00047411">
            <w:pPr>
              <w:widowControl w:val="0"/>
              <w:rPr>
                <w:rFonts w:ascii="Times New Roman" w:eastAsia="Calibri" w:hAnsi="Times New Roman" w:cs="Times New Roman"/>
                <w:bCs/>
                <w:color w:val="000000" w:themeColor="text1"/>
                <w:sz w:val="28"/>
                <w:szCs w:val="28"/>
                <w:lang w:val="ru-RU"/>
              </w:rPr>
            </w:pPr>
            <w:r w:rsidRPr="00FC48E2">
              <w:rPr>
                <w:rFonts w:ascii="Times New Roman" w:eastAsia="Calibri" w:hAnsi="Times New Roman" w:cs="Times New Roman"/>
                <w:bCs/>
                <w:color w:val="000000" w:themeColor="text1"/>
                <w:sz w:val="28"/>
                <w:szCs w:val="28"/>
                <w:lang w:val="ru-RU"/>
              </w:rPr>
              <w:t xml:space="preserve">Витрати на одержання мікроклонів, у т. ч.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39269,2</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40869,2</w:t>
            </w:r>
          </w:p>
        </w:tc>
        <w:tc>
          <w:tcPr>
            <w:tcW w:w="1275"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39229,4</w:t>
            </w:r>
          </w:p>
        </w:tc>
        <w:tc>
          <w:tcPr>
            <w:tcW w:w="1418"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40829,4</w:t>
            </w:r>
          </w:p>
        </w:tc>
        <w:tc>
          <w:tcPr>
            <w:tcW w:w="1276"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39359,6</w:t>
            </w:r>
          </w:p>
        </w:tc>
        <w:tc>
          <w:tcPr>
            <w:tcW w:w="1134" w:type="dxa"/>
          </w:tcPr>
          <w:p w:rsidR="00854E40" w:rsidRPr="00CC7883" w:rsidRDefault="00854E40" w:rsidP="00AA267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40959,6</w:t>
            </w:r>
          </w:p>
        </w:tc>
      </w:tr>
      <w:tr w:rsidR="00854E40" w:rsidRPr="00CC7883" w:rsidTr="00AA267C">
        <w:trPr>
          <w:jc w:val="center"/>
        </w:trPr>
        <w:tc>
          <w:tcPr>
            <w:tcW w:w="4111" w:type="dxa"/>
            <w:vAlign w:val="center"/>
          </w:tcPr>
          <w:p w:rsidR="00854E40" w:rsidRPr="00FC48E2" w:rsidRDefault="00854E40" w:rsidP="00047411">
            <w:pPr>
              <w:widowControl w:val="0"/>
              <w:ind w:left="453"/>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  витрати на введення ініціальних експлантів та їх мікророзмноження</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r>
      <w:tr w:rsidR="00854E40" w:rsidRPr="00CC7883" w:rsidTr="00AA267C">
        <w:trPr>
          <w:jc w:val="center"/>
        </w:trPr>
        <w:tc>
          <w:tcPr>
            <w:tcW w:w="4111" w:type="dxa"/>
            <w:vAlign w:val="center"/>
          </w:tcPr>
          <w:p w:rsidR="00854E40" w:rsidRPr="00CC7883" w:rsidRDefault="00854E40" w:rsidP="00047411">
            <w:pPr>
              <w:widowControl w:val="0"/>
              <w:numPr>
                <w:ilvl w:val="0"/>
                <w:numId w:val="25"/>
              </w:numPr>
              <w:autoSpaceDN w:val="0"/>
              <w:ind w:left="453" w:firstLine="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приготування поживних середовищ</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5"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418"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c>
          <w:tcPr>
            <w:tcW w:w="1276"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20000,0</w:t>
            </w:r>
          </w:p>
        </w:tc>
        <w:tc>
          <w:tcPr>
            <w:tcW w:w="1134" w:type="dxa"/>
          </w:tcPr>
          <w:p w:rsidR="00854E40" w:rsidRPr="00CC7883" w:rsidRDefault="00854E40" w:rsidP="00AA267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21600,0</w:t>
            </w:r>
          </w:p>
        </w:tc>
      </w:tr>
    </w:tbl>
    <w:p w:rsidR="007275B3" w:rsidRPr="00CC7883" w:rsidRDefault="00854E40" w:rsidP="00047411">
      <w:pPr>
        <w:widowControl w:val="0"/>
        <w:spacing w:after="0" w:line="360" w:lineRule="auto"/>
        <w:rPr>
          <w:rFonts w:ascii="Times New Roman" w:eastAsia="Calibri" w:hAnsi="Times New Roman" w:cs="Times New Roman"/>
          <w:color w:val="000000" w:themeColor="text1"/>
          <w:kern w:val="0"/>
          <w:sz w:val="22"/>
          <w:szCs w:val="22"/>
        </w:rPr>
        <w:sectPr w:rsidR="007275B3" w:rsidRPr="00CC7883" w:rsidSect="004E32E3">
          <w:headerReference w:type="default" r:id="rId258"/>
          <w:footerReference w:type="default" r:id="rId259"/>
          <w:pgSz w:w="16838" w:h="11906" w:orient="landscape" w:code="9"/>
          <w:pgMar w:top="1701" w:right="1098" w:bottom="851" w:left="1134" w:header="709" w:footer="709" w:gutter="0"/>
          <w:cols w:space="708"/>
          <w:docGrid w:linePitch="360"/>
        </w:sectPr>
      </w:pPr>
      <w:r w:rsidRPr="00CC7883">
        <w:rPr>
          <w:rFonts w:ascii="Times New Roman" w:eastAsia="Calibri" w:hAnsi="Times New Roman" w:cs="Times New Roman"/>
          <w:color w:val="000000" w:themeColor="text1"/>
          <w:kern w:val="0"/>
          <w:sz w:val="22"/>
          <w:szCs w:val="22"/>
        </w:rPr>
        <w:br w:type="page"/>
      </w:r>
    </w:p>
    <w:p w:rsidR="007B395A" w:rsidRPr="00CC7883" w:rsidRDefault="00294563" w:rsidP="00294563">
      <w:pPr>
        <w:widowControl w:val="0"/>
        <w:spacing w:after="0" w:line="360" w:lineRule="auto"/>
        <w:ind w:left="10635" w:right="-284"/>
        <w:jc w:val="center"/>
        <w:rPr>
          <w:rFonts w:ascii="Times New Roman" w:eastAsia="Calibri" w:hAnsi="Times New Roman" w:cs="Times New Roman"/>
          <w:color w:val="000000" w:themeColor="text1"/>
          <w:kern w:val="0"/>
          <w:sz w:val="22"/>
          <w:szCs w:val="22"/>
        </w:rPr>
      </w:pPr>
      <w:r>
        <w:rPr>
          <w:rFonts w:ascii="Times New Roman" w:eastAsia="Calibri" w:hAnsi="Times New Roman" w:cs="Times New Roman"/>
          <w:color w:val="000000" w:themeColor="text1"/>
          <w:kern w:val="0"/>
        </w:rPr>
        <w:lastRenderedPageBreak/>
        <w:t xml:space="preserve">   </w:t>
      </w:r>
      <w:r w:rsidR="007B395A" w:rsidRPr="00CC7883">
        <w:rPr>
          <w:rFonts w:ascii="Times New Roman" w:eastAsia="Calibri" w:hAnsi="Times New Roman" w:cs="Times New Roman"/>
          <w:color w:val="000000" w:themeColor="text1"/>
          <w:kern w:val="0"/>
        </w:rPr>
        <w:t>Продовження додатку Д.</w:t>
      </w:r>
      <w:r>
        <w:rPr>
          <w:rFonts w:ascii="Times New Roman" w:eastAsia="Calibri" w:hAnsi="Times New Roman" w:cs="Times New Roman"/>
          <w:color w:val="000000" w:themeColor="text1"/>
          <w:kern w:val="0"/>
        </w:rPr>
        <w:t xml:space="preserve"> </w:t>
      </w:r>
      <w:r w:rsidR="007B395A" w:rsidRPr="00CC7883">
        <w:rPr>
          <w:rFonts w:ascii="Times New Roman" w:eastAsia="Calibri" w:hAnsi="Times New Roman" w:cs="Times New Roman"/>
          <w:color w:val="000000" w:themeColor="text1"/>
          <w:kern w:val="0"/>
        </w:rPr>
        <w:t>3</w:t>
      </w:r>
    </w:p>
    <w:tbl>
      <w:tblPr>
        <w:tblStyle w:val="24"/>
        <w:tblW w:w="13892" w:type="dxa"/>
        <w:jc w:val="center"/>
        <w:tblLayout w:type="fixed"/>
        <w:tblLook w:val="04A0"/>
      </w:tblPr>
      <w:tblGrid>
        <w:gridCol w:w="4111"/>
        <w:gridCol w:w="1134"/>
        <w:gridCol w:w="709"/>
        <w:gridCol w:w="1559"/>
        <w:gridCol w:w="1276"/>
        <w:gridCol w:w="1275"/>
        <w:gridCol w:w="1418"/>
        <w:gridCol w:w="1276"/>
        <w:gridCol w:w="1134"/>
      </w:tblGrid>
      <w:tr w:rsidR="00854E40" w:rsidRPr="00CC7883" w:rsidTr="003E6CDD">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6</w:t>
            </w:r>
          </w:p>
        </w:tc>
        <w:tc>
          <w:tcPr>
            <w:tcW w:w="1418"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7</w:t>
            </w:r>
          </w:p>
        </w:tc>
        <w:tc>
          <w:tcPr>
            <w:tcW w:w="1276"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8</w:t>
            </w:r>
          </w:p>
        </w:tc>
        <w:tc>
          <w:tcPr>
            <w:tcW w:w="1134" w:type="dxa"/>
            <w:vAlign w:val="center"/>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rPr>
              <w:t>9</w:t>
            </w:r>
          </w:p>
        </w:tc>
      </w:tr>
      <w:tr w:rsidR="00854E40" w:rsidRPr="00CC7883" w:rsidTr="00294563">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вартість препаратів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130,2</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130,2</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90,4</w:t>
            </w:r>
          </w:p>
        </w:tc>
        <w:tc>
          <w:tcPr>
            <w:tcW w:w="1418"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90,4</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220,6</w:t>
            </w:r>
          </w:p>
        </w:tc>
        <w:tc>
          <w:tcPr>
            <w:tcW w:w="1134"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220,6</w:t>
            </w:r>
          </w:p>
        </w:tc>
      </w:tr>
      <w:tr w:rsidR="00854E40" w:rsidRPr="00CC7883" w:rsidTr="00294563">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енергоресурси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418"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134"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r>
      <w:tr w:rsidR="00854E40" w:rsidRPr="00CC7883" w:rsidTr="00294563">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трудові витрати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418"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c>
          <w:tcPr>
            <w:tcW w:w="1134"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6500,0</w:t>
            </w:r>
          </w:p>
        </w:tc>
      </w:tr>
      <w:tr w:rsidR="00854E40" w:rsidRPr="00CC7883" w:rsidTr="00294563">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Собівартість 1 тис. адаптованих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52358,9</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63858,1</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50618,6</w:t>
            </w:r>
          </w:p>
        </w:tc>
        <w:tc>
          <w:tcPr>
            <w:tcW w:w="1418"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58327,7</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41871,9</w:t>
            </w:r>
          </w:p>
        </w:tc>
        <w:tc>
          <w:tcPr>
            <w:tcW w:w="1134"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51199,5</w:t>
            </w:r>
          </w:p>
        </w:tc>
      </w:tr>
      <w:tr w:rsidR="00854E40" w:rsidRPr="00CC7883" w:rsidTr="00294563">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61776,4</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88653,4</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66711,3</w:t>
            </w:r>
          </w:p>
        </w:tc>
        <w:tc>
          <w:tcPr>
            <w:tcW w:w="1418"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77036,6</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50983,9</w:t>
            </w:r>
          </w:p>
        </w:tc>
        <w:tc>
          <w:tcPr>
            <w:tcW w:w="1134"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58513,7</w:t>
            </w:r>
          </w:p>
        </w:tc>
      </w:tr>
      <w:tr w:rsidR="00854E40" w:rsidRPr="00CC7883" w:rsidTr="00294563">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70123,6</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97307,6</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77990,9</w:t>
            </w:r>
          </w:p>
        </w:tc>
        <w:tc>
          <w:tcPr>
            <w:tcW w:w="1418"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86871,1</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60367,5</w:t>
            </w:r>
          </w:p>
        </w:tc>
        <w:tc>
          <w:tcPr>
            <w:tcW w:w="1134"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68266,0</w:t>
            </w:r>
          </w:p>
        </w:tc>
      </w:tr>
      <w:tr w:rsidR="00854E40" w:rsidRPr="00CC7883" w:rsidTr="00294563">
        <w:trPr>
          <w:jc w:val="center"/>
        </w:trPr>
        <w:tc>
          <w:tcPr>
            <w:tcW w:w="4111" w:type="dxa"/>
            <w:vAlign w:val="center"/>
          </w:tcPr>
          <w:p w:rsidR="00854E40" w:rsidRPr="00FC48E2" w:rsidRDefault="00854E40" w:rsidP="00047411">
            <w:pPr>
              <w:widowControl w:val="0"/>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Ціна реалізації адаптованого мікроклона, грн</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418"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134"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r>
      <w:tr w:rsidR="00854E40" w:rsidRPr="00CC7883" w:rsidTr="00294563">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Прибуток (на 1000 мікроклонів)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28230,8</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16730,8</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30520,6</w:t>
            </w:r>
          </w:p>
        </w:tc>
        <w:tc>
          <w:tcPr>
            <w:tcW w:w="1418"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22170,6</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45240,4</w:t>
            </w:r>
          </w:p>
        </w:tc>
        <w:tc>
          <w:tcPr>
            <w:tcW w:w="1134"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31040,4</w:t>
            </w:r>
          </w:p>
        </w:tc>
      </w:tr>
      <w:tr w:rsidR="00854E40" w:rsidRPr="00CC7883" w:rsidTr="00294563">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17940,8</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620,8</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13694,9</w:t>
            </w:r>
          </w:p>
        </w:tc>
        <w:tc>
          <w:tcPr>
            <w:tcW w:w="1418"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6870,6</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30120,4</w:t>
            </w:r>
          </w:p>
        </w:tc>
        <w:tc>
          <w:tcPr>
            <w:tcW w:w="1134"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22040,4</w:t>
            </w:r>
          </w:p>
        </w:tc>
      </w:tr>
      <w:tr w:rsidR="00854E40" w:rsidRPr="00CC7883" w:rsidTr="00294563">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11130,8</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6040,6</w:t>
            </w:r>
          </w:p>
        </w:tc>
        <w:tc>
          <w:tcPr>
            <w:tcW w:w="1418"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1470,6</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19320,4</w:t>
            </w:r>
          </w:p>
        </w:tc>
        <w:tc>
          <w:tcPr>
            <w:tcW w:w="1134"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13040,4</w:t>
            </w:r>
          </w:p>
        </w:tc>
      </w:tr>
      <w:tr w:rsidR="00854E40" w:rsidRPr="00CC7883" w:rsidTr="00294563">
        <w:trPr>
          <w:jc w:val="center"/>
        </w:trPr>
        <w:tc>
          <w:tcPr>
            <w:tcW w:w="4111" w:type="dxa"/>
            <w:vMerge w:val="restart"/>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Рівень рентабельності</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71,9</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40,9</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77,8</w:t>
            </w:r>
          </w:p>
        </w:tc>
        <w:tc>
          <w:tcPr>
            <w:tcW w:w="1418"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54,3</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114,9</w:t>
            </w:r>
          </w:p>
        </w:tc>
        <w:tc>
          <w:tcPr>
            <w:tcW w:w="1134"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75,8</w:t>
            </w:r>
          </w:p>
        </w:tc>
      </w:tr>
      <w:tr w:rsidR="00854E40" w:rsidRPr="00CC7883" w:rsidTr="00294563">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45,7</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1,5</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34,9</w:t>
            </w:r>
          </w:p>
        </w:tc>
        <w:tc>
          <w:tcPr>
            <w:tcW w:w="1418"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16,8</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76,5</w:t>
            </w:r>
          </w:p>
        </w:tc>
        <w:tc>
          <w:tcPr>
            <w:tcW w:w="1134"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53,8</w:t>
            </w:r>
          </w:p>
        </w:tc>
      </w:tr>
      <w:tr w:rsidR="00854E40" w:rsidRPr="00CC7883" w:rsidTr="00294563">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28,3</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15,4</w:t>
            </w:r>
          </w:p>
        </w:tc>
        <w:tc>
          <w:tcPr>
            <w:tcW w:w="1418"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3,6</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49,1</w:t>
            </w:r>
          </w:p>
        </w:tc>
        <w:tc>
          <w:tcPr>
            <w:tcW w:w="1134"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31,8</w:t>
            </w:r>
          </w:p>
        </w:tc>
      </w:tr>
    </w:tbl>
    <w:p w:rsidR="00854E40" w:rsidRPr="00CC7883" w:rsidRDefault="00854E40" w:rsidP="00047411">
      <w:pPr>
        <w:widowControl w:val="0"/>
        <w:spacing w:after="0" w:line="360" w:lineRule="auto"/>
        <w:jc w:val="center"/>
        <w:rPr>
          <w:rFonts w:ascii="Times New Roman" w:eastAsia="Calibri" w:hAnsi="Times New Roman" w:cs="Times New Roman"/>
          <w:color w:val="000000" w:themeColor="text1"/>
          <w:kern w:val="0"/>
          <w:sz w:val="28"/>
          <w:szCs w:val="22"/>
        </w:rPr>
      </w:pPr>
    </w:p>
    <w:p w:rsidR="007275B3" w:rsidRPr="00CC7883" w:rsidRDefault="00854E40" w:rsidP="00047411">
      <w:pPr>
        <w:widowControl w:val="0"/>
        <w:spacing w:line="259" w:lineRule="auto"/>
        <w:rPr>
          <w:rFonts w:ascii="Times New Roman" w:eastAsia="Calibri" w:hAnsi="Times New Roman" w:cs="Times New Roman"/>
          <w:color w:val="000000" w:themeColor="text1"/>
          <w:kern w:val="0"/>
          <w:sz w:val="28"/>
          <w:szCs w:val="22"/>
        </w:rPr>
        <w:sectPr w:rsidR="007275B3" w:rsidRPr="00CC7883" w:rsidSect="004E32E3">
          <w:footerReference w:type="default" r:id="rId260"/>
          <w:pgSz w:w="16838" w:h="11906" w:orient="landscape" w:code="9"/>
          <w:pgMar w:top="1701" w:right="1098" w:bottom="851" w:left="1134" w:header="709" w:footer="709" w:gutter="0"/>
          <w:cols w:space="708"/>
          <w:docGrid w:linePitch="360"/>
        </w:sectPr>
      </w:pPr>
      <w:r w:rsidRPr="00CC7883">
        <w:rPr>
          <w:rFonts w:ascii="Times New Roman" w:eastAsia="Calibri" w:hAnsi="Times New Roman" w:cs="Times New Roman"/>
          <w:color w:val="000000" w:themeColor="text1"/>
          <w:kern w:val="0"/>
          <w:sz w:val="28"/>
          <w:szCs w:val="22"/>
        </w:rPr>
        <w:br w:type="page"/>
      </w:r>
    </w:p>
    <w:p w:rsidR="007B395A" w:rsidRPr="00CC7883" w:rsidRDefault="007B395A" w:rsidP="00047411">
      <w:pPr>
        <w:widowControl w:val="0"/>
        <w:spacing w:after="0" w:line="360" w:lineRule="auto"/>
        <w:jc w:val="center"/>
        <w:rPr>
          <w:rFonts w:ascii="Times New Roman" w:eastAsia="Calibri" w:hAnsi="Times New Roman" w:cs="Times New Roman"/>
          <w:bCs/>
          <w:color w:val="000000" w:themeColor="text1"/>
          <w:kern w:val="0"/>
          <w:sz w:val="28"/>
          <w:szCs w:val="28"/>
          <w:lang w:eastAsia="uk-UA" w:bidi="uk-UA"/>
        </w:rPr>
      </w:pPr>
      <w:r w:rsidRPr="00CC7883">
        <w:rPr>
          <w:rFonts w:ascii="Times New Roman" w:eastAsia="Calibri" w:hAnsi="Times New Roman" w:cs="Times New Roman"/>
          <w:bCs/>
          <w:color w:val="000000" w:themeColor="text1"/>
          <w:kern w:val="0"/>
          <w:sz w:val="28"/>
          <w:szCs w:val="28"/>
          <w:lang w:eastAsia="uk-UA" w:bidi="uk-UA"/>
        </w:rPr>
        <w:lastRenderedPageBreak/>
        <w:t>Додаток Д.</w:t>
      </w:r>
      <w:r w:rsidR="00294563">
        <w:rPr>
          <w:rFonts w:ascii="Times New Roman" w:eastAsia="Calibri" w:hAnsi="Times New Roman" w:cs="Times New Roman"/>
          <w:bCs/>
          <w:color w:val="000000" w:themeColor="text1"/>
          <w:kern w:val="0"/>
          <w:sz w:val="28"/>
          <w:szCs w:val="28"/>
          <w:lang w:eastAsia="uk-UA" w:bidi="uk-UA"/>
        </w:rPr>
        <w:t xml:space="preserve"> </w:t>
      </w:r>
      <w:r w:rsidRPr="00CC7883">
        <w:rPr>
          <w:rFonts w:ascii="Times New Roman" w:eastAsia="Calibri" w:hAnsi="Times New Roman" w:cs="Times New Roman"/>
          <w:bCs/>
          <w:color w:val="000000" w:themeColor="text1"/>
          <w:kern w:val="0"/>
          <w:sz w:val="28"/>
          <w:szCs w:val="28"/>
          <w:lang w:eastAsia="uk-UA" w:bidi="uk-UA"/>
        </w:rPr>
        <w:t>4</w:t>
      </w:r>
    </w:p>
    <w:p w:rsidR="007B395A" w:rsidRPr="00CC7883" w:rsidRDefault="007B395A" w:rsidP="00047411">
      <w:pPr>
        <w:widowControl w:val="0"/>
        <w:spacing w:after="0" w:line="360" w:lineRule="auto"/>
        <w:jc w:val="center"/>
        <w:rPr>
          <w:rFonts w:ascii="Times New Roman" w:eastAsia="Calibri" w:hAnsi="Times New Roman" w:cs="Times New Roman"/>
          <w:bCs/>
          <w:color w:val="000000" w:themeColor="text1"/>
          <w:kern w:val="0"/>
          <w:sz w:val="28"/>
          <w:szCs w:val="28"/>
          <w:lang w:eastAsia="uk-UA" w:bidi="uk-UA"/>
        </w:rPr>
      </w:pPr>
    </w:p>
    <w:p w:rsidR="00854E40" w:rsidRPr="00CC7883" w:rsidRDefault="00854E40" w:rsidP="00047411">
      <w:pPr>
        <w:widowControl w:val="0"/>
        <w:spacing w:after="0" w:line="360" w:lineRule="auto"/>
        <w:jc w:val="center"/>
        <w:rPr>
          <w:rFonts w:ascii="Times New Roman" w:eastAsia="Calibri" w:hAnsi="Times New Roman" w:cs="Times New Roman"/>
          <w:color w:val="000000" w:themeColor="text1"/>
          <w:kern w:val="0"/>
          <w:sz w:val="28"/>
          <w:szCs w:val="22"/>
        </w:rPr>
      </w:pPr>
      <w:r w:rsidRPr="00CC7883">
        <w:rPr>
          <w:rFonts w:ascii="Times New Roman" w:eastAsia="Calibri" w:hAnsi="Times New Roman" w:cs="Times New Roman"/>
          <w:b/>
          <w:bCs/>
          <w:color w:val="000000" w:themeColor="text1"/>
          <w:kern w:val="0"/>
          <w:sz w:val="28"/>
          <w:szCs w:val="28"/>
          <w:lang w:eastAsia="uk-UA" w:bidi="uk-UA"/>
        </w:rPr>
        <w:t xml:space="preserve">Економічна ефективність удосконалених технологічних прийомів культивування винограду </w:t>
      </w:r>
      <w:r w:rsidR="00F67BBB" w:rsidRPr="00CC7883">
        <w:rPr>
          <w:rFonts w:ascii="Times New Roman" w:eastAsia="Calibri" w:hAnsi="Times New Roman" w:cs="Times New Roman"/>
          <w:b/>
          <w:bCs/>
          <w:i/>
          <w:color w:val="000000" w:themeColor="text1"/>
          <w:kern w:val="0"/>
          <w:sz w:val="28"/>
          <w:szCs w:val="28"/>
          <w:lang w:eastAsia="uk-UA" w:bidi="uk-UA"/>
        </w:rPr>
        <w:t>in</w:t>
      </w:r>
      <w:r w:rsidR="001221F9" w:rsidRPr="00CC7883">
        <w:rPr>
          <w:rFonts w:ascii="Times New Roman" w:eastAsia="Calibri" w:hAnsi="Times New Roman" w:cs="Times New Roman"/>
          <w:b/>
          <w:bCs/>
          <w:i/>
          <w:color w:val="000000" w:themeColor="text1"/>
          <w:kern w:val="0"/>
          <w:sz w:val="28"/>
          <w:szCs w:val="28"/>
          <w:lang w:eastAsia="uk-UA" w:bidi="uk-UA"/>
        </w:rPr>
        <w:t> </w:t>
      </w:r>
      <w:r w:rsidR="00F67BBB" w:rsidRPr="00CC7883">
        <w:rPr>
          <w:rFonts w:ascii="Times New Roman" w:eastAsia="Calibri" w:hAnsi="Times New Roman" w:cs="Times New Roman"/>
          <w:b/>
          <w:bCs/>
          <w:i/>
          <w:color w:val="000000" w:themeColor="text1"/>
          <w:kern w:val="0"/>
          <w:sz w:val="28"/>
          <w:szCs w:val="28"/>
          <w:lang w:eastAsia="uk-UA" w:bidi="uk-UA"/>
        </w:rPr>
        <w:t>vitro</w:t>
      </w:r>
      <w:r w:rsidR="001221F9" w:rsidRPr="00CC7883">
        <w:rPr>
          <w:rFonts w:ascii="Times New Roman" w:eastAsia="Calibri" w:hAnsi="Times New Roman" w:cs="Times New Roman"/>
          <w:b/>
          <w:bCs/>
          <w:i/>
          <w:color w:val="000000" w:themeColor="text1"/>
          <w:kern w:val="0"/>
          <w:sz w:val="28"/>
          <w:szCs w:val="28"/>
          <w:lang w:eastAsia="uk-UA" w:bidi="uk-UA"/>
        </w:rPr>
        <w:t xml:space="preserve"> </w:t>
      </w:r>
      <w:r w:rsidRPr="00CC7883">
        <w:rPr>
          <w:rFonts w:ascii="Times New Roman" w:eastAsia="Calibri" w:hAnsi="Times New Roman" w:cs="Times New Roman"/>
          <w:b/>
          <w:bCs/>
          <w:color w:val="000000" w:themeColor="text1"/>
          <w:kern w:val="0"/>
          <w:sz w:val="28"/>
          <w:szCs w:val="28"/>
          <w:lang w:eastAsia="uk-UA" w:bidi="uk-UA"/>
        </w:rPr>
        <w:t xml:space="preserve">підщепного сорту «Гарант» </w:t>
      </w:r>
      <w:r w:rsidR="003E6D23" w:rsidRPr="00CC7883">
        <w:rPr>
          <w:rFonts w:ascii="Times New Roman" w:eastAsia="Calibri" w:hAnsi="Times New Roman" w:cs="Times New Roman"/>
          <w:b/>
          <w:color w:val="000000" w:themeColor="text1"/>
          <w:kern w:val="0"/>
          <w:sz w:val="28"/>
          <w:szCs w:val="28"/>
        </w:rPr>
        <w:t>(дослід 2)</w:t>
      </w:r>
    </w:p>
    <w:tbl>
      <w:tblPr>
        <w:tblStyle w:val="24"/>
        <w:tblW w:w="13991" w:type="dxa"/>
        <w:jc w:val="center"/>
        <w:tblLayout w:type="fixed"/>
        <w:tblLook w:val="04A0"/>
      </w:tblPr>
      <w:tblGrid>
        <w:gridCol w:w="4089"/>
        <w:gridCol w:w="1134"/>
        <w:gridCol w:w="708"/>
        <w:gridCol w:w="1560"/>
        <w:gridCol w:w="1275"/>
        <w:gridCol w:w="1276"/>
        <w:gridCol w:w="1843"/>
        <w:gridCol w:w="2106"/>
      </w:tblGrid>
      <w:tr w:rsidR="00854E40" w:rsidRPr="00CC7883" w:rsidTr="00A46F05">
        <w:trPr>
          <w:trHeight w:val="322"/>
          <w:jc w:val="center"/>
        </w:trPr>
        <w:tc>
          <w:tcPr>
            <w:tcW w:w="4089" w:type="dxa"/>
            <w:vMerge w:val="restart"/>
            <w:vAlign w:val="center"/>
          </w:tcPr>
          <w:p w:rsidR="00854E40" w:rsidRPr="00CC7883" w:rsidRDefault="00854E40" w:rsidP="004A76BD">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Показники</w:t>
            </w:r>
          </w:p>
        </w:tc>
        <w:tc>
          <w:tcPr>
            <w:tcW w:w="1134"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Термін культивування мікроклонів, діб</w:t>
            </w:r>
          </w:p>
        </w:tc>
        <w:tc>
          <w:tcPr>
            <w:tcW w:w="708"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Одиниці вимірювання</w:t>
            </w:r>
          </w:p>
        </w:tc>
        <w:tc>
          <w:tcPr>
            <w:tcW w:w="8060" w:type="dxa"/>
            <w:gridSpan w:val="5"/>
          </w:tcPr>
          <w:p w:rsidR="00854E40" w:rsidRPr="00CC7883" w:rsidRDefault="00854E40" w:rsidP="00047411">
            <w:pPr>
              <w:widowControl w:val="0"/>
              <w:jc w:val="center"/>
              <w:rPr>
                <w:rFonts w:ascii="Times New Roman" w:eastAsia="Calibri" w:hAnsi="Times New Roman" w:cs="Times New Roman"/>
                <w:color w:val="000000" w:themeColor="text1"/>
                <w:sz w:val="28"/>
              </w:rPr>
            </w:pPr>
            <w:r w:rsidRPr="00CC7883">
              <w:rPr>
                <w:rFonts w:ascii="Times New Roman" w:eastAsia="Calibri" w:hAnsi="Times New Roman" w:cs="Times New Roman"/>
                <w:color w:val="000000" w:themeColor="text1"/>
                <w:sz w:val="28"/>
              </w:rPr>
              <w:t>Варіанти досліду</w:t>
            </w:r>
          </w:p>
        </w:tc>
      </w:tr>
      <w:tr w:rsidR="00854E40" w:rsidRPr="00CC7883" w:rsidTr="00A46F05">
        <w:trPr>
          <w:trHeight w:val="2576"/>
          <w:jc w:val="center"/>
        </w:trPr>
        <w:tc>
          <w:tcPr>
            <w:tcW w:w="4089" w:type="dxa"/>
            <w:vMerge/>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p>
        </w:tc>
        <w:tc>
          <w:tcPr>
            <w:tcW w:w="1134"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708"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560"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843"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210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r>
      <w:tr w:rsidR="00854E40" w:rsidRPr="00CC7883" w:rsidTr="00A46F05">
        <w:trPr>
          <w:jc w:val="center"/>
        </w:trPr>
        <w:tc>
          <w:tcPr>
            <w:tcW w:w="4089"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60"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843"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210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r>
      <w:tr w:rsidR="00854E40" w:rsidRPr="00CC7883" w:rsidTr="00A46F05">
        <w:trPr>
          <w:jc w:val="center"/>
        </w:trPr>
        <w:tc>
          <w:tcPr>
            <w:tcW w:w="4089" w:type="dxa"/>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Висаджено мікроклонів на адаптацію</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84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210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r>
      <w:tr w:rsidR="00854E40" w:rsidRPr="00CC7883" w:rsidTr="00A46F05">
        <w:trPr>
          <w:jc w:val="center"/>
        </w:trPr>
        <w:tc>
          <w:tcPr>
            <w:tcW w:w="4089"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Приживлюваність мікроклонів через: </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535,0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490,0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793,0</w:t>
            </w:r>
          </w:p>
        </w:tc>
        <w:tc>
          <w:tcPr>
            <w:tcW w:w="184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747,0</w:t>
            </w:r>
          </w:p>
        </w:tc>
        <w:tc>
          <w:tcPr>
            <w:tcW w:w="210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812,0</w:t>
            </w:r>
          </w:p>
        </w:tc>
      </w:tr>
      <w:tr w:rsidR="00854E40" w:rsidRPr="00CC7883" w:rsidTr="00A46F05">
        <w:trPr>
          <w:jc w:val="center"/>
        </w:trPr>
        <w:tc>
          <w:tcPr>
            <w:tcW w:w="4089"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60"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53,5</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49,0</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79,3</w:t>
            </w:r>
          </w:p>
        </w:tc>
        <w:tc>
          <w:tcPr>
            <w:tcW w:w="184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74,7</w:t>
            </w:r>
          </w:p>
        </w:tc>
        <w:tc>
          <w:tcPr>
            <w:tcW w:w="210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81,2</w:t>
            </w:r>
          </w:p>
        </w:tc>
      </w:tr>
      <w:tr w:rsidR="00854E40" w:rsidRPr="00CC7883" w:rsidTr="00A46F05">
        <w:trPr>
          <w:jc w:val="center"/>
        </w:trPr>
        <w:tc>
          <w:tcPr>
            <w:tcW w:w="4089"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363,0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675,0</w:t>
            </w:r>
          </w:p>
        </w:tc>
        <w:tc>
          <w:tcPr>
            <w:tcW w:w="184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650,0</w:t>
            </w:r>
          </w:p>
        </w:tc>
        <w:tc>
          <w:tcPr>
            <w:tcW w:w="210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733,0</w:t>
            </w:r>
          </w:p>
        </w:tc>
      </w:tr>
      <w:tr w:rsidR="00854E40" w:rsidRPr="00CC7883" w:rsidTr="00A46F05">
        <w:trPr>
          <w:jc w:val="center"/>
        </w:trPr>
        <w:tc>
          <w:tcPr>
            <w:tcW w:w="4089"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60"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36,3</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30,0</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67,5</w:t>
            </w:r>
          </w:p>
        </w:tc>
        <w:tc>
          <w:tcPr>
            <w:tcW w:w="184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65,0</w:t>
            </w:r>
          </w:p>
        </w:tc>
        <w:tc>
          <w:tcPr>
            <w:tcW w:w="210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73,3</w:t>
            </w:r>
          </w:p>
        </w:tc>
      </w:tr>
      <w:tr w:rsidR="00854E40" w:rsidRPr="00CC7883" w:rsidTr="00A46F05">
        <w:trPr>
          <w:jc w:val="center"/>
        </w:trPr>
        <w:tc>
          <w:tcPr>
            <w:tcW w:w="4089"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285,0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255,0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635,0</w:t>
            </w:r>
          </w:p>
        </w:tc>
        <w:tc>
          <w:tcPr>
            <w:tcW w:w="184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610,0</w:t>
            </w:r>
          </w:p>
        </w:tc>
        <w:tc>
          <w:tcPr>
            <w:tcW w:w="210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685,0</w:t>
            </w:r>
          </w:p>
        </w:tc>
      </w:tr>
      <w:tr w:rsidR="00854E40" w:rsidRPr="00CC7883" w:rsidTr="00A46F05">
        <w:trPr>
          <w:jc w:val="center"/>
        </w:trPr>
        <w:tc>
          <w:tcPr>
            <w:tcW w:w="4089"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60"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28,5</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25,5</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63,5</w:t>
            </w:r>
          </w:p>
        </w:tc>
        <w:tc>
          <w:tcPr>
            <w:tcW w:w="184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61,0</w:t>
            </w:r>
          </w:p>
        </w:tc>
        <w:tc>
          <w:tcPr>
            <w:tcW w:w="210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68,5</w:t>
            </w:r>
          </w:p>
        </w:tc>
      </w:tr>
      <w:tr w:rsidR="00854E40" w:rsidRPr="00CC7883" w:rsidTr="00A46F05">
        <w:trPr>
          <w:jc w:val="center"/>
        </w:trPr>
        <w:tc>
          <w:tcPr>
            <w:tcW w:w="4089" w:type="dxa"/>
            <w:vAlign w:val="center"/>
          </w:tcPr>
          <w:p w:rsidR="00854E40" w:rsidRPr="00FC48E2" w:rsidRDefault="00854E40" w:rsidP="00047411">
            <w:pPr>
              <w:widowControl w:val="0"/>
              <w:rPr>
                <w:rFonts w:ascii="Times New Roman" w:eastAsia="Calibri" w:hAnsi="Times New Roman" w:cs="Times New Roman"/>
                <w:bCs/>
                <w:color w:val="000000" w:themeColor="text1"/>
                <w:sz w:val="28"/>
                <w:szCs w:val="28"/>
                <w:lang w:val="ru-RU"/>
              </w:rPr>
            </w:pPr>
            <w:r w:rsidRPr="00FC48E2">
              <w:rPr>
                <w:rFonts w:ascii="Times New Roman" w:eastAsia="Calibri" w:hAnsi="Times New Roman" w:cs="Times New Roman"/>
                <w:bCs/>
                <w:color w:val="000000" w:themeColor="text1"/>
                <w:sz w:val="28"/>
                <w:szCs w:val="28"/>
                <w:lang w:val="ru-RU"/>
              </w:rPr>
              <w:t xml:space="preserve">Витрати на одержання мікроклонів, у т. ч.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60"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30139,0</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31739,0</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31939,0</w:t>
            </w:r>
          </w:p>
        </w:tc>
        <w:tc>
          <w:tcPr>
            <w:tcW w:w="184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33179,0</w:t>
            </w:r>
          </w:p>
        </w:tc>
        <w:tc>
          <w:tcPr>
            <w:tcW w:w="210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31759,0</w:t>
            </w:r>
          </w:p>
        </w:tc>
      </w:tr>
    </w:tbl>
    <w:p w:rsidR="007275B3" w:rsidRPr="00CC7883" w:rsidRDefault="007275B3" w:rsidP="00047411">
      <w:pPr>
        <w:widowControl w:val="0"/>
        <w:rPr>
          <w:color w:val="000000" w:themeColor="text1"/>
        </w:rPr>
        <w:sectPr w:rsidR="007275B3" w:rsidRPr="00CC7883" w:rsidSect="00E42FF6">
          <w:footerReference w:type="default" r:id="rId261"/>
          <w:pgSz w:w="16838" w:h="11906" w:orient="landscape" w:code="9"/>
          <w:pgMar w:top="1418" w:right="1100" w:bottom="851" w:left="1134" w:header="709" w:footer="709" w:gutter="0"/>
          <w:cols w:space="708"/>
          <w:docGrid w:linePitch="360"/>
        </w:sectPr>
      </w:pPr>
    </w:p>
    <w:p w:rsidR="003E6D23" w:rsidRPr="00CC7883" w:rsidRDefault="00294563" w:rsidP="003B3CFC">
      <w:pPr>
        <w:widowControl w:val="0"/>
        <w:spacing w:after="0" w:line="360" w:lineRule="auto"/>
        <w:ind w:left="10635" w:right="289" w:firstLine="709"/>
        <w:jc w:val="center"/>
        <w:rPr>
          <w:rFonts w:ascii="Times New Roman" w:eastAsia="Calibri" w:hAnsi="Times New Roman" w:cs="Times New Roman"/>
          <w:color w:val="000000" w:themeColor="text1"/>
          <w:kern w:val="0"/>
          <w:sz w:val="22"/>
          <w:szCs w:val="22"/>
        </w:rPr>
      </w:pPr>
      <w:r>
        <w:rPr>
          <w:rFonts w:ascii="Times New Roman" w:eastAsia="Calibri" w:hAnsi="Times New Roman" w:cs="Times New Roman"/>
          <w:color w:val="000000" w:themeColor="text1"/>
          <w:kern w:val="0"/>
        </w:rPr>
        <w:lastRenderedPageBreak/>
        <w:t xml:space="preserve"> </w:t>
      </w:r>
      <w:r w:rsidR="00B07113" w:rsidRPr="00CC7883">
        <w:rPr>
          <w:rFonts w:ascii="Times New Roman" w:eastAsia="Calibri" w:hAnsi="Times New Roman" w:cs="Times New Roman"/>
          <w:color w:val="000000" w:themeColor="text1"/>
          <w:kern w:val="0"/>
        </w:rPr>
        <w:t xml:space="preserve">Продовження </w:t>
      </w:r>
      <w:r w:rsidR="00455DE2" w:rsidRPr="00CC7883">
        <w:rPr>
          <w:rFonts w:ascii="Times New Roman" w:eastAsia="Calibri" w:hAnsi="Times New Roman" w:cs="Times New Roman"/>
          <w:color w:val="000000" w:themeColor="text1"/>
          <w:kern w:val="0"/>
        </w:rPr>
        <w:t>додатку</w:t>
      </w:r>
      <w:r w:rsidR="00B07113" w:rsidRPr="00CC7883">
        <w:rPr>
          <w:rFonts w:ascii="Times New Roman" w:eastAsia="Calibri" w:hAnsi="Times New Roman" w:cs="Times New Roman"/>
          <w:color w:val="000000" w:themeColor="text1"/>
          <w:kern w:val="0"/>
        </w:rPr>
        <w:t xml:space="preserve"> Д</w:t>
      </w:r>
      <w:r w:rsidR="003E6D23" w:rsidRPr="00CC7883">
        <w:rPr>
          <w:rFonts w:ascii="Times New Roman" w:eastAsia="Calibri" w:hAnsi="Times New Roman" w:cs="Times New Roman"/>
          <w:color w:val="000000" w:themeColor="text1"/>
          <w:kern w:val="0"/>
        </w:rPr>
        <w:t>.</w:t>
      </w:r>
      <w:r>
        <w:rPr>
          <w:rFonts w:ascii="Times New Roman" w:eastAsia="Calibri" w:hAnsi="Times New Roman" w:cs="Times New Roman"/>
          <w:color w:val="000000" w:themeColor="text1"/>
          <w:kern w:val="0"/>
        </w:rPr>
        <w:t xml:space="preserve"> </w:t>
      </w:r>
      <w:r w:rsidR="003E6D23" w:rsidRPr="00CC7883">
        <w:rPr>
          <w:rFonts w:ascii="Times New Roman" w:eastAsia="Calibri" w:hAnsi="Times New Roman" w:cs="Times New Roman"/>
          <w:color w:val="000000" w:themeColor="text1"/>
          <w:kern w:val="0"/>
        </w:rPr>
        <w:t>4</w:t>
      </w:r>
    </w:p>
    <w:tbl>
      <w:tblPr>
        <w:tblStyle w:val="24"/>
        <w:tblW w:w="13918" w:type="dxa"/>
        <w:jc w:val="center"/>
        <w:tblLayout w:type="fixed"/>
        <w:tblLook w:val="04A0"/>
      </w:tblPr>
      <w:tblGrid>
        <w:gridCol w:w="4111"/>
        <w:gridCol w:w="1134"/>
        <w:gridCol w:w="709"/>
        <w:gridCol w:w="1559"/>
        <w:gridCol w:w="1276"/>
        <w:gridCol w:w="1275"/>
        <w:gridCol w:w="1783"/>
        <w:gridCol w:w="2071"/>
      </w:tblGrid>
      <w:tr w:rsidR="00854E40" w:rsidRPr="00CC7883" w:rsidTr="00A46F05">
        <w:trPr>
          <w:jc w:val="center"/>
        </w:trPr>
        <w:tc>
          <w:tcPr>
            <w:tcW w:w="4111" w:type="dxa"/>
            <w:vAlign w:val="center"/>
          </w:tcPr>
          <w:p w:rsidR="00854E40" w:rsidRPr="00FC48E2" w:rsidRDefault="00854E40" w:rsidP="00047411">
            <w:pPr>
              <w:widowControl w:val="0"/>
              <w:ind w:left="731" w:hanging="425"/>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 xml:space="preserve"> -    витрати на введення ініціальних експлантів та їх мікророзмноження</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78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2071"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r>
      <w:tr w:rsidR="000D1D81" w:rsidRPr="00CC7883" w:rsidTr="00A46F05">
        <w:trPr>
          <w:jc w:val="center"/>
        </w:trPr>
        <w:tc>
          <w:tcPr>
            <w:tcW w:w="4111" w:type="dxa"/>
            <w:vAlign w:val="center"/>
          </w:tcPr>
          <w:p w:rsidR="000D1D81" w:rsidRPr="00CC7883" w:rsidRDefault="000D1D81" w:rsidP="00047411">
            <w:pPr>
              <w:widowControl w:val="0"/>
              <w:autoSpaceDN w:val="0"/>
              <w:ind w:left="714"/>
              <w:contextualSpacing/>
              <w:jc w:val="center"/>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134" w:type="dxa"/>
          </w:tcPr>
          <w:p w:rsidR="000D1D81" w:rsidRPr="00CC7883" w:rsidRDefault="000D1D81"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w:t>
            </w:r>
          </w:p>
        </w:tc>
        <w:tc>
          <w:tcPr>
            <w:tcW w:w="709" w:type="dxa"/>
          </w:tcPr>
          <w:p w:rsidR="000D1D81" w:rsidRPr="00CC7883" w:rsidRDefault="000D1D81"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w:t>
            </w:r>
          </w:p>
        </w:tc>
        <w:tc>
          <w:tcPr>
            <w:tcW w:w="1559" w:type="dxa"/>
          </w:tcPr>
          <w:p w:rsidR="000D1D81" w:rsidRPr="00CC7883" w:rsidRDefault="000D1D81"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1276" w:type="dxa"/>
          </w:tcPr>
          <w:p w:rsidR="000D1D81" w:rsidRPr="00CC7883" w:rsidRDefault="000D1D81"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c>
          <w:tcPr>
            <w:tcW w:w="1275" w:type="dxa"/>
          </w:tcPr>
          <w:p w:rsidR="000D1D81" w:rsidRPr="00CC7883" w:rsidRDefault="000D1D81"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w:t>
            </w:r>
          </w:p>
        </w:tc>
        <w:tc>
          <w:tcPr>
            <w:tcW w:w="1783" w:type="dxa"/>
          </w:tcPr>
          <w:p w:rsidR="000D1D81" w:rsidRPr="00CC7883" w:rsidRDefault="000D1D81"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w:t>
            </w:r>
          </w:p>
        </w:tc>
        <w:tc>
          <w:tcPr>
            <w:tcW w:w="2071" w:type="dxa"/>
          </w:tcPr>
          <w:p w:rsidR="000D1D81" w:rsidRPr="00CC7883" w:rsidRDefault="000D1D81"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ind w:left="714" w:hanging="357"/>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приготування поживних субстратів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11600,0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10000,0</w:t>
            </w:r>
          </w:p>
        </w:tc>
        <w:tc>
          <w:tcPr>
            <w:tcW w:w="178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11600,0</w:t>
            </w:r>
          </w:p>
        </w:tc>
        <w:tc>
          <w:tcPr>
            <w:tcW w:w="2071"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вартість мінеральних субстратів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1800,0</w:t>
            </w:r>
          </w:p>
        </w:tc>
        <w:tc>
          <w:tcPr>
            <w:tcW w:w="178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1440,0</w:t>
            </w:r>
          </w:p>
        </w:tc>
        <w:tc>
          <w:tcPr>
            <w:tcW w:w="2071"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1620,0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енергоресурси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78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2071"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трудові витрати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178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2071"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r>
      <w:tr w:rsidR="00854E40" w:rsidRPr="00CC7883" w:rsidTr="00A46F05">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Собівартість 1 тис. адаптованих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56334,6</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64773,5</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40276,2</w:t>
            </w:r>
          </w:p>
        </w:tc>
        <w:tc>
          <w:tcPr>
            <w:tcW w:w="178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44416,3</w:t>
            </w:r>
          </w:p>
        </w:tc>
        <w:tc>
          <w:tcPr>
            <w:tcW w:w="207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39112,1</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83027,5</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105796,7</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47317,0</w:t>
            </w:r>
          </w:p>
        </w:tc>
        <w:tc>
          <w:tcPr>
            <w:tcW w:w="178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51044,6</w:t>
            </w:r>
          </w:p>
        </w:tc>
        <w:tc>
          <w:tcPr>
            <w:tcW w:w="207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43327,4</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105750,9</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124466,7</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50297,6</w:t>
            </w:r>
          </w:p>
        </w:tc>
        <w:tc>
          <w:tcPr>
            <w:tcW w:w="178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54391,8</w:t>
            </w:r>
          </w:p>
        </w:tc>
        <w:tc>
          <w:tcPr>
            <w:tcW w:w="207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46363,5</w:t>
            </w:r>
          </w:p>
        </w:tc>
      </w:tr>
      <w:tr w:rsidR="00854E40" w:rsidRPr="00CC7883" w:rsidTr="00A46F05">
        <w:trPr>
          <w:jc w:val="center"/>
        </w:trPr>
        <w:tc>
          <w:tcPr>
            <w:tcW w:w="4111" w:type="dxa"/>
            <w:vAlign w:val="center"/>
          </w:tcPr>
          <w:p w:rsidR="00854E40" w:rsidRPr="00FC48E2" w:rsidRDefault="00854E40" w:rsidP="00047411">
            <w:pPr>
              <w:widowControl w:val="0"/>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Ціна реалізації адаптованого мікроклона, грн</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78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2071"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r>
      <w:tr w:rsidR="00854E40" w:rsidRPr="00CC7883" w:rsidTr="00A46F05">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Прибуток (на 1000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18011,0</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12361,0</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39431,0</w:t>
            </w:r>
          </w:p>
        </w:tc>
        <w:tc>
          <w:tcPr>
            <w:tcW w:w="178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34051,0</w:t>
            </w:r>
          </w:p>
        </w:tc>
        <w:tc>
          <w:tcPr>
            <w:tcW w:w="207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41321,0</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2531,0</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28811,0</w:t>
            </w:r>
          </w:p>
        </w:tc>
        <w:tc>
          <w:tcPr>
            <w:tcW w:w="178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25321,0</w:t>
            </w:r>
          </w:p>
        </w:tc>
        <w:tc>
          <w:tcPr>
            <w:tcW w:w="207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34211,0</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25211,0</w:t>
            </w:r>
          </w:p>
        </w:tc>
        <w:tc>
          <w:tcPr>
            <w:tcW w:w="178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21721,0</w:t>
            </w:r>
          </w:p>
        </w:tc>
        <w:tc>
          <w:tcPr>
            <w:tcW w:w="207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29891,0</w:t>
            </w:r>
          </w:p>
        </w:tc>
      </w:tr>
      <w:tr w:rsidR="00854E40" w:rsidRPr="00CC7883" w:rsidTr="00A46F05">
        <w:trPr>
          <w:jc w:val="center"/>
        </w:trPr>
        <w:tc>
          <w:tcPr>
            <w:tcW w:w="4111" w:type="dxa"/>
            <w:vMerge w:val="restart"/>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Рівень рентабельності</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59,8</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38,9</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123,5</w:t>
            </w:r>
          </w:p>
        </w:tc>
        <w:tc>
          <w:tcPr>
            <w:tcW w:w="178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102,6</w:t>
            </w:r>
          </w:p>
        </w:tc>
        <w:tc>
          <w:tcPr>
            <w:tcW w:w="207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130,1</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8,4</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90,2</w:t>
            </w:r>
          </w:p>
        </w:tc>
        <w:tc>
          <w:tcPr>
            <w:tcW w:w="178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76,3</w:t>
            </w:r>
          </w:p>
        </w:tc>
        <w:tc>
          <w:tcPr>
            <w:tcW w:w="207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107,7</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78,9</w:t>
            </w:r>
          </w:p>
        </w:tc>
        <w:tc>
          <w:tcPr>
            <w:tcW w:w="178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65,5</w:t>
            </w:r>
          </w:p>
        </w:tc>
        <w:tc>
          <w:tcPr>
            <w:tcW w:w="207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94,1</w:t>
            </w:r>
          </w:p>
        </w:tc>
      </w:tr>
    </w:tbl>
    <w:p w:rsidR="00854E40" w:rsidRPr="00CC7883" w:rsidRDefault="00854E40" w:rsidP="00047411">
      <w:pPr>
        <w:widowControl w:val="0"/>
        <w:spacing w:after="0" w:line="360" w:lineRule="auto"/>
        <w:jc w:val="right"/>
        <w:rPr>
          <w:rFonts w:ascii="Times New Roman" w:eastAsia="Calibri" w:hAnsi="Times New Roman" w:cs="Times New Roman"/>
          <w:i/>
          <w:color w:val="000000" w:themeColor="text1"/>
          <w:kern w:val="0"/>
          <w:sz w:val="28"/>
          <w:szCs w:val="22"/>
        </w:rPr>
      </w:pPr>
    </w:p>
    <w:p w:rsidR="007275B3" w:rsidRPr="00CC7883" w:rsidRDefault="00854E40" w:rsidP="00047411">
      <w:pPr>
        <w:widowControl w:val="0"/>
        <w:spacing w:line="259" w:lineRule="auto"/>
        <w:rPr>
          <w:rFonts w:ascii="Times New Roman" w:eastAsia="Calibri" w:hAnsi="Times New Roman" w:cs="Times New Roman"/>
          <w:i/>
          <w:color w:val="000000" w:themeColor="text1"/>
          <w:kern w:val="0"/>
          <w:sz w:val="28"/>
          <w:szCs w:val="22"/>
        </w:rPr>
        <w:sectPr w:rsidR="007275B3" w:rsidRPr="00CC7883" w:rsidSect="004E32E3">
          <w:footerReference w:type="default" r:id="rId262"/>
          <w:pgSz w:w="16838" w:h="11906" w:orient="landscape" w:code="9"/>
          <w:pgMar w:top="1701" w:right="1098" w:bottom="851" w:left="1134" w:header="709" w:footer="709" w:gutter="0"/>
          <w:cols w:space="708"/>
          <w:docGrid w:linePitch="360"/>
        </w:sectPr>
      </w:pPr>
      <w:r w:rsidRPr="00CC7883">
        <w:rPr>
          <w:rFonts w:ascii="Times New Roman" w:eastAsia="Calibri" w:hAnsi="Times New Roman" w:cs="Times New Roman"/>
          <w:i/>
          <w:color w:val="000000" w:themeColor="text1"/>
          <w:kern w:val="0"/>
          <w:sz w:val="28"/>
          <w:szCs w:val="22"/>
        </w:rPr>
        <w:br w:type="page"/>
      </w:r>
    </w:p>
    <w:p w:rsidR="00455DE2" w:rsidRPr="00CC7883" w:rsidRDefault="00455DE2" w:rsidP="00047411">
      <w:pPr>
        <w:widowControl w:val="0"/>
        <w:spacing w:after="0" w:line="360" w:lineRule="auto"/>
        <w:jc w:val="center"/>
        <w:rPr>
          <w:rFonts w:ascii="Times New Roman" w:eastAsia="Calibri" w:hAnsi="Times New Roman" w:cs="Times New Roman"/>
          <w:bCs/>
          <w:color w:val="000000" w:themeColor="text1"/>
          <w:kern w:val="0"/>
          <w:sz w:val="28"/>
          <w:szCs w:val="28"/>
          <w:lang w:eastAsia="uk-UA" w:bidi="uk-UA"/>
        </w:rPr>
      </w:pPr>
      <w:r w:rsidRPr="00CC7883">
        <w:rPr>
          <w:rFonts w:ascii="Times New Roman" w:eastAsia="Calibri" w:hAnsi="Times New Roman" w:cs="Times New Roman"/>
          <w:bCs/>
          <w:color w:val="000000" w:themeColor="text1"/>
          <w:kern w:val="0"/>
          <w:sz w:val="28"/>
          <w:szCs w:val="28"/>
          <w:lang w:eastAsia="uk-UA" w:bidi="uk-UA"/>
        </w:rPr>
        <w:lastRenderedPageBreak/>
        <w:t>Додаток Д.</w:t>
      </w:r>
      <w:r w:rsidR="00A32496">
        <w:rPr>
          <w:rFonts w:ascii="Times New Roman" w:eastAsia="Calibri" w:hAnsi="Times New Roman" w:cs="Times New Roman"/>
          <w:bCs/>
          <w:color w:val="000000" w:themeColor="text1"/>
          <w:kern w:val="0"/>
          <w:sz w:val="28"/>
          <w:szCs w:val="28"/>
          <w:lang w:eastAsia="uk-UA" w:bidi="uk-UA"/>
        </w:rPr>
        <w:t xml:space="preserve"> </w:t>
      </w:r>
      <w:r w:rsidRPr="00CC7883">
        <w:rPr>
          <w:rFonts w:ascii="Times New Roman" w:eastAsia="Calibri" w:hAnsi="Times New Roman" w:cs="Times New Roman"/>
          <w:bCs/>
          <w:color w:val="000000" w:themeColor="text1"/>
          <w:kern w:val="0"/>
          <w:sz w:val="28"/>
          <w:szCs w:val="28"/>
          <w:lang w:eastAsia="uk-UA" w:bidi="uk-UA"/>
        </w:rPr>
        <w:t>5</w:t>
      </w:r>
    </w:p>
    <w:p w:rsidR="00455DE2" w:rsidRPr="00CC7883" w:rsidRDefault="00455DE2" w:rsidP="00047411">
      <w:pPr>
        <w:widowControl w:val="0"/>
        <w:spacing w:after="0" w:line="360" w:lineRule="auto"/>
        <w:jc w:val="center"/>
        <w:rPr>
          <w:rFonts w:ascii="Times New Roman" w:eastAsia="Calibri" w:hAnsi="Times New Roman" w:cs="Times New Roman"/>
          <w:bCs/>
          <w:color w:val="000000" w:themeColor="text1"/>
          <w:kern w:val="0"/>
          <w:sz w:val="28"/>
          <w:szCs w:val="28"/>
          <w:lang w:eastAsia="uk-UA" w:bidi="uk-UA"/>
        </w:rPr>
      </w:pPr>
    </w:p>
    <w:p w:rsidR="00854E40" w:rsidRPr="00CC7883" w:rsidRDefault="00854E40" w:rsidP="00047411">
      <w:pPr>
        <w:widowControl w:val="0"/>
        <w:spacing w:after="0" w:line="360" w:lineRule="auto"/>
        <w:jc w:val="center"/>
        <w:rPr>
          <w:rFonts w:ascii="Times New Roman" w:eastAsia="Calibri" w:hAnsi="Times New Roman" w:cs="Times New Roman"/>
          <w:color w:val="000000" w:themeColor="text1"/>
          <w:kern w:val="0"/>
          <w:sz w:val="28"/>
          <w:szCs w:val="22"/>
        </w:rPr>
      </w:pPr>
      <w:r w:rsidRPr="00CC7883">
        <w:rPr>
          <w:rFonts w:ascii="Times New Roman" w:eastAsia="Calibri" w:hAnsi="Times New Roman" w:cs="Times New Roman"/>
          <w:b/>
          <w:bCs/>
          <w:color w:val="000000" w:themeColor="text1"/>
          <w:kern w:val="0"/>
          <w:sz w:val="28"/>
          <w:szCs w:val="28"/>
          <w:lang w:eastAsia="uk-UA" w:bidi="uk-UA"/>
        </w:rPr>
        <w:t xml:space="preserve">Економічна ефективність удосконалених технологічних прийомів культивування винограду </w:t>
      </w:r>
      <w:r w:rsidR="00F67BBB" w:rsidRPr="00CC7883">
        <w:rPr>
          <w:rFonts w:ascii="Times New Roman" w:eastAsia="Calibri" w:hAnsi="Times New Roman" w:cs="Times New Roman"/>
          <w:b/>
          <w:bCs/>
          <w:i/>
          <w:color w:val="000000" w:themeColor="text1"/>
          <w:kern w:val="0"/>
          <w:sz w:val="28"/>
          <w:szCs w:val="28"/>
          <w:lang w:eastAsia="uk-UA" w:bidi="uk-UA"/>
        </w:rPr>
        <w:t>in</w:t>
      </w:r>
      <w:r w:rsidR="001221F9" w:rsidRPr="00CC7883">
        <w:rPr>
          <w:rFonts w:ascii="Times New Roman" w:eastAsia="Calibri" w:hAnsi="Times New Roman" w:cs="Times New Roman"/>
          <w:b/>
          <w:bCs/>
          <w:i/>
          <w:color w:val="000000" w:themeColor="text1"/>
          <w:kern w:val="0"/>
          <w:sz w:val="28"/>
          <w:szCs w:val="28"/>
          <w:lang w:eastAsia="uk-UA" w:bidi="uk-UA"/>
        </w:rPr>
        <w:t> </w:t>
      </w:r>
      <w:r w:rsidR="00F67BBB" w:rsidRPr="00CC7883">
        <w:rPr>
          <w:rFonts w:ascii="Times New Roman" w:eastAsia="Calibri" w:hAnsi="Times New Roman" w:cs="Times New Roman"/>
          <w:b/>
          <w:bCs/>
          <w:i/>
          <w:color w:val="000000" w:themeColor="text1"/>
          <w:kern w:val="0"/>
          <w:sz w:val="28"/>
          <w:szCs w:val="28"/>
          <w:lang w:eastAsia="uk-UA" w:bidi="uk-UA"/>
        </w:rPr>
        <w:t>vitro</w:t>
      </w:r>
      <w:r w:rsidR="001221F9" w:rsidRPr="00CC7883">
        <w:rPr>
          <w:rFonts w:ascii="Times New Roman" w:eastAsia="Calibri" w:hAnsi="Times New Roman" w:cs="Times New Roman"/>
          <w:b/>
          <w:bCs/>
          <w:i/>
          <w:color w:val="000000" w:themeColor="text1"/>
          <w:kern w:val="0"/>
          <w:sz w:val="28"/>
          <w:szCs w:val="28"/>
          <w:lang w:eastAsia="uk-UA" w:bidi="uk-UA"/>
        </w:rPr>
        <w:t xml:space="preserve"> </w:t>
      </w:r>
      <w:r w:rsidRPr="00CC7883">
        <w:rPr>
          <w:rFonts w:ascii="Times New Roman" w:eastAsia="Calibri" w:hAnsi="Times New Roman" w:cs="Times New Roman"/>
          <w:b/>
          <w:bCs/>
          <w:color w:val="000000" w:themeColor="text1"/>
          <w:kern w:val="0"/>
          <w:sz w:val="28"/>
          <w:szCs w:val="28"/>
          <w:lang w:eastAsia="uk-UA" w:bidi="uk-UA"/>
        </w:rPr>
        <w:t xml:space="preserve">технічного сорту «Ярило» </w:t>
      </w:r>
      <w:r w:rsidR="003E6D23" w:rsidRPr="00CC7883">
        <w:rPr>
          <w:rFonts w:ascii="Times New Roman" w:eastAsia="Calibri" w:hAnsi="Times New Roman" w:cs="Times New Roman"/>
          <w:b/>
          <w:color w:val="000000" w:themeColor="text1"/>
          <w:kern w:val="0"/>
          <w:sz w:val="28"/>
          <w:szCs w:val="28"/>
        </w:rPr>
        <w:t>(дослід 2)</w:t>
      </w:r>
    </w:p>
    <w:tbl>
      <w:tblPr>
        <w:tblStyle w:val="24"/>
        <w:tblW w:w="13881" w:type="dxa"/>
        <w:jc w:val="center"/>
        <w:tblLayout w:type="fixed"/>
        <w:tblLook w:val="04A0"/>
      </w:tblPr>
      <w:tblGrid>
        <w:gridCol w:w="4034"/>
        <w:gridCol w:w="1134"/>
        <w:gridCol w:w="708"/>
        <w:gridCol w:w="1560"/>
        <w:gridCol w:w="1275"/>
        <w:gridCol w:w="1276"/>
        <w:gridCol w:w="1843"/>
        <w:gridCol w:w="2051"/>
      </w:tblGrid>
      <w:tr w:rsidR="00854E40" w:rsidRPr="00CC7883" w:rsidTr="00A46F05">
        <w:trPr>
          <w:trHeight w:val="322"/>
          <w:jc w:val="center"/>
        </w:trPr>
        <w:tc>
          <w:tcPr>
            <w:tcW w:w="4034" w:type="dxa"/>
            <w:vMerge w:val="restart"/>
            <w:vAlign w:val="center"/>
          </w:tcPr>
          <w:p w:rsidR="00854E40" w:rsidRPr="00CC7883" w:rsidRDefault="00854E40" w:rsidP="00A46F05">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Показники</w:t>
            </w:r>
          </w:p>
        </w:tc>
        <w:tc>
          <w:tcPr>
            <w:tcW w:w="1134"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Термін культивування мікроклонів, діб</w:t>
            </w:r>
          </w:p>
        </w:tc>
        <w:tc>
          <w:tcPr>
            <w:tcW w:w="708"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Одиниці вимірювання</w:t>
            </w:r>
          </w:p>
        </w:tc>
        <w:tc>
          <w:tcPr>
            <w:tcW w:w="8005" w:type="dxa"/>
            <w:gridSpan w:val="5"/>
          </w:tcPr>
          <w:p w:rsidR="00854E40" w:rsidRPr="00CC7883" w:rsidRDefault="00854E40" w:rsidP="00047411">
            <w:pPr>
              <w:widowControl w:val="0"/>
              <w:jc w:val="center"/>
              <w:rPr>
                <w:rFonts w:ascii="Times New Roman" w:eastAsia="Calibri" w:hAnsi="Times New Roman" w:cs="Times New Roman"/>
                <w:color w:val="000000" w:themeColor="text1"/>
                <w:sz w:val="28"/>
              </w:rPr>
            </w:pPr>
            <w:r w:rsidRPr="00CC7883">
              <w:rPr>
                <w:rFonts w:ascii="Times New Roman" w:eastAsia="Calibri" w:hAnsi="Times New Roman" w:cs="Times New Roman"/>
                <w:color w:val="000000" w:themeColor="text1"/>
                <w:sz w:val="28"/>
              </w:rPr>
              <w:t>Варіанти досліду</w:t>
            </w:r>
          </w:p>
        </w:tc>
      </w:tr>
      <w:tr w:rsidR="00A46F05" w:rsidRPr="00CC7883" w:rsidTr="00A46F05">
        <w:trPr>
          <w:trHeight w:val="2576"/>
          <w:jc w:val="center"/>
        </w:trPr>
        <w:tc>
          <w:tcPr>
            <w:tcW w:w="4034" w:type="dxa"/>
            <w:vMerge/>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p>
        </w:tc>
        <w:tc>
          <w:tcPr>
            <w:tcW w:w="1134"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708"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560"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843"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2051"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r>
      <w:tr w:rsidR="00A46F05" w:rsidRPr="00CC7883" w:rsidTr="00A46F05">
        <w:trPr>
          <w:jc w:val="center"/>
        </w:trPr>
        <w:tc>
          <w:tcPr>
            <w:tcW w:w="4034"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60"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843"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2051"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r>
      <w:tr w:rsidR="00A46F05" w:rsidRPr="00CC7883" w:rsidTr="00A46F05">
        <w:trPr>
          <w:jc w:val="center"/>
        </w:trPr>
        <w:tc>
          <w:tcPr>
            <w:tcW w:w="4034" w:type="dxa"/>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Висаджено мікроклонів на адаптацію</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84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2051"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r>
      <w:tr w:rsidR="00A46F05" w:rsidRPr="00CC7883" w:rsidTr="00A46F05">
        <w:trPr>
          <w:jc w:val="center"/>
        </w:trPr>
        <w:tc>
          <w:tcPr>
            <w:tcW w:w="4034"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Приживлюваність мікроклонів через: </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600,0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520,0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730,0</w:t>
            </w:r>
          </w:p>
        </w:tc>
        <w:tc>
          <w:tcPr>
            <w:tcW w:w="184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670,0</w:t>
            </w:r>
          </w:p>
        </w:tc>
        <w:tc>
          <w:tcPr>
            <w:tcW w:w="2051"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800,0</w:t>
            </w:r>
          </w:p>
        </w:tc>
      </w:tr>
      <w:tr w:rsidR="00A46F05" w:rsidRPr="00CC7883" w:rsidTr="00A46F05">
        <w:trPr>
          <w:jc w:val="center"/>
        </w:trPr>
        <w:tc>
          <w:tcPr>
            <w:tcW w:w="4034"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60"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60,0</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52,0</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73,0</w:t>
            </w:r>
          </w:p>
        </w:tc>
        <w:tc>
          <w:tcPr>
            <w:tcW w:w="184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67,0</w:t>
            </w:r>
          </w:p>
        </w:tc>
        <w:tc>
          <w:tcPr>
            <w:tcW w:w="205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80,0</w:t>
            </w:r>
          </w:p>
        </w:tc>
      </w:tr>
      <w:tr w:rsidR="00A46F05" w:rsidRPr="00CC7883" w:rsidTr="00A46F05">
        <w:trPr>
          <w:jc w:val="center"/>
        </w:trPr>
        <w:tc>
          <w:tcPr>
            <w:tcW w:w="4034"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400,0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320,0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640,0</w:t>
            </w:r>
          </w:p>
        </w:tc>
        <w:tc>
          <w:tcPr>
            <w:tcW w:w="184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585,0</w:t>
            </w:r>
          </w:p>
        </w:tc>
        <w:tc>
          <w:tcPr>
            <w:tcW w:w="2051"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727,0</w:t>
            </w:r>
          </w:p>
        </w:tc>
      </w:tr>
      <w:tr w:rsidR="00A46F05" w:rsidRPr="00CC7883" w:rsidTr="00A46F05">
        <w:trPr>
          <w:jc w:val="center"/>
        </w:trPr>
        <w:tc>
          <w:tcPr>
            <w:tcW w:w="4034"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60"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40,0</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32,0</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64,0</w:t>
            </w:r>
          </w:p>
        </w:tc>
        <w:tc>
          <w:tcPr>
            <w:tcW w:w="184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58,5</w:t>
            </w:r>
          </w:p>
        </w:tc>
        <w:tc>
          <w:tcPr>
            <w:tcW w:w="205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72,7</w:t>
            </w:r>
          </w:p>
        </w:tc>
      </w:tr>
      <w:tr w:rsidR="00A46F05" w:rsidRPr="00CC7883" w:rsidTr="00A46F05">
        <w:trPr>
          <w:jc w:val="center"/>
        </w:trPr>
        <w:tc>
          <w:tcPr>
            <w:tcW w:w="4034"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355,0</w:t>
            </w:r>
          </w:p>
        </w:tc>
        <w:tc>
          <w:tcPr>
            <w:tcW w:w="1275"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280,0</w:t>
            </w:r>
          </w:p>
        </w:tc>
        <w:tc>
          <w:tcPr>
            <w:tcW w:w="1276"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610,0</w:t>
            </w:r>
          </w:p>
        </w:tc>
        <w:tc>
          <w:tcPr>
            <w:tcW w:w="1843"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545,0</w:t>
            </w:r>
          </w:p>
        </w:tc>
        <w:tc>
          <w:tcPr>
            <w:tcW w:w="2051" w:type="dxa"/>
          </w:tcPr>
          <w:p w:rsidR="00854E40" w:rsidRPr="00CC7883" w:rsidRDefault="00854E40" w:rsidP="00294563">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687,0</w:t>
            </w:r>
          </w:p>
        </w:tc>
      </w:tr>
      <w:tr w:rsidR="00A46F05" w:rsidRPr="00CC7883" w:rsidTr="00A46F05">
        <w:trPr>
          <w:jc w:val="center"/>
        </w:trPr>
        <w:tc>
          <w:tcPr>
            <w:tcW w:w="4034"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60"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35,5</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28,0</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61,0</w:t>
            </w:r>
          </w:p>
        </w:tc>
        <w:tc>
          <w:tcPr>
            <w:tcW w:w="184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54,5</w:t>
            </w:r>
          </w:p>
        </w:tc>
        <w:tc>
          <w:tcPr>
            <w:tcW w:w="205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68,7</w:t>
            </w:r>
          </w:p>
        </w:tc>
      </w:tr>
      <w:tr w:rsidR="00A46F05" w:rsidRPr="00CC7883" w:rsidTr="00A46F05">
        <w:trPr>
          <w:jc w:val="center"/>
        </w:trPr>
        <w:tc>
          <w:tcPr>
            <w:tcW w:w="4034" w:type="dxa"/>
            <w:vAlign w:val="center"/>
          </w:tcPr>
          <w:p w:rsidR="00854E40" w:rsidRPr="00FC48E2" w:rsidRDefault="00854E40" w:rsidP="00047411">
            <w:pPr>
              <w:widowControl w:val="0"/>
              <w:rPr>
                <w:rFonts w:ascii="Times New Roman" w:eastAsia="Calibri" w:hAnsi="Times New Roman" w:cs="Times New Roman"/>
                <w:bCs/>
                <w:color w:val="000000" w:themeColor="text1"/>
                <w:sz w:val="28"/>
                <w:szCs w:val="28"/>
                <w:lang w:val="ru-RU"/>
              </w:rPr>
            </w:pPr>
            <w:r w:rsidRPr="00FC48E2">
              <w:rPr>
                <w:rFonts w:ascii="Times New Roman" w:eastAsia="Calibri" w:hAnsi="Times New Roman" w:cs="Times New Roman"/>
                <w:bCs/>
                <w:color w:val="000000" w:themeColor="text1"/>
                <w:sz w:val="28"/>
                <w:szCs w:val="28"/>
                <w:lang w:val="ru-RU"/>
              </w:rPr>
              <w:t xml:space="preserve">Витрати на одержання мікроклонів, у т. ч.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60"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30139,0</w:t>
            </w:r>
          </w:p>
        </w:tc>
        <w:tc>
          <w:tcPr>
            <w:tcW w:w="1275"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31739,0</w:t>
            </w:r>
          </w:p>
        </w:tc>
        <w:tc>
          <w:tcPr>
            <w:tcW w:w="1276"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31939,0</w:t>
            </w:r>
          </w:p>
        </w:tc>
        <w:tc>
          <w:tcPr>
            <w:tcW w:w="1843"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33179,0</w:t>
            </w:r>
          </w:p>
        </w:tc>
        <w:tc>
          <w:tcPr>
            <w:tcW w:w="2051" w:type="dxa"/>
          </w:tcPr>
          <w:p w:rsidR="00854E40" w:rsidRPr="00CC7883" w:rsidRDefault="00854E40" w:rsidP="00294563">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31759,0</w:t>
            </w:r>
          </w:p>
        </w:tc>
      </w:tr>
    </w:tbl>
    <w:p w:rsidR="007275B3" w:rsidRPr="00CC7883" w:rsidRDefault="007275B3" w:rsidP="00047411">
      <w:pPr>
        <w:widowControl w:val="0"/>
        <w:spacing w:after="0" w:line="360" w:lineRule="auto"/>
        <w:rPr>
          <w:rFonts w:ascii="Times New Roman" w:eastAsia="Calibri" w:hAnsi="Times New Roman" w:cs="Times New Roman"/>
          <w:color w:val="000000" w:themeColor="text1"/>
          <w:kern w:val="0"/>
          <w:sz w:val="22"/>
          <w:szCs w:val="22"/>
        </w:rPr>
        <w:sectPr w:rsidR="007275B3" w:rsidRPr="00CC7883" w:rsidSect="00E42FF6">
          <w:footerReference w:type="default" r:id="rId263"/>
          <w:pgSz w:w="16838" w:h="11906" w:orient="landscape" w:code="9"/>
          <w:pgMar w:top="1418" w:right="1100" w:bottom="851" w:left="1134" w:header="709" w:footer="709" w:gutter="0"/>
          <w:cols w:space="708"/>
          <w:docGrid w:linePitch="360"/>
        </w:sectPr>
      </w:pPr>
    </w:p>
    <w:p w:rsidR="00854E40" w:rsidRPr="00CC7883" w:rsidRDefault="003B3CFC" w:rsidP="003B3CFC">
      <w:pPr>
        <w:widowControl w:val="0"/>
        <w:spacing w:after="0" w:line="360" w:lineRule="auto"/>
        <w:ind w:left="10635" w:right="289" w:firstLine="709"/>
        <w:rPr>
          <w:rFonts w:ascii="Times New Roman" w:eastAsia="Calibri" w:hAnsi="Times New Roman" w:cs="Times New Roman"/>
          <w:color w:val="000000" w:themeColor="text1"/>
          <w:kern w:val="0"/>
          <w:sz w:val="22"/>
          <w:szCs w:val="22"/>
        </w:rPr>
      </w:pPr>
      <w:r>
        <w:rPr>
          <w:rFonts w:ascii="Times New Roman" w:eastAsia="Calibri" w:hAnsi="Times New Roman" w:cs="Times New Roman"/>
          <w:color w:val="000000" w:themeColor="text1"/>
          <w:kern w:val="0"/>
        </w:rPr>
        <w:lastRenderedPageBreak/>
        <w:t xml:space="preserve">  </w:t>
      </w:r>
      <w:r w:rsidR="00B07113" w:rsidRPr="00CC7883">
        <w:rPr>
          <w:rFonts w:ascii="Times New Roman" w:eastAsia="Calibri" w:hAnsi="Times New Roman" w:cs="Times New Roman"/>
          <w:color w:val="000000" w:themeColor="text1"/>
          <w:kern w:val="0"/>
        </w:rPr>
        <w:t xml:space="preserve">Продовження </w:t>
      </w:r>
      <w:r w:rsidR="00455DE2" w:rsidRPr="00CC7883">
        <w:rPr>
          <w:rFonts w:ascii="Times New Roman" w:eastAsia="Calibri" w:hAnsi="Times New Roman" w:cs="Times New Roman"/>
          <w:color w:val="000000" w:themeColor="text1"/>
          <w:kern w:val="0"/>
        </w:rPr>
        <w:t>додатку</w:t>
      </w:r>
      <w:r w:rsidR="00B07113" w:rsidRPr="00CC7883">
        <w:rPr>
          <w:rFonts w:ascii="Times New Roman" w:eastAsia="Calibri" w:hAnsi="Times New Roman" w:cs="Times New Roman"/>
          <w:color w:val="000000" w:themeColor="text1"/>
          <w:kern w:val="0"/>
        </w:rPr>
        <w:t xml:space="preserve"> Д</w:t>
      </w:r>
      <w:r w:rsidR="00217256" w:rsidRPr="00CC7883">
        <w:rPr>
          <w:rFonts w:ascii="Times New Roman" w:eastAsia="Calibri" w:hAnsi="Times New Roman" w:cs="Times New Roman"/>
          <w:color w:val="000000" w:themeColor="text1"/>
          <w:kern w:val="0"/>
        </w:rPr>
        <w:t>.</w:t>
      </w:r>
      <w:r>
        <w:rPr>
          <w:rFonts w:ascii="Times New Roman" w:eastAsia="Calibri" w:hAnsi="Times New Roman" w:cs="Times New Roman"/>
          <w:color w:val="000000" w:themeColor="text1"/>
          <w:kern w:val="0"/>
        </w:rPr>
        <w:t xml:space="preserve"> </w:t>
      </w:r>
      <w:r w:rsidR="00217256" w:rsidRPr="00CC7883">
        <w:rPr>
          <w:rFonts w:ascii="Times New Roman" w:eastAsia="Calibri" w:hAnsi="Times New Roman" w:cs="Times New Roman"/>
          <w:color w:val="000000" w:themeColor="text1"/>
          <w:kern w:val="0"/>
        </w:rPr>
        <w:t>5</w:t>
      </w:r>
    </w:p>
    <w:tbl>
      <w:tblPr>
        <w:tblStyle w:val="24"/>
        <w:tblW w:w="13927" w:type="dxa"/>
        <w:jc w:val="center"/>
        <w:tblLayout w:type="fixed"/>
        <w:tblLook w:val="04A0"/>
      </w:tblPr>
      <w:tblGrid>
        <w:gridCol w:w="4111"/>
        <w:gridCol w:w="1134"/>
        <w:gridCol w:w="709"/>
        <w:gridCol w:w="1559"/>
        <w:gridCol w:w="1276"/>
        <w:gridCol w:w="1275"/>
        <w:gridCol w:w="1788"/>
        <w:gridCol w:w="2075"/>
      </w:tblGrid>
      <w:tr w:rsidR="00854E40" w:rsidRPr="00CC7883" w:rsidTr="00A46F05">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788"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20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r>
      <w:tr w:rsidR="00854E40" w:rsidRPr="00CC7883" w:rsidTr="00A46F05">
        <w:trPr>
          <w:jc w:val="center"/>
        </w:trPr>
        <w:tc>
          <w:tcPr>
            <w:tcW w:w="4111" w:type="dxa"/>
            <w:vAlign w:val="center"/>
          </w:tcPr>
          <w:p w:rsidR="00854E40" w:rsidRPr="00FC48E2" w:rsidRDefault="00854E40" w:rsidP="00047411">
            <w:pPr>
              <w:widowControl w:val="0"/>
              <w:ind w:left="739" w:hanging="425"/>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     витрати на введення ініціальних експлантів та їх мікророзмноження</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788"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20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приготування поживних субстратів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10000,0</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11600,0</w:t>
            </w:r>
          </w:p>
        </w:tc>
        <w:tc>
          <w:tcPr>
            <w:tcW w:w="12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10000,0</w:t>
            </w:r>
          </w:p>
        </w:tc>
        <w:tc>
          <w:tcPr>
            <w:tcW w:w="1788"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11600,0</w:t>
            </w:r>
          </w:p>
        </w:tc>
        <w:tc>
          <w:tcPr>
            <w:tcW w:w="20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вартість мінеральних субстратів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2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1800,0</w:t>
            </w:r>
          </w:p>
        </w:tc>
        <w:tc>
          <w:tcPr>
            <w:tcW w:w="1788"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1440,0</w:t>
            </w:r>
          </w:p>
        </w:tc>
        <w:tc>
          <w:tcPr>
            <w:tcW w:w="20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1620,0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енергоресурси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788"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20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трудові витрати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12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1788"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20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r>
      <w:tr w:rsidR="00854E40" w:rsidRPr="00CC7883" w:rsidTr="00A46F05">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Собівартість 1 тис. адаптованих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50231,7</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61036,5</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43752,1</w:t>
            </w:r>
          </w:p>
        </w:tc>
        <w:tc>
          <w:tcPr>
            <w:tcW w:w="1788"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49520,9</w:t>
            </w:r>
          </w:p>
        </w:tc>
        <w:tc>
          <w:tcPr>
            <w:tcW w:w="20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39698,8</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75347,5</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99184,4</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49904,7</w:t>
            </w:r>
          </w:p>
        </w:tc>
        <w:tc>
          <w:tcPr>
            <w:tcW w:w="1788"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56716,2</w:t>
            </w:r>
          </w:p>
        </w:tc>
        <w:tc>
          <w:tcPr>
            <w:tcW w:w="20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43685,0</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84898,6</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113353,6</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52359,0</w:t>
            </w:r>
          </w:p>
        </w:tc>
        <w:tc>
          <w:tcPr>
            <w:tcW w:w="1788"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60878,9</w:t>
            </w:r>
          </w:p>
        </w:tc>
        <w:tc>
          <w:tcPr>
            <w:tcW w:w="20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46228,5</w:t>
            </w:r>
          </w:p>
        </w:tc>
      </w:tr>
      <w:tr w:rsidR="00854E40" w:rsidRPr="00CC7883" w:rsidTr="00A46F05">
        <w:trPr>
          <w:jc w:val="center"/>
        </w:trPr>
        <w:tc>
          <w:tcPr>
            <w:tcW w:w="4111" w:type="dxa"/>
            <w:vAlign w:val="center"/>
          </w:tcPr>
          <w:p w:rsidR="00854E40" w:rsidRPr="00FC48E2" w:rsidRDefault="00854E40" w:rsidP="00047411">
            <w:pPr>
              <w:widowControl w:val="0"/>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Ціна реалізації адаптованого мікроклона, грн</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788"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20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r>
      <w:tr w:rsidR="00854E40" w:rsidRPr="00CC7883" w:rsidTr="00A46F05">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Прибуток (на 1000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23861,0</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15061,0</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33761,0</w:t>
            </w:r>
          </w:p>
        </w:tc>
        <w:tc>
          <w:tcPr>
            <w:tcW w:w="1788"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27121,0</w:t>
            </w:r>
          </w:p>
        </w:tc>
        <w:tc>
          <w:tcPr>
            <w:tcW w:w="20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40241,0</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5861,0</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25661,0</w:t>
            </w:r>
          </w:p>
        </w:tc>
        <w:tc>
          <w:tcPr>
            <w:tcW w:w="1788"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19471,0</w:t>
            </w:r>
          </w:p>
        </w:tc>
        <w:tc>
          <w:tcPr>
            <w:tcW w:w="20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33671,0</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1811,0</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22961,0</w:t>
            </w:r>
          </w:p>
        </w:tc>
        <w:tc>
          <w:tcPr>
            <w:tcW w:w="1788"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15871,0</w:t>
            </w:r>
          </w:p>
        </w:tc>
        <w:tc>
          <w:tcPr>
            <w:tcW w:w="20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30071,0</w:t>
            </w:r>
          </w:p>
        </w:tc>
      </w:tr>
      <w:tr w:rsidR="00854E40" w:rsidRPr="00CC7883" w:rsidTr="00A46F05">
        <w:trPr>
          <w:jc w:val="center"/>
        </w:trPr>
        <w:tc>
          <w:tcPr>
            <w:tcW w:w="4111" w:type="dxa"/>
            <w:vMerge w:val="restart"/>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Рівень рентабельності</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79,2</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47,5</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105,7</w:t>
            </w:r>
          </w:p>
        </w:tc>
        <w:tc>
          <w:tcPr>
            <w:tcW w:w="1788"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81,7</w:t>
            </w:r>
          </w:p>
        </w:tc>
        <w:tc>
          <w:tcPr>
            <w:tcW w:w="20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126,7</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19,4</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80,3</w:t>
            </w:r>
          </w:p>
        </w:tc>
        <w:tc>
          <w:tcPr>
            <w:tcW w:w="1788"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58,7</w:t>
            </w:r>
          </w:p>
        </w:tc>
        <w:tc>
          <w:tcPr>
            <w:tcW w:w="20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106,0</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71,9</w:t>
            </w:r>
          </w:p>
        </w:tc>
        <w:tc>
          <w:tcPr>
            <w:tcW w:w="1788"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47,8</w:t>
            </w:r>
          </w:p>
        </w:tc>
        <w:tc>
          <w:tcPr>
            <w:tcW w:w="20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94,7</w:t>
            </w:r>
          </w:p>
        </w:tc>
      </w:tr>
    </w:tbl>
    <w:p w:rsidR="007275B3" w:rsidRPr="00CC7883" w:rsidRDefault="00854E40" w:rsidP="00047411">
      <w:pPr>
        <w:widowControl w:val="0"/>
        <w:spacing w:after="0" w:line="360" w:lineRule="auto"/>
        <w:rPr>
          <w:rFonts w:ascii="Times New Roman" w:eastAsia="Calibri" w:hAnsi="Times New Roman" w:cs="Times New Roman"/>
          <w:color w:val="000000" w:themeColor="text1"/>
          <w:kern w:val="0"/>
          <w:sz w:val="22"/>
          <w:szCs w:val="22"/>
        </w:rPr>
        <w:sectPr w:rsidR="007275B3" w:rsidRPr="00CC7883" w:rsidSect="004E32E3">
          <w:footerReference w:type="default" r:id="rId264"/>
          <w:pgSz w:w="16838" w:h="11906" w:orient="landscape" w:code="9"/>
          <w:pgMar w:top="1701" w:right="1098" w:bottom="851" w:left="1134" w:header="709" w:footer="709" w:gutter="0"/>
          <w:cols w:space="708"/>
          <w:docGrid w:linePitch="360"/>
        </w:sectPr>
      </w:pPr>
      <w:r w:rsidRPr="00CC7883">
        <w:rPr>
          <w:rFonts w:ascii="Times New Roman" w:eastAsia="Calibri" w:hAnsi="Times New Roman" w:cs="Times New Roman"/>
          <w:color w:val="000000" w:themeColor="text1"/>
          <w:kern w:val="0"/>
          <w:sz w:val="22"/>
          <w:szCs w:val="22"/>
        </w:rPr>
        <w:br w:type="page"/>
      </w:r>
    </w:p>
    <w:p w:rsidR="00455DE2" w:rsidRPr="00CC7883" w:rsidRDefault="00455DE2" w:rsidP="00047411">
      <w:pPr>
        <w:widowControl w:val="0"/>
        <w:spacing w:after="0" w:line="360" w:lineRule="auto"/>
        <w:jc w:val="center"/>
        <w:rPr>
          <w:rFonts w:ascii="Times New Roman" w:eastAsia="Calibri" w:hAnsi="Times New Roman" w:cs="Times New Roman"/>
          <w:bCs/>
          <w:color w:val="000000" w:themeColor="text1"/>
          <w:kern w:val="0"/>
          <w:sz w:val="28"/>
          <w:szCs w:val="28"/>
          <w:lang w:eastAsia="uk-UA" w:bidi="uk-UA"/>
        </w:rPr>
      </w:pPr>
      <w:r w:rsidRPr="00CC7883">
        <w:rPr>
          <w:rFonts w:ascii="Times New Roman" w:eastAsia="Calibri" w:hAnsi="Times New Roman" w:cs="Times New Roman"/>
          <w:bCs/>
          <w:color w:val="000000" w:themeColor="text1"/>
          <w:kern w:val="0"/>
          <w:sz w:val="28"/>
          <w:szCs w:val="28"/>
          <w:lang w:eastAsia="uk-UA" w:bidi="uk-UA"/>
        </w:rPr>
        <w:lastRenderedPageBreak/>
        <w:t>Додаток Д.</w:t>
      </w:r>
      <w:r w:rsidR="003B3CFC">
        <w:rPr>
          <w:rFonts w:ascii="Times New Roman" w:eastAsia="Calibri" w:hAnsi="Times New Roman" w:cs="Times New Roman"/>
          <w:bCs/>
          <w:color w:val="000000" w:themeColor="text1"/>
          <w:kern w:val="0"/>
          <w:sz w:val="28"/>
          <w:szCs w:val="28"/>
          <w:lang w:eastAsia="uk-UA" w:bidi="uk-UA"/>
        </w:rPr>
        <w:t xml:space="preserve"> </w:t>
      </w:r>
      <w:r w:rsidRPr="00CC7883">
        <w:rPr>
          <w:rFonts w:ascii="Times New Roman" w:eastAsia="Calibri" w:hAnsi="Times New Roman" w:cs="Times New Roman"/>
          <w:bCs/>
          <w:color w:val="000000" w:themeColor="text1"/>
          <w:kern w:val="0"/>
          <w:sz w:val="28"/>
          <w:szCs w:val="28"/>
          <w:lang w:eastAsia="uk-UA" w:bidi="uk-UA"/>
        </w:rPr>
        <w:t>6</w:t>
      </w:r>
    </w:p>
    <w:p w:rsidR="00455DE2" w:rsidRPr="00CC7883" w:rsidRDefault="00455DE2" w:rsidP="00047411">
      <w:pPr>
        <w:widowControl w:val="0"/>
        <w:spacing w:after="0" w:line="360" w:lineRule="auto"/>
        <w:jc w:val="center"/>
        <w:rPr>
          <w:rFonts w:ascii="Times New Roman" w:eastAsia="Calibri" w:hAnsi="Times New Roman" w:cs="Times New Roman"/>
          <w:bCs/>
          <w:color w:val="000000" w:themeColor="text1"/>
          <w:kern w:val="0"/>
          <w:sz w:val="28"/>
          <w:szCs w:val="28"/>
          <w:lang w:eastAsia="uk-UA" w:bidi="uk-UA"/>
        </w:rPr>
      </w:pPr>
    </w:p>
    <w:p w:rsidR="00854E40" w:rsidRPr="00CC7883" w:rsidRDefault="00854E40" w:rsidP="00047411">
      <w:pPr>
        <w:widowControl w:val="0"/>
        <w:spacing w:after="0" w:line="360" w:lineRule="auto"/>
        <w:jc w:val="center"/>
        <w:rPr>
          <w:rFonts w:ascii="Times New Roman" w:eastAsia="Calibri" w:hAnsi="Times New Roman" w:cs="Times New Roman"/>
          <w:color w:val="000000" w:themeColor="text1"/>
          <w:kern w:val="0"/>
          <w:sz w:val="28"/>
          <w:szCs w:val="22"/>
        </w:rPr>
      </w:pPr>
      <w:r w:rsidRPr="00CC7883">
        <w:rPr>
          <w:rFonts w:ascii="Times New Roman" w:eastAsia="Calibri" w:hAnsi="Times New Roman" w:cs="Times New Roman"/>
          <w:b/>
          <w:bCs/>
          <w:color w:val="000000" w:themeColor="text1"/>
          <w:kern w:val="0"/>
          <w:sz w:val="28"/>
          <w:szCs w:val="28"/>
          <w:lang w:eastAsia="uk-UA" w:bidi="uk-UA"/>
        </w:rPr>
        <w:t xml:space="preserve">Економічна ефективність удосконалених технологічних прийомів культивування винограду </w:t>
      </w:r>
      <w:r w:rsidR="001221F9" w:rsidRPr="00CC7883">
        <w:rPr>
          <w:rFonts w:ascii="Times New Roman" w:hAnsi="Times New Roman" w:cs="Times New Roman"/>
          <w:b/>
          <w:i/>
          <w:iCs/>
          <w:color w:val="000000" w:themeColor="text1"/>
          <w:sz w:val="28"/>
          <w:szCs w:val="28"/>
        </w:rPr>
        <w:t>in vitro</w:t>
      </w:r>
      <w:r w:rsidR="001221F9" w:rsidRPr="00CC7883">
        <w:rPr>
          <w:rFonts w:ascii="Times New Roman" w:eastAsia="Calibri" w:hAnsi="Times New Roman" w:cs="Times New Roman"/>
          <w:b/>
          <w:bCs/>
          <w:color w:val="000000" w:themeColor="text1"/>
          <w:kern w:val="0"/>
          <w:sz w:val="28"/>
          <w:szCs w:val="28"/>
          <w:lang w:eastAsia="uk-UA" w:bidi="uk-UA"/>
        </w:rPr>
        <w:t xml:space="preserve"> </w:t>
      </w:r>
      <w:r w:rsidRPr="00CC7883">
        <w:rPr>
          <w:rFonts w:ascii="Times New Roman" w:eastAsia="Calibri" w:hAnsi="Times New Roman" w:cs="Times New Roman"/>
          <w:b/>
          <w:bCs/>
          <w:color w:val="000000" w:themeColor="text1"/>
          <w:kern w:val="0"/>
          <w:sz w:val="28"/>
          <w:szCs w:val="28"/>
          <w:lang w:eastAsia="uk-UA" w:bidi="uk-UA"/>
        </w:rPr>
        <w:t xml:space="preserve">технічного сорту «Загрей» </w:t>
      </w:r>
      <w:r w:rsidR="003E6D23" w:rsidRPr="00CC7883">
        <w:rPr>
          <w:rFonts w:ascii="Times New Roman" w:eastAsia="Calibri" w:hAnsi="Times New Roman" w:cs="Times New Roman"/>
          <w:b/>
          <w:color w:val="000000" w:themeColor="text1"/>
          <w:kern w:val="0"/>
          <w:sz w:val="28"/>
          <w:szCs w:val="28"/>
        </w:rPr>
        <w:t>(дослід 2)</w:t>
      </w:r>
    </w:p>
    <w:tbl>
      <w:tblPr>
        <w:tblStyle w:val="24"/>
        <w:tblW w:w="13925" w:type="dxa"/>
        <w:jc w:val="center"/>
        <w:tblLayout w:type="fixed"/>
        <w:tblLook w:val="04A0"/>
      </w:tblPr>
      <w:tblGrid>
        <w:gridCol w:w="4056"/>
        <w:gridCol w:w="1134"/>
        <w:gridCol w:w="708"/>
        <w:gridCol w:w="1560"/>
        <w:gridCol w:w="1275"/>
        <w:gridCol w:w="1276"/>
        <w:gridCol w:w="1843"/>
        <w:gridCol w:w="2073"/>
      </w:tblGrid>
      <w:tr w:rsidR="00854E40" w:rsidRPr="00CC7883" w:rsidTr="00A46F05">
        <w:trPr>
          <w:trHeight w:val="322"/>
          <w:jc w:val="center"/>
        </w:trPr>
        <w:tc>
          <w:tcPr>
            <w:tcW w:w="4056" w:type="dxa"/>
            <w:vMerge w:val="restart"/>
            <w:vAlign w:val="center"/>
          </w:tcPr>
          <w:p w:rsidR="00854E40" w:rsidRPr="00CC7883" w:rsidRDefault="00854E40" w:rsidP="004A76BD">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Показники</w:t>
            </w:r>
          </w:p>
        </w:tc>
        <w:tc>
          <w:tcPr>
            <w:tcW w:w="1134"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Термін культивування мікроклонів, діб</w:t>
            </w:r>
          </w:p>
        </w:tc>
        <w:tc>
          <w:tcPr>
            <w:tcW w:w="708" w:type="dxa"/>
            <w:vMerge w:val="restart"/>
            <w:textDirection w:val="btLr"/>
          </w:tcPr>
          <w:p w:rsidR="00854E40" w:rsidRPr="00CC7883" w:rsidRDefault="00854E40" w:rsidP="00047411">
            <w:pPr>
              <w:widowControl w:val="0"/>
              <w:ind w:right="113"/>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Одиниці вимірювання</w:t>
            </w:r>
          </w:p>
        </w:tc>
        <w:tc>
          <w:tcPr>
            <w:tcW w:w="8027" w:type="dxa"/>
            <w:gridSpan w:val="5"/>
          </w:tcPr>
          <w:p w:rsidR="00854E40" w:rsidRPr="00CC7883" w:rsidRDefault="00854E40" w:rsidP="00047411">
            <w:pPr>
              <w:widowControl w:val="0"/>
              <w:jc w:val="center"/>
              <w:rPr>
                <w:rFonts w:ascii="Times New Roman" w:eastAsia="Calibri" w:hAnsi="Times New Roman" w:cs="Times New Roman"/>
                <w:color w:val="000000" w:themeColor="text1"/>
                <w:sz w:val="28"/>
              </w:rPr>
            </w:pPr>
            <w:r w:rsidRPr="00CC7883">
              <w:rPr>
                <w:rFonts w:ascii="Times New Roman" w:eastAsia="Calibri" w:hAnsi="Times New Roman" w:cs="Times New Roman"/>
                <w:color w:val="000000" w:themeColor="text1"/>
                <w:sz w:val="28"/>
              </w:rPr>
              <w:t>Варіанти досліду</w:t>
            </w:r>
          </w:p>
        </w:tc>
      </w:tr>
      <w:tr w:rsidR="00854E40" w:rsidRPr="00CC7883" w:rsidTr="00A46F05">
        <w:trPr>
          <w:trHeight w:val="2576"/>
          <w:jc w:val="center"/>
        </w:trPr>
        <w:tc>
          <w:tcPr>
            <w:tcW w:w="4056" w:type="dxa"/>
            <w:vMerge/>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p>
        </w:tc>
        <w:tc>
          <w:tcPr>
            <w:tcW w:w="1134"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708" w:type="dxa"/>
            <w:vMerge/>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560"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w:t>
            </w:r>
          </w:p>
        </w:tc>
        <w:tc>
          <w:tcPr>
            <w:tcW w:w="1843"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w:t>
            </w:r>
          </w:p>
        </w:tc>
        <w:tc>
          <w:tcPr>
            <w:tcW w:w="2073" w:type="dxa"/>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w:t>
            </w:r>
          </w:p>
        </w:tc>
      </w:tr>
      <w:tr w:rsidR="00854E40" w:rsidRPr="00CC7883" w:rsidTr="00A46F05">
        <w:trPr>
          <w:jc w:val="center"/>
        </w:trPr>
        <w:tc>
          <w:tcPr>
            <w:tcW w:w="405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60"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843"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2073"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r>
      <w:tr w:rsidR="00854E40" w:rsidRPr="00CC7883" w:rsidTr="00A46F05">
        <w:trPr>
          <w:jc w:val="center"/>
        </w:trPr>
        <w:tc>
          <w:tcPr>
            <w:tcW w:w="4056" w:type="dxa"/>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Висаджено мікроклонів на адаптацію</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1843"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c>
          <w:tcPr>
            <w:tcW w:w="2073"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w:t>
            </w:r>
          </w:p>
        </w:tc>
      </w:tr>
      <w:tr w:rsidR="00854E40" w:rsidRPr="00CC7883" w:rsidTr="00A46F05">
        <w:trPr>
          <w:jc w:val="center"/>
        </w:trPr>
        <w:tc>
          <w:tcPr>
            <w:tcW w:w="4056"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Приживлюваність мікроклонів через: </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570,0</w:t>
            </w:r>
          </w:p>
        </w:tc>
        <w:tc>
          <w:tcPr>
            <w:tcW w:w="12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475,0</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709,0</w:t>
            </w:r>
          </w:p>
        </w:tc>
        <w:tc>
          <w:tcPr>
            <w:tcW w:w="1843"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645,0</w:t>
            </w:r>
          </w:p>
        </w:tc>
        <w:tc>
          <w:tcPr>
            <w:tcW w:w="2073"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752,0</w:t>
            </w:r>
          </w:p>
        </w:tc>
      </w:tr>
      <w:tr w:rsidR="00854E40" w:rsidRPr="00CC7883" w:rsidTr="00A46F05">
        <w:trPr>
          <w:jc w:val="center"/>
        </w:trPr>
        <w:tc>
          <w:tcPr>
            <w:tcW w:w="4056"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60"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57,0</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47,5</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70,9</w:t>
            </w:r>
          </w:p>
        </w:tc>
        <w:tc>
          <w:tcPr>
            <w:tcW w:w="1843"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64,5</w:t>
            </w:r>
          </w:p>
        </w:tc>
        <w:tc>
          <w:tcPr>
            <w:tcW w:w="2073"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75,2</w:t>
            </w:r>
          </w:p>
        </w:tc>
      </w:tr>
      <w:tr w:rsidR="00854E40" w:rsidRPr="00CC7883" w:rsidTr="00A46F05">
        <w:trPr>
          <w:jc w:val="center"/>
        </w:trPr>
        <w:tc>
          <w:tcPr>
            <w:tcW w:w="4056"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369,0</w:t>
            </w:r>
          </w:p>
        </w:tc>
        <w:tc>
          <w:tcPr>
            <w:tcW w:w="12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295,0</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635,0</w:t>
            </w:r>
          </w:p>
        </w:tc>
        <w:tc>
          <w:tcPr>
            <w:tcW w:w="1843"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585,0</w:t>
            </w:r>
          </w:p>
        </w:tc>
        <w:tc>
          <w:tcPr>
            <w:tcW w:w="2073"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707,0</w:t>
            </w:r>
          </w:p>
        </w:tc>
      </w:tr>
      <w:tr w:rsidR="00854E40" w:rsidRPr="00CC7883" w:rsidTr="00A46F05">
        <w:trPr>
          <w:jc w:val="center"/>
        </w:trPr>
        <w:tc>
          <w:tcPr>
            <w:tcW w:w="4056"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60"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36,9</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29,5</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63,5</w:t>
            </w:r>
          </w:p>
        </w:tc>
        <w:tc>
          <w:tcPr>
            <w:tcW w:w="1843"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58,5</w:t>
            </w:r>
          </w:p>
        </w:tc>
        <w:tc>
          <w:tcPr>
            <w:tcW w:w="2073"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70,7</w:t>
            </w:r>
          </w:p>
        </w:tc>
      </w:tr>
      <w:tr w:rsidR="00854E40" w:rsidRPr="00CC7883" w:rsidTr="00A46F05">
        <w:trPr>
          <w:jc w:val="center"/>
        </w:trPr>
        <w:tc>
          <w:tcPr>
            <w:tcW w:w="4056" w:type="dxa"/>
            <w:vMerge/>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w:t>
            </w:r>
          </w:p>
        </w:tc>
        <w:tc>
          <w:tcPr>
            <w:tcW w:w="708"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шт.</w:t>
            </w:r>
          </w:p>
        </w:tc>
        <w:tc>
          <w:tcPr>
            <w:tcW w:w="1560"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285,0</w:t>
            </w:r>
          </w:p>
        </w:tc>
        <w:tc>
          <w:tcPr>
            <w:tcW w:w="1275"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250,0</w:t>
            </w:r>
          </w:p>
        </w:tc>
        <w:tc>
          <w:tcPr>
            <w:tcW w:w="1276"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605,0</w:t>
            </w:r>
          </w:p>
        </w:tc>
        <w:tc>
          <w:tcPr>
            <w:tcW w:w="1843"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565,0</w:t>
            </w:r>
          </w:p>
        </w:tc>
        <w:tc>
          <w:tcPr>
            <w:tcW w:w="2073" w:type="dxa"/>
          </w:tcPr>
          <w:p w:rsidR="00854E40" w:rsidRPr="00CC7883" w:rsidRDefault="00854E40" w:rsidP="003B3CFC">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677,0</w:t>
            </w:r>
          </w:p>
        </w:tc>
      </w:tr>
      <w:tr w:rsidR="00854E40" w:rsidRPr="00CC7883" w:rsidTr="00A46F05">
        <w:trPr>
          <w:jc w:val="center"/>
        </w:trPr>
        <w:tc>
          <w:tcPr>
            <w:tcW w:w="4056" w:type="dxa"/>
            <w:vMerge/>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560"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28,5</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25,0</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60,5</w:t>
            </w:r>
          </w:p>
        </w:tc>
        <w:tc>
          <w:tcPr>
            <w:tcW w:w="1843"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56,5</w:t>
            </w:r>
          </w:p>
        </w:tc>
        <w:tc>
          <w:tcPr>
            <w:tcW w:w="2073"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67,7</w:t>
            </w:r>
          </w:p>
        </w:tc>
      </w:tr>
      <w:tr w:rsidR="00854E40" w:rsidRPr="00CC7883" w:rsidTr="00A46F05">
        <w:trPr>
          <w:jc w:val="center"/>
        </w:trPr>
        <w:tc>
          <w:tcPr>
            <w:tcW w:w="4056" w:type="dxa"/>
            <w:vAlign w:val="center"/>
          </w:tcPr>
          <w:p w:rsidR="00854E40" w:rsidRPr="00FC48E2" w:rsidRDefault="00854E40" w:rsidP="00047411">
            <w:pPr>
              <w:widowControl w:val="0"/>
              <w:rPr>
                <w:rFonts w:ascii="Times New Roman" w:eastAsia="Calibri" w:hAnsi="Times New Roman" w:cs="Times New Roman"/>
                <w:bCs/>
                <w:color w:val="000000" w:themeColor="text1"/>
                <w:sz w:val="28"/>
                <w:szCs w:val="28"/>
                <w:lang w:val="ru-RU"/>
              </w:rPr>
            </w:pPr>
            <w:r w:rsidRPr="00FC48E2">
              <w:rPr>
                <w:rFonts w:ascii="Times New Roman" w:eastAsia="Calibri" w:hAnsi="Times New Roman" w:cs="Times New Roman"/>
                <w:bCs/>
                <w:color w:val="000000" w:themeColor="text1"/>
                <w:sz w:val="28"/>
                <w:szCs w:val="28"/>
                <w:lang w:val="ru-RU"/>
              </w:rPr>
              <w:t xml:space="preserve">Витрати на одержання мікроклонів, у т. ч.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8"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60"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30139,0</w:t>
            </w:r>
          </w:p>
        </w:tc>
        <w:tc>
          <w:tcPr>
            <w:tcW w:w="1275"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31739,0</w:t>
            </w:r>
          </w:p>
        </w:tc>
        <w:tc>
          <w:tcPr>
            <w:tcW w:w="1276"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31939,0</w:t>
            </w:r>
          </w:p>
        </w:tc>
        <w:tc>
          <w:tcPr>
            <w:tcW w:w="1843"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33179,0</w:t>
            </w:r>
          </w:p>
        </w:tc>
        <w:tc>
          <w:tcPr>
            <w:tcW w:w="2073" w:type="dxa"/>
          </w:tcPr>
          <w:p w:rsidR="00854E40" w:rsidRPr="00CC7883" w:rsidRDefault="00854E40" w:rsidP="003B3CFC">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31759,0</w:t>
            </w:r>
          </w:p>
        </w:tc>
      </w:tr>
    </w:tbl>
    <w:p w:rsidR="007275B3" w:rsidRPr="00CC7883" w:rsidRDefault="007275B3" w:rsidP="00047411">
      <w:pPr>
        <w:widowControl w:val="0"/>
        <w:spacing w:after="0" w:line="360" w:lineRule="auto"/>
        <w:rPr>
          <w:rFonts w:ascii="Times New Roman" w:eastAsia="Calibri" w:hAnsi="Times New Roman" w:cs="Times New Roman"/>
          <w:color w:val="000000" w:themeColor="text1"/>
          <w:kern w:val="0"/>
          <w:sz w:val="22"/>
          <w:szCs w:val="22"/>
        </w:rPr>
        <w:sectPr w:rsidR="007275B3" w:rsidRPr="00CC7883" w:rsidSect="00E42FF6">
          <w:footerReference w:type="default" r:id="rId265"/>
          <w:pgSz w:w="16838" w:h="11906" w:orient="landscape" w:code="9"/>
          <w:pgMar w:top="1418" w:right="1100" w:bottom="851" w:left="1134" w:header="709" w:footer="709" w:gutter="0"/>
          <w:cols w:space="708"/>
          <w:docGrid w:linePitch="360"/>
        </w:sectPr>
      </w:pPr>
    </w:p>
    <w:p w:rsidR="00854E40" w:rsidRPr="00CC7883" w:rsidRDefault="00B07113" w:rsidP="007E3710">
      <w:pPr>
        <w:widowControl w:val="0"/>
        <w:spacing w:after="0" w:line="360" w:lineRule="auto"/>
        <w:ind w:left="10635" w:right="289" w:firstLine="709"/>
        <w:jc w:val="center"/>
        <w:rPr>
          <w:rFonts w:ascii="Times New Roman" w:eastAsia="Calibri" w:hAnsi="Times New Roman" w:cs="Times New Roman"/>
          <w:color w:val="000000" w:themeColor="text1"/>
          <w:kern w:val="0"/>
          <w:sz w:val="22"/>
          <w:szCs w:val="22"/>
        </w:rPr>
      </w:pPr>
      <w:r w:rsidRPr="00CC7883">
        <w:rPr>
          <w:rFonts w:ascii="Times New Roman" w:eastAsia="Calibri" w:hAnsi="Times New Roman" w:cs="Times New Roman"/>
          <w:color w:val="000000" w:themeColor="text1"/>
          <w:kern w:val="0"/>
        </w:rPr>
        <w:lastRenderedPageBreak/>
        <w:t xml:space="preserve">Продовження </w:t>
      </w:r>
      <w:r w:rsidR="00455DE2" w:rsidRPr="00CC7883">
        <w:rPr>
          <w:rFonts w:ascii="Times New Roman" w:eastAsia="Calibri" w:hAnsi="Times New Roman" w:cs="Times New Roman"/>
          <w:color w:val="000000" w:themeColor="text1"/>
          <w:kern w:val="0"/>
        </w:rPr>
        <w:t>додатку</w:t>
      </w:r>
      <w:r w:rsidRPr="00CC7883">
        <w:rPr>
          <w:rFonts w:ascii="Times New Roman" w:eastAsia="Calibri" w:hAnsi="Times New Roman" w:cs="Times New Roman"/>
          <w:color w:val="000000" w:themeColor="text1"/>
          <w:kern w:val="0"/>
        </w:rPr>
        <w:t xml:space="preserve"> Д</w:t>
      </w:r>
      <w:r w:rsidR="00217256" w:rsidRPr="00CC7883">
        <w:rPr>
          <w:rFonts w:ascii="Times New Roman" w:eastAsia="Calibri" w:hAnsi="Times New Roman" w:cs="Times New Roman"/>
          <w:color w:val="000000" w:themeColor="text1"/>
          <w:kern w:val="0"/>
        </w:rPr>
        <w:t>.</w:t>
      </w:r>
      <w:r w:rsidR="00EB55C4">
        <w:rPr>
          <w:rFonts w:ascii="Times New Roman" w:eastAsia="Calibri" w:hAnsi="Times New Roman" w:cs="Times New Roman"/>
          <w:color w:val="000000" w:themeColor="text1"/>
          <w:kern w:val="0"/>
        </w:rPr>
        <w:t xml:space="preserve"> </w:t>
      </w:r>
      <w:r w:rsidR="00217256" w:rsidRPr="00CC7883">
        <w:rPr>
          <w:rFonts w:ascii="Times New Roman" w:eastAsia="Calibri" w:hAnsi="Times New Roman" w:cs="Times New Roman"/>
          <w:color w:val="000000" w:themeColor="text1"/>
          <w:kern w:val="0"/>
        </w:rPr>
        <w:t>6</w:t>
      </w:r>
    </w:p>
    <w:tbl>
      <w:tblPr>
        <w:tblStyle w:val="24"/>
        <w:tblW w:w="13905" w:type="dxa"/>
        <w:jc w:val="center"/>
        <w:tblLayout w:type="fixed"/>
        <w:tblLook w:val="04A0"/>
      </w:tblPr>
      <w:tblGrid>
        <w:gridCol w:w="4111"/>
        <w:gridCol w:w="1134"/>
        <w:gridCol w:w="709"/>
        <w:gridCol w:w="1559"/>
        <w:gridCol w:w="1276"/>
        <w:gridCol w:w="1275"/>
        <w:gridCol w:w="1777"/>
        <w:gridCol w:w="2064"/>
      </w:tblGrid>
      <w:tr w:rsidR="00854E40" w:rsidRPr="00CC7883" w:rsidTr="00A46F05">
        <w:trPr>
          <w:jc w:val="center"/>
        </w:trPr>
        <w:tc>
          <w:tcPr>
            <w:tcW w:w="4111"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1</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2</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3</w:t>
            </w:r>
          </w:p>
        </w:tc>
        <w:tc>
          <w:tcPr>
            <w:tcW w:w="1559"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4</w:t>
            </w:r>
          </w:p>
        </w:tc>
        <w:tc>
          <w:tcPr>
            <w:tcW w:w="1276"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5</w:t>
            </w:r>
          </w:p>
        </w:tc>
        <w:tc>
          <w:tcPr>
            <w:tcW w:w="1275"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6</w:t>
            </w:r>
          </w:p>
        </w:tc>
        <w:tc>
          <w:tcPr>
            <w:tcW w:w="1777"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7</w:t>
            </w:r>
          </w:p>
        </w:tc>
        <w:tc>
          <w:tcPr>
            <w:tcW w:w="2064" w:type="dxa"/>
            <w:vAlign w:val="center"/>
          </w:tcPr>
          <w:p w:rsidR="00854E40" w:rsidRPr="00CC7883" w:rsidRDefault="00854E40" w:rsidP="00047411">
            <w:pPr>
              <w:widowControl w:val="0"/>
              <w:jc w:val="center"/>
              <w:rPr>
                <w:rFonts w:ascii="Times New Roman" w:eastAsia="Calibri" w:hAnsi="Times New Roman" w:cs="Times New Roman"/>
                <w:color w:val="000000" w:themeColor="text1"/>
              </w:rPr>
            </w:pPr>
            <w:r w:rsidRPr="00CC7883">
              <w:rPr>
                <w:rFonts w:ascii="Times New Roman" w:eastAsia="Calibri" w:hAnsi="Times New Roman" w:cs="Times New Roman"/>
                <w:color w:val="000000" w:themeColor="text1"/>
              </w:rPr>
              <w:t>8</w:t>
            </w:r>
          </w:p>
        </w:tc>
      </w:tr>
      <w:tr w:rsidR="00854E40" w:rsidRPr="00CC7883" w:rsidTr="00A46F05">
        <w:trPr>
          <w:jc w:val="center"/>
        </w:trPr>
        <w:tc>
          <w:tcPr>
            <w:tcW w:w="4111" w:type="dxa"/>
            <w:vAlign w:val="center"/>
          </w:tcPr>
          <w:p w:rsidR="00854E40" w:rsidRPr="00FC48E2" w:rsidRDefault="00854E40" w:rsidP="00047411">
            <w:pPr>
              <w:widowControl w:val="0"/>
              <w:ind w:left="739" w:hanging="425"/>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     витрати на введення ініціальних експлантів та їх мікророзмноження</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6"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275"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1777"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c>
          <w:tcPr>
            <w:tcW w:w="2064"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1500,0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приготування поживних субстратів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10000,0</w:t>
            </w:r>
          </w:p>
        </w:tc>
        <w:tc>
          <w:tcPr>
            <w:tcW w:w="1276"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11600,0</w:t>
            </w:r>
          </w:p>
        </w:tc>
        <w:tc>
          <w:tcPr>
            <w:tcW w:w="1275"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10000,0</w:t>
            </w:r>
          </w:p>
        </w:tc>
        <w:tc>
          <w:tcPr>
            <w:tcW w:w="1777"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11600,0</w:t>
            </w:r>
          </w:p>
        </w:tc>
        <w:tc>
          <w:tcPr>
            <w:tcW w:w="2064"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10000,0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вартість мінеральних субстратів</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276"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275"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1800,0</w:t>
            </w:r>
          </w:p>
        </w:tc>
        <w:tc>
          <w:tcPr>
            <w:tcW w:w="1777"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1440,0</w:t>
            </w:r>
          </w:p>
        </w:tc>
        <w:tc>
          <w:tcPr>
            <w:tcW w:w="2064"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1620,0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енергоресурси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6"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275"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1777"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c>
          <w:tcPr>
            <w:tcW w:w="2064"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11139,0</w:t>
            </w:r>
          </w:p>
        </w:tc>
      </w:tr>
      <w:tr w:rsidR="00854E40" w:rsidRPr="00CC7883" w:rsidTr="00A46F05">
        <w:trPr>
          <w:jc w:val="center"/>
        </w:trPr>
        <w:tc>
          <w:tcPr>
            <w:tcW w:w="4111" w:type="dxa"/>
            <w:vAlign w:val="center"/>
          </w:tcPr>
          <w:p w:rsidR="00854E40" w:rsidRPr="00CC7883" w:rsidRDefault="00854E40" w:rsidP="00047411">
            <w:pPr>
              <w:widowControl w:val="0"/>
              <w:numPr>
                <w:ilvl w:val="0"/>
                <w:numId w:val="25"/>
              </w:numPr>
              <w:autoSpaceDN w:val="0"/>
              <w:contextualSpacing/>
              <w:textAlignment w:val="baseline"/>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трудові витрати</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1276"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1275"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1777"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c>
          <w:tcPr>
            <w:tcW w:w="2064"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7500,0</w:t>
            </w:r>
          </w:p>
        </w:tc>
      </w:tr>
      <w:tr w:rsidR="00854E40" w:rsidRPr="00CC7883" w:rsidTr="00A46F05">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 xml:space="preserve">Собівартість 1 тис. адаптованих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52875,4</w:t>
            </w:r>
          </w:p>
        </w:tc>
        <w:tc>
          <w:tcPr>
            <w:tcW w:w="1276"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66818,9</w:t>
            </w:r>
          </w:p>
        </w:tc>
        <w:tc>
          <w:tcPr>
            <w:tcW w:w="1275"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45048,0</w:t>
            </w:r>
          </w:p>
        </w:tc>
        <w:tc>
          <w:tcPr>
            <w:tcW w:w="1777"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51440,3</w:t>
            </w:r>
          </w:p>
        </w:tc>
        <w:tc>
          <w:tcPr>
            <w:tcW w:w="2064"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42232,7</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81677,5</w:t>
            </w:r>
          </w:p>
        </w:tc>
        <w:tc>
          <w:tcPr>
            <w:tcW w:w="1276"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107589,8</w:t>
            </w:r>
          </w:p>
        </w:tc>
        <w:tc>
          <w:tcPr>
            <w:tcW w:w="1275"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50297,6</w:t>
            </w:r>
          </w:p>
        </w:tc>
        <w:tc>
          <w:tcPr>
            <w:tcW w:w="1777"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56716,2</w:t>
            </w:r>
          </w:p>
        </w:tc>
        <w:tc>
          <w:tcPr>
            <w:tcW w:w="2064"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44920,8</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105750,9</w:t>
            </w:r>
          </w:p>
        </w:tc>
        <w:tc>
          <w:tcPr>
            <w:tcW w:w="1276"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126956,0</w:t>
            </w:r>
          </w:p>
        </w:tc>
        <w:tc>
          <w:tcPr>
            <w:tcW w:w="1275"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52791,7</w:t>
            </w:r>
          </w:p>
        </w:tc>
        <w:tc>
          <w:tcPr>
            <w:tcW w:w="1777"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58723,9</w:t>
            </w:r>
          </w:p>
        </w:tc>
        <w:tc>
          <w:tcPr>
            <w:tcW w:w="2064"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46911,4</w:t>
            </w:r>
          </w:p>
        </w:tc>
      </w:tr>
      <w:tr w:rsidR="00854E40" w:rsidRPr="00CC7883" w:rsidTr="00A46F05">
        <w:trPr>
          <w:jc w:val="center"/>
        </w:trPr>
        <w:tc>
          <w:tcPr>
            <w:tcW w:w="4111" w:type="dxa"/>
            <w:vAlign w:val="center"/>
          </w:tcPr>
          <w:p w:rsidR="00854E40" w:rsidRPr="00FC48E2" w:rsidRDefault="00854E40" w:rsidP="00047411">
            <w:pPr>
              <w:widowControl w:val="0"/>
              <w:rPr>
                <w:rFonts w:ascii="Times New Roman" w:eastAsia="Calibri" w:hAnsi="Times New Roman" w:cs="Times New Roman"/>
                <w:color w:val="000000" w:themeColor="text1"/>
                <w:sz w:val="28"/>
                <w:szCs w:val="28"/>
                <w:lang w:val="ru-RU"/>
              </w:rPr>
            </w:pPr>
            <w:r w:rsidRPr="00FC48E2">
              <w:rPr>
                <w:rFonts w:ascii="Times New Roman" w:eastAsia="Calibri" w:hAnsi="Times New Roman" w:cs="Times New Roman"/>
                <w:color w:val="000000" w:themeColor="text1"/>
                <w:sz w:val="28"/>
                <w:szCs w:val="28"/>
                <w:lang w:val="ru-RU"/>
              </w:rPr>
              <w:t>Ціна реалізації адаптованого мікроклона, грн</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6"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275"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1777"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c>
          <w:tcPr>
            <w:tcW w:w="2064"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90,0</w:t>
            </w:r>
          </w:p>
        </w:tc>
      </w:tr>
      <w:tr w:rsidR="00854E40" w:rsidRPr="00CC7883" w:rsidTr="00A46F05">
        <w:trPr>
          <w:jc w:val="center"/>
        </w:trPr>
        <w:tc>
          <w:tcPr>
            <w:tcW w:w="4111" w:type="dxa"/>
            <w:vMerge w:val="restart"/>
            <w:vAlign w:val="center"/>
          </w:tcPr>
          <w:p w:rsidR="00854E40" w:rsidRPr="00CC7883" w:rsidRDefault="00854E40" w:rsidP="00047411">
            <w:pPr>
              <w:widowControl w:val="0"/>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 xml:space="preserve">Прибуток (на 1000 мікроклонів) </w:t>
            </w: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21161,0</w:t>
            </w:r>
          </w:p>
        </w:tc>
        <w:tc>
          <w:tcPr>
            <w:tcW w:w="1276"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11011,0</w:t>
            </w:r>
          </w:p>
        </w:tc>
        <w:tc>
          <w:tcPr>
            <w:tcW w:w="1275"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31871,0</w:t>
            </w:r>
          </w:p>
        </w:tc>
        <w:tc>
          <w:tcPr>
            <w:tcW w:w="1777"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24871,0</w:t>
            </w:r>
          </w:p>
        </w:tc>
        <w:tc>
          <w:tcPr>
            <w:tcW w:w="2064"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35921,0</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3071,0</w:t>
            </w:r>
          </w:p>
        </w:tc>
        <w:tc>
          <w:tcPr>
            <w:tcW w:w="1276"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25211,0</w:t>
            </w:r>
          </w:p>
        </w:tc>
        <w:tc>
          <w:tcPr>
            <w:tcW w:w="1777"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19471,0</w:t>
            </w:r>
          </w:p>
        </w:tc>
        <w:tc>
          <w:tcPr>
            <w:tcW w:w="2064"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31871,0</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грн</w:t>
            </w:r>
          </w:p>
        </w:tc>
        <w:tc>
          <w:tcPr>
            <w:tcW w:w="1559"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22511,0</w:t>
            </w:r>
          </w:p>
        </w:tc>
        <w:tc>
          <w:tcPr>
            <w:tcW w:w="1777"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17671,0</w:t>
            </w:r>
          </w:p>
        </w:tc>
        <w:tc>
          <w:tcPr>
            <w:tcW w:w="2064"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29171,0</w:t>
            </w:r>
          </w:p>
        </w:tc>
      </w:tr>
      <w:tr w:rsidR="00854E40" w:rsidRPr="00CC7883" w:rsidTr="00A46F05">
        <w:trPr>
          <w:jc w:val="center"/>
        </w:trPr>
        <w:tc>
          <w:tcPr>
            <w:tcW w:w="4111" w:type="dxa"/>
            <w:vMerge w:val="restart"/>
            <w:vAlign w:val="center"/>
          </w:tcPr>
          <w:p w:rsidR="00854E40" w:rsidRPr="00CC7883" w:rsidRDefault="00854E40" w:rsidP="00047411">
            <w:pPr>
              <w:widowControl w:val="0"/>
              <w:jc w:val="both"/>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Рівень рентабельності</w:t>
            </w:r>
          </w:p>
        </w:tc>
        <w:tc>
          <w:tcPr>
            <w:tcW w:w="1134"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30</w:t>
            </w:r>
          </w:p>
        </w:tc>
        <w:tc>
          <w:tcPr>
            <w:tcW w:w="709" w:type="dxa"/>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70,2</w:t>
            </w:r>
          </w:p>
        </w:tc>
        <w:tc>
          <w:tcPr>
            <w:tcW w:w="1276" w:type="dxa"/>
          </w:tcPr>
          <w:p w:rsidR="00854E40" w:rsidRPr="00CC7883" w:rsidRDefault="00854E40" w:rsidP="00EB55C4">
            <w:pPr>
              <w:widowControl w:val="0"/>
              <w:jc w:val="center"/>
              <w:rPr>
                <w:rFonts w:ascii="Times New Roman" w:eastAsia="Calibri" w:hAnsi="Times New Roman" w:cs="Times New Roman"/>
                <w:color w:val="000000" w:themeColor="text1"/>
                <w:sz w:val="28"/>
                <w:szCs w:val="28"/>
              </w:rPr>
            </w:pPr>
            <w:r w:rsidRPr="00CC7883">
              <w:rPr>
                <w:rFonts w:ascii="Times New Roman" w:eastAsia="Calibri" w:hAnsi="Times New Roman" w:cs="Times New Roman"/>
                <w:color w:val="000000" w:themeColor="text1"/>
                <w:sz w:val="28"/>
                <w:szCs w:val="28"/>
              </w:rPr>
              <w:t>34,7</w:t>
            </w:r>
          </w:p>
        </w:tc>
        <w:tc>
          <w:tcPr>
            <w:tcW w:w="1275"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99,8</w:t>
            </w:r>
          </w:p>
        </w:tc>
        <w:tc>
          <w:tcPr>
            <w:tcW w:w="1777"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75,0</w:t>
            </w:r>
          </w:p>
        </w:tc>
        <w:tc>
          <w:tcPr>
            <w:tcW w:w="2064"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113,1</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60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10,2</w:t>
            </w:r>
          </w:p>
        </w:tc>
        <w:tc>
          <w:tcPr>
            <w:tcW w:w="1276"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78,9</w:t>
            </w:r>
          </w:p>
        </w:tc>
        <w:tc>
          <w:tcPr>
            <w:tcW w:w="1777"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58,7</w:t>
            </w:r>
          </w:p>
        </w:tc>
        <w:tc>
          <w:tcPr>
            <w:tcW w:w="2064"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100,4</w:t>
            </w:r>
          </w:p>
        </w:tc>
      </w:tr>
      <w:tr w:rsidR="00854E40" w:rsidRPr="00CC7883" w:rsidTr="00A46F05">
        <w:trPr>
          <w:jc w:val="center"/>
        </w:trPr>
        <w:tc>
          <w:tcPr>
            <w:tcW w:w="4111" w:type="dxa"/>
            <w:vMerge/>
            <w:vAlign w:val="center"/>
          </w:tcPr>
          <w:p w:rsidR="00854E40" w:rsidRPr="00CC7883" w:rsidRDefault="00854E40" w:rsidP="00047411">
            <w:pPr>
              <w:widowControl w:val="0"/>
              <w:jc w:val="center"/>
              <w:rPr>
                <w:rFonts w:ascii="Times New Roman" w:eastAsia="Calibri" w:hAnsi="Times New Roman" w:cs="Times New Roman"/>
                <w:color w:val="000000" w:themeColor="text1"/>
                <w:sz w:val="28"/>
                <w:szCs w:val="28"/>
              </w:rPr>
            </w:pPr>
          </w:p>
        </w:tc>
        <w:tc>
          <w:tcPr>
            <w:tcW w:w="1134"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90</w:t>
            </w:r>
          </w:p>
        </w:tc>
        <w:tc>
          <w:tcPr>
            <w:tcW w:w="709" w:type="dxa"/>
          </w:tcPr>
          <w:p w:rsidR="00854E40" w:rsidRPr="00CC7883" w:rsidRDefault="00854E40" w:rsidP="00047411">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color w:val="000000" w:themeColor="text1"/>
                <w:sz w:val="28"/>
                <w:szCs w:val="28"/>
              </w:rPr>
              <w:t>%</w:t>
            </w:r>
          </w:p>
        </w:tc>
        <w:tc>
          <w:tcPr>
            <w:tcW w:w="1559"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6"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w:t>
            </w:r>
          </w:p>
        </w:tc>
        <w:tc>
          <w:tcPr>
            <w:tcW w:w="1275"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70,5</w:t>
            </w:r>
          </w:p>
        </w:tc>
        <w:tc>
          <w:tcPr>
            <w:tcW w:w="1777"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53,3</w:t>
            </w:r>
          </w:p>
        </w:tc>
        <w:tc>
          <w:tcPr>
            <w:tcW w:w="2064" w:type="dxa"/>
          </w:tcPr>
          <w:p w:rsidR="00854E40" w:rsidRPr="00CC7883" w:rsidRDefault="00854E40" w:rsidP="00EB55C4">
            <w:pPr>
              <w:widowControl w:val="0"/>
              <w:jc w:val="center"/>
              <w:rPr>
                <w:rFonts w:ascii="Times New Roman" w:eastAsia="Calibri" w:hAnsi="Times New Roman" w:cs="Times New Roman"/>
                <w:bCs/>
                <w:color w:val="000000" w:themeColor="text1"/>
                <w:sz w:val="28"/>
                <w:szCs w:val="28"/>
              </w:rPr>
            </w:pPr>
            <w:r w:rsidRPr="00CC7883">
              <w:rPr>
                <w:rFonts w:ascii="Times New Roman" w:eastAsia="Calibri" w:hAnsi="Times New Roman" w:cs="Times New Roman"/>
                <w:bCs/>
                <w:color w:val="000000" w:themeColor="text1"/>
                <w:sz w:val="28"/>
                <w:szCs w:val="28"/>
              </w:rPr>
              <w:t>91,9</w:t>
            </w:r>
          </w:p>
        </w:tc>
      </w:tr>
    </w:tbl>
    <w:p w:rsidR="00D76BED" w:rsidRPr="00EB7CB6" w:rsidRDefault="00D76BED" w:rsidP="00047411">
      <w:pPr>
        <w:widowControl w:val="0"/>
        <w:autoSpaceDN w:val="0"/>
        <w:spacing w:after="0" w:line="240" w:lineRule="auto"/>
        <w:textAlignment w:val="baseline"/>
        <w:rPr>
          <w:rFonts w:ascii="Times New Roman" w:eastAsia="Times New Roman" w:hAnsi="Times New Roman" w:cs="Times New Roman"/>
          <w:color w:val="000000" w:themeColor="text1"/>
          <w:kern w:val="0"/>
          <w:sz w:val="28"/>
          <w:szCs w:val="28"/>
          <w:lang w:eastAsia="uk-UA"/>
        </w:rPr>
      </w:pPr>
    </w:p>
    <w:sectPr w:rsidR="00D76BED" w:rsidRPr="00EB7CB6" w:rsidSect="004E32E3">
      <w:footerReference w:type="default" r:id="rId266"/>
      <w:pgSz w:w="16838" w:h="11906" w:orient="landscape" w:code="9"/>
      <w:pgMar w:top="1701" w:right="1098"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59DA" w:rsidRPr="00CC7883" w:rsidRDefault="003059DA" w:rsidP="00192B2C">
      <w:pPr>
        <w:spacing w:after="0" w:line="240" w:lineRule="auto"/>
      </w:pPr>
      <w:r w:rsidRPr="00CC7883">
        <w:separator/>
      </w:r>
    </w:p>
  </w:endnote>
  <w:endnote w:type="continuationSeparator" w:id="0">
    <w:p w:rsidR="003059DA" w:rsidRPr="00CC7883" w:rsidRDefault="003059DA" w:rsidP="00192B2C">
      <w:pPr>
        <w:spacing w:after="0" w:line="240" w:lineRule="auto"/>
      </w:pPr>
      <w:r w:rsidRPr="00CC7883">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ptos Display">
    <w:altName w:val="Times New Roman"/>
    <w:panose1 w:val="00000000000000000000"/>
    <w:charset w:val="00"/>
    <w:family w:val="roman"/>
    <w:notTrueType/>
    <w:pitch w:val="default"/>
    <w:sig w:usb0="00000000" w:usb1="00000000" w:usb2="00000000" w:usb3="00000000" w:csb0="00000000" w:csb1="00000000"/>
  </w:font>
  <w:font w:name="Liberation Serif">
    <w:altName w:val="Times New Roman"/>
    <w:panose1 w:val="02020603050405020304"/>
    <w:charset w:val="CC"/>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Lucida Sans">
    <w:charset w:val="00"/>
    <w:family w:val="swiss"/>
    <w:pitch w:val="variable"/>
    <w:sig w:usb0="00000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Andale Sans UI">
    <w:altName w:val="Times New Roman"/>
    <w:charset w:val="00"/>
    <w:family w:val="auto"/>
    <w:pitch w:val="variable"/>
    <w:sig w:usb0="00000000" w:usb1="00000000" w:usb2="00000000" w:usb3="00000000" w:csb0="0000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icrosoft JhengHei">
    <w:panose1 w:val="020B0604030504040204"/>
    <w:charset w:val="88"/>
    <w:family w:val="swiss"/>
    <w:pitch w:val="variable"/>
    <w:sig w:usb0="00000087" w:usb1="288F4000" w:usb2="00000016" w:usb3="00000000" w:csb0="00100009" w:csb1="00000000"/>
  </w:font>
  <w:font w:name="Yu Gothic UI">
    <w:altName w:val="MS Gothic"/>
    <w:charset w:val="80"/>
    <w:family w:val="swiss"/>
    <w:pitch w:val="variable"/>
    <w:sig w:usb0="00000000" w:usb1="2AC7FDFF" w:usb2="00000016"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Pr>
        <w:rFonts w:hint="eastAsia"/>
        <w:noProof/>
        <w:lang w:val="ru-RU" w:eastAsia="ru-RU"/>
      </w:rPr>
      <w:pict>
        <v:rect id="_x0000_s1267" style="position:absolute;left:0;text-align:left;margin-left:712.8pt;margin-top:12.95pt;width:49.5pt;height:34.5pt;rotation:-90;z-index:251882496" fillcolor="white [3212]" strokecolor="white [3212]">
          <v:textbox style="layout-flow:vertical;mso-next-textbox:#_x0000_s1267">
            <w:txbxContent>
              <w:p w:rsidR="003059DA" w:rsidRPr="00CC7883" w:rsidRDefault="003059DA" w:rsidP="000335BB">
                <w:pPr>
                  <w:rPr>
                    <w:rFonts w:ascii="Times New Roman" w:hAnsi="Times New Roman" w:cs="Times New Roman"/>
                  </w:rPr>
                </w:pPr>
                <w:r>
                  <w:rPr>
                    <w:rFonts w:ascii="Times New Roman" w:hAnsi="Times New Roman" w:cs="Times New Roman"/>
                  </w:rPr>
                  <w:t>120</w:t>
                </w:r>
              </w:p>
            </w:txbxContent>
          </v:textbox>
        </v:rect>
      </w:pict>
    </w:r>
    <w:r w:rsidRPr="00785319">
      <w:rPr>
        <w:rFonts w:hint="eastAsia"/>
      </w:rPr>
      <w:pict>
        <v:rect id="_x0000_s1026" style="position:absolute;left:0;text-align:left;margin-left:649.25pt;margin-top:9.05pt;width:45pt;height:37.5pt;z-index:251658240" filled="f" stroked="f">
          <v:textbox style="layout-flow:vertical;mso-next-textbox:#_x0000_s1026">
            <w:txbxContent>
              <w:p w:rsidR="003059DA" w:rsidRPr="00CC7883" w:rsidRDefault="003059DA">
                <w:pPr>
                  <w:rPr>
                    <w:rFonts w:ascii="Times New Roman" w:hAnsi="Times New Roman" w:cs="Times New Roman"/>
                  </w:rPr>
                </w:pPr>
              </w:p>
            </w:txbxContent>
          </v:textbox>
        </v:rect>
      </w:pict>
    </w:r>
  </w:p>
  <w:p w:rsidR="003059DA" w:rsidRPr="00CC7883" w:rsidRDefault="003059DA" w:rsidP="000335BB">
    <w:pPr>
      <w:pStyle w:val="af6"/>
      <w:jc w:val="right"/>
      <w:rPr>
        <w:rFonts w:hint="eastAsia"/>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28" style="position:absolute;left:0;text-align:left;margin-left:717.3pt;margin-top:9.05pt;width:45pt;height:37.5pt;z-index:251660288" filled="f" stroked="f">
          <v:textbox style="layout-flow:vertical;mso-next-textbox:#_x0000_s1028">
            <w:txbxContent>
              <w:p w:rsidR="003059DA" w:rsidRPr="00CC7883" w:rsidRDefault="003059DA">
                <w:pPr>
                  <w:rPr>
                    <w:rFonts w:ascii="Times New Roman" w:hAnsi="Times New Roman" w:cs="Times New Roman"/>
                  </w:rPr>
                </w:pPr>
                <w:r>
                  <w:rPr>
                    <w:rFonts w:ascii="Times New Roman" w:hAnsi="Times New Roman" w:cs="Times New Roman"/>
                  </w:rPr>
                  <w:t>121</w:t>
                </w:r>
              </w:p>
            </w:txbxContent>
          </v:textbox>
        </v:rect>
      </w:pict>
    </w:r>
  </w:p>
  <w:p w:rsidR="003059DA" w:rsidRPr="00CC7883" w:rsidRDefault="003059DA">
    <w:pPr>
      <w:pStyle w:val="af6"/>
      <w:rPr>
        <w:rFonts w:hint="eastAsia"/>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29" style="position:absolute;left:0;text-align:left;margin-left:717.3pt;margin-top:9.05pt;width:45pt;height:37.5pt;z-index:251662336" filled="f" stroked="f">
          <v:textbox style="layout-flow:vertical;mso-next-textbox:#_x0000_s1029">
            <w:txbxContent>
              <w:p w:rsidR="003059DA" w:rsidRPr="00CC7883" w:rsidRDefault="003059DA">
                <w:pPr>
                  <w:rPr>
                    <w:rFonts w:ascii="Times New Roman" w:hAnsi="Times New Roman" w:cs="Times New Roman"/>
                  </w:rPr>
                </w:pPr>
                <w:r>
                  <w:rPr>
                    <w:rFonts w:ascii="Times New Roman" w:hAnsi="Times New Roman" w:cs="Times New Roman"/>
                  </w:rPr>
                  <w:t>126</w:t>
                </w:r>
              </w:p>
            </w:txbxContent>
          </v:textbox>
        </v:rect>
      </w:pict>
    </w:r>
  </w:p>
  <w:p w:rsidR="003059DA" w:rsidRPr="00CC7883" w:rsidRDefault="003059DA">
    <w:pPr>
      <w:pStyle w:val="af6"/>
      <w:rPr>
        <w:rFonts w:hint="eastAsia"/>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30" style="position:absolute;left:0;text-align:left;margin-left:717.3pt;margin-top:9.05pt;width:45pt;height:37.5pt;z-index:251664384" filled="f" stroked="f">
          <v:textbox style="layout-flow:vertical;mso-next-textbox:#_x0000_s1030">
            <w:txbxContent>
              <w:p w:rsidR="003059DA" w:rsidRPr="00CC7883" w:rsidRDefault="003059DA">
                <w:pPr>
                  <w:rPr>
                    <w:rFonts w:ascii="Times New Roman" w:hAnsi="Times New Roman" w:cs="Times New Roman"/>
                  </w:rPr>
                </w:pPr>
                <w:r>
                  <w:rPr>
                    <w:rFonts w:ascii="Times New Roman" w:hAnsi="Times New Roman" w:cs="Times New Roman"/>
                  </w:rPr>
                  <w:t>127</w:t>
                </w:r>
              </w:p>
            </w:txbxContent>
          </v:textbox>
        </v:rect>
      </w:pict>
    </w:r>
  </w:p>
  <w:p w:rsidR="003059DA" w:rsidRPr="00CC7883" w:rsidRDefault="003059DA">
    <w:pPr>
      <w:pStyle w:val="af6"/>
      <w:rPr>
        <w:rFonts w:hint="eastAsia"/>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rPr>
        <w:rFonts w:hint="eastAsia"/>
      </w:rPr>
    </w:pPr>
    <w:r w:rsidRPr="00785319">
      <w:rPr>
        <w:rFonts w:hint="eastAsia"/>
      </w:rPr>
      <w:pict>
        <v:shapetype id="_x0000_t202" coordsize="21600,21600" o:spt="202" path="m,l,21600r21600,l21600,xe">
          <v:stroke joinstyle="miter"/>
          <v:path gradientshapeok="t" o:connecttype="rect"/>
        </v:shapetype>
        <v:shape id="_x0000_s1246" type="#_x0000_t202" style="position:absolute;margin-left:750.3pt;margin-top:3.3pt;width:30pt;height:38.25pt;z-index:251877376" filled="f" fillcolor="white [3212]" stroked="f">
          <v:textbox style="layout-flow:vertical">
            <w:txbxContent>
              <w:p w:rsidR="003059DA" w:rsidRPr="00CC7883" w:rsidRDefault="003059DA">
                <w:pPr>
                  <w:rPr>
                    <w:rFonts w:ascii="Times New Roman" w:hAnsi="Times New Roman" w:cs="Times New Roman"/>
                  </w:rPr>
                </w:pPr>
                <w:r>
                  <w:rPr>
                    <w:rFonts w:ascii="Times New Roman" w:hAnsi="Times New Roman" w:cs="Times New Roman"/>
                  </w:rPr>
                  <w:t>198</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33" style="position:absolute;left:0;text-align:left;margin-left:717.3pt;margin-top:9.05pt;width:45pt;height:37.5pt;z-index:251669504" filled="f" stroked="f">
          <v:textbox style="layout-flow:vertical;mso-next-textbox:#_x0000_s1033">
            <w:txbxContent>
              <w:p w:rsidR="003059DA" w:rsidRPr="00CC7883" w:rsidRDefault="003059DA">
                <w:pPr>
                  <w:rPr>
                    <w:rFonts w:ascii="Times New Roman" w:hAnsi="Times New Roman" w:cs="Times New Roman"/>
                  </w:rPr>
                </w:pPr>
                <w:r w:rsidRPr="00CC7883">
                  <w:rPr>
                    <w:rFonts w:ascii="Times New Roman" w:hAnsi="Times New Roman" w:cs="Times New Roman"/>
                  </w:rPr>
                  <w:t>2</w:t>
                </w:r>
                <w:r>
                  <w:rPr>
                    <w:rFonts w:ascii="Times New Roman" w:hAnsi="Times New Roman" w:cs="Times New Roman"/>
                  </w:rPr>
                  <w:t>26</w:t>
                </w:r>
              </w:p>
            </w:txbxContent>
          </v:textbox>
        </v:rect>
      </w:pict>
    </w:r>
  </w:p>
  <w:p w:rsidR="003059DA" w:rsidRPr="00CC7883" w:rsidRDefault="003059DA">
    <w:pPr>
      <w:pStyle w:val="af6"/>
      <w:rPr>
        <w:rFonts w:hint="eastAsia"/>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35" style="position:absolute;left:0;text-align:left;margin-left:717.3pt;margin-top:9.05pt;width:45pt;height:37.5pt;z-index:251672576" filled="f" stroked="f">
          <v:textbox style="layout-flow:vertical;mso-next-textbox:#_x0000_s1035">
            <w:txbxContent>
              <w:p w:rsidR="003059DA" w:rsidRPr="00CC7883" w:rsidRDefault="003059DA">
                <w:pPr>
                  <w:rPr>
                    <w:rFonts w:ascii="Times New Roman" w:hAnsi="Times New Roman" w:cs="Times New Roman"/>
                  </w:rPr>
                </w:pPr>
                <w:r w:rsidRPr="00CC7883">
                  <w:rPr>
                    <w:rFonts w:ascii="Times New Roman" w:hAnsi="Times New Roman" w:cs="Times New Roman"/>
                  </w:rPr>
                  <w:t>24</w:t>
                </w:r>
                <w:r>
                  <w:rPr>
                    <w:rFonts w:ascii="Times New Roman" w:hAnsi="Times New Roman" w:cs="Times New Roman"/>
                  </w:rPr>
                  <w:t>2</w:t>
                </w:r>
              </w:p>
            </w:txbxContent>
          </v:textbox>
        </v:rect>
      </w:pict>
    </w:r>
  </w:p>
  <w:p w:rsidR="003059DA" w:rsidRPr="00CC7883" w:rsidRDefault="003059DA">
    <w:pPr>
      <w:pStyle w:val="af6"/>
      <w:rPr>
        <w:rFonts w:hint="eastAsia"/>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37" style="position:absolute;left:0;text-align:left;margin-left:717.3pt;margin-top:9.05pt;width:45pt;height:37.5pt;z-index:251675648" filled="f" stroked="f">
          <v:textbox style="layout-flow:vertical;mso-next-textbox:#_x0000_s1037">
            <w:txbxContent>
              <w:p w:rsidR="003059DA" w:rsidRPr="00CC7883" w:rsidRDefault="003059DA">
                <w:pPr>
                  <w:rPr>
                    <w:rFonts w:ascii="Times New Roman" w:hAnsi="Times New Roman" w:cs="Times New Roman"/>
                  </w:rPr>
                </w:pPr>
                <w:r w:rsidRPr="00CC7883">
                  <w:rPr>
                    <w:rFonts w:ascii="Times New Roman" w:hAnsi="Times New Roman" w:cs="Times New Roman"/>
                  </w:rPr>
                  <w:t>24</w:t>
                </w:r>
                <w:r>
                  <w:rPr>
                    <w:rFonts w:ascii="Times New Roman" w:hAnsi="Times New Roman" w:cs="Times New Roman"/>
                  </w:rPr>
                  <w:t>3</w:t>
                </w:r>
              </w:p>
            </w:txbxContent>
          </v:textbox>
        </v:rect>
      </w:pict>
    </w:r>
  </w:p>
  <w:p w:rsidR="003059DA" w:rsidRPr="00CC7883" w:rsidRDefault="003059DA">
    <w:pPr>
      <w:pStyle w:val="af6"/>
      <w:rPr>
        <w:rFonts w:hint="eastAsia"/>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39" style="position:absolute;left:0;text-align:left;margin-left:717.3pt;margin-top:9.05pt;width:45pt;height:37.5pt;z-index:251678720" filled="f" stroked="f">
          <v:textbox style="layout-flow:vertical;mso-next-textbox:#_x0000_s1039">
            <w:txbxContent>
              <w:p w:rsidR="003059DA" w:rsidRPr="00CC7883" w:rsidRDefault="003059DA">
                <w:pPr>
                  <w:rPr>
                    <w:rFonts w:ascii="Times New Roman" w:hAnsi="Times New Roman" w:cs="Times New Roman"/>
                  </w:rPr>
                </w:pPr>
                <w:r w:rsidRPr="00CC7883">
                  <w:rPr>
                    <w:rFonts w:ascii="Times New Roman" w:hAnsi="Times New Roman" w:cs="Times New Roman"/>
                  </w:rPr>
                  <w:t>2</w:t>
                </w:r>
                <w:r>
                  <w:rPr>
                    <w:rFonts w:ascii="Times New Roman" w:hAnsi="Times New Roman" w:cs="Times New Roman"/>
                  </w:rPr>
                  <w:t>44</w:t>
                </w:r>
              </w:p>
            </w:txbxContent>
          </v:textbox>
        </v:rect>
      </w:pict>
    </w:r>
  </w:p>
  <w:p w:rsidR="003059DA" w:rsidRPr="00CC7883" w:rsidRDefault="003059DA">
    <w:pPr>
      <w:pStyle w:val="af6"/>
      <w:rPr>
        <w:rFonts w:hint="eastAsia"/>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41" style="position:absolute;left:0;text-align:left;margin-left:717.3pt;margin-top:9.05pt;width:45pt;height:37.5pt;z-index:251681792" filled="f" stroked="f">
          <v:textbox style="layout-flow:vertical;mso-next-textbox:#_x0000_s1041">
            <w:txbxContent>
              <w:p w:rsidR="003059DA" w:rsidRPr="00CC7883" w:rsidRDefault="003059DA">
                <w:pPr>
                  <w:rPr>
                    <w:rFonts w:ascii="Times New Roman" w:hAnsi="Times New Roman" w:cs="Times New Roman"/>
                  </w:rPr>
                </w:pPr>
                <w:r w:rsidRPr="00CC7883">
                  <w:rPr>
                    <w:rFonts w:ascii="Times New Roman" w:hAnsi="Times New Roman" w:cs="Times New Roman"/>
                  </w:rPr>
                  <w:t>2</w:t>
                </w:r>
                <w:r>
                  <w:rPr>
                    <w:rFonts w:ascii="Times New Roman" w:hAnsi="Times New Roman" w:cs="Times New Roman"/>
                  </w:rPr>
                  <w:t>45</w:t>
                </w:r>
              </w:p>
            </w:txbxContent>
          </v:textbox>
        </v:rect>
      </w:pict>
    </w:r>
  </w:p>
  <w:p w:rsidR="003059DA" w:rsidRPr="00CC7883" w:rsidRDefault="003059DA">
    <w:pPr>
      <w:pStyle w:val="af6"/>
      <w:rPr>
        <w:rFonts w:hint="eastAsia"/>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43" style="position:absolute;left:0;text-align:left;margin-left:717.3pt;margin-top:9.05pt;width:45pt;height:37.5pt;z-index:251684864" filled="f" stroked="f">
          <v:textbox style="layout-flow:vertical;mso-next-textbox:#_x0000_s1043">
            <w:txbxContent>
              <w:p w:rsidR="003059DA" w:rsidRPr="00CC7883" w:rsidRDefault="003059DA">
                <w:pPr>
                  <w:rPr>
                    <w:rFonts w:ascii="Times New Roman" w:hAnsi="Times New Roman" w:cs="Times New Roman"/>
                  </w:rPr>
                </w:pPr>
                <w:r>
                  <w:rPr>
                    <w:rFonts w:ascii="Times New Roman" w:hAnsi="Times New Roman" w:cs="Times New Roman"/>
                  </w:rPr>
                  <w:t>247</w:t>
                </w:r>
              </w:p>
            </w:txbxContent>
          </v:textbox>
        </v:rect>
      </w:pict>
    </w:r>
  </w:p>
  <w:p w:rsidR="003059DA" w:rsidRPr="00CC7883" w:rsidRDefault="003059DA">
    <w:pPr>
      <w:pStyle w:val="af6"/>
      <w:rPr>
        <w:rFonts w:hint="eastAsia"/>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45" style="position:absolute;left:0;text-align:left;margin-left:717.3pt;margin-top:9.05pt;width:45pt;height:37.5pt;z-index:251687936" filled="f" stroked="f">
          <v:textbox style="layout-flow:vertical;mso-next-textbox:#_x0000_s1045">
            <w:txbxContent>
              <w:p w:rsidR="003059DA" w:rsidRPr="00CC7883" w:rsidRDefault="003059DA">
                <w:pPr>
                  <w:rPr>
                    <w:rFonts w:ascii="Times New Roman" w:hAnsi="Times New Roman" w:cs="Times New Roman"/>
                  </w:rPr>
                </w:pPr>
                <w:r>
                  <w:rPr>
                    <w:rFonts w:ascii="Times New Roman" w:hAnsi="Times New Roman" w:cs="Times New Roman"/>
                  </w:rPr>
                  <w:t>248</w:t>
                </w:r>
              </w:p>
            </w:txbxContent>
          </v:textbox>
        </v:rect>
      </w:pict>
    </w:r>
  </w:p>
  <w:p w:rsidR="003059DA" w:rsidRPr="00CC7883" w:rsidRDefault="003059DA">
    <w:pPr>
      <w:pStyle w:val="af6"/>
      <w:rPr>
        <w:rFonts w:hint="eastAsia"/>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48" style="position:absolute;left:0;text-align:left;margin-left:728.6pt;margin-top:5.3pt;width:46.2pt;height:44.05pt;z-index:251692032" filled="f" stroked="f">
          <v:textbox style="layout-flow:vertical;mso-next-textbox:#_x0000_s1048">
            <w:txbxContent>
              <w:p w:rsidR="003059DA" w:rsidRPr="00CC7883" w:rsidRDefault="003059DA">
                <w:pPr>
                  <w:rPr>
                    <w:rFonts w:ascii="Times New Roman" w:hAnsi="Times New Roman" w:cs="Times New Roman"/>
                  </w:rPr>
                </w:pPr>
                <w:r>
                  <w:rPr>
                    <w:rFonts w:ascii="Times New Roman" w:hAnsi="Times New Roman" w:cs="Times New Roman"/>
                  </w:rPr>
                  <w:t>317</w:t>
                </w:r>
              </w:p>
            </w:txbxContent>
          </v:textbox>
        </v:rect>
      </w:pict>
    </w:r>
  </w:p>
  <w:p w:rsidR="003059DA" w:rsidRPr="00CC7883" w:rsidRDefault="003059DA">
    <w:pPr>
      <w:pStyle w:val="af6"/>
      <w:rPr>
        <w:rFonts w:hint="eastAsia"/>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50" style="position:absolute;left:0;text-align:left;margin-left:728.6pt;margin-top:.8pt;width:46.2pt;height:44.05pt;z-index:251695104" filled="f" stroked="f">
          <v:textbox style="layout-flow:vertical;mso-next-textbox:#_x0000_s1050">
            <w:txbxContent>
              <w:p w:rsidR="003059DA" w:rsidRPr="00CC7883" w:rsidRDefault="003059DA">
                <w:pPr>
                  <w:rPr>
                    <w:rFonts w:ascii="Times New Roman" w:hAnsi="Times New Roman" w:cs="Times New Roman"/>
                  </w:rPr>
                </w:pPr>
                <w:r>
                  <w:rPr>
                    <w:rFonts w:ascii="Times New Roman" w:hAnsi="Times New Roman" w:cs="Times New Roman"/>
                  </w:rPr>
                  <w:t>318</w:t>
                </w:r>
              </w:p>
            </w:txbxContent>
          </v:textbox>
        </v:rect>
      </w:pict>
    </w:r>
  </w:p>
  <w:p w:rsidR="003059DA" w:rsidRPr="00CC7883" w:rsidRDefault="003059DA">
    <w:pPr>
      <w:pStyle w:val="af6"/>
      <w:rPr>
        <w:rFonts w:hint="eastAsia"/>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51" style="position:absolute;left:0;text-align:left;margin-left:717.3pt;margin-top:9.05pt;width:45pt;height:37.5pt;z-index:251697152" filled="f" stroked="f">
          <v:textbox style="layout-flow:vertical;mso-next-textbox:#_x0000_s1051">
            <w:txbxContent>
              <w:p w:rsidR="003059DA" w:rsidRPr="00CC7883" w:rsidRDefault="003059DA">
                <w:pPr>
                  <w:rPr>
                    <w:rFonts w:ascii="Times New Roman" w:hAnsi="Times New Roman" w:cs="Times New Roman"/>
                  </w:rPr>
                </w:pPr>
                <w:r>
                  <w:rPr>
                    <w:rFonts w:ascii="Times New Roman" w:hAnsi="Times New Roman" w:cs="Times New Roman"/>
                  </w:rPr>
                  <w:t>319</w:t>
                </w:r>
              </w:p>
            </w:txbxContent>
          </v:textbox>
        </v:rect>
      </w:pict>
    </w:r>
  </w:p>
  <w:p w:rsidR="003059DA" w:rsidRPr="00CC7883" w:rsidRDefault="003059DA">
    <w:pPr>
      <w:pStyle w:val="af6"/>
      <w:rPr>
        <w:rFonts w:hint="eastAsia"/>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53" style="position:absolute;left:0;text-align:left;margin-left:717.3pt;margin-top:9.05pt;width:45pt;height:37.5pt;z-index:251700224" filled="f" stroked="f">
          <v:textbox style="layout-flow:vertical;mso-next-textbox:#_x0000_s1053">
            <w:txbxContent>
              <w:p w:rsidR="003059DA" w:rsidRPr="00CC7883" w:rsidRDefault="003059DA">
                <w:pPr>
                  <w:rPr>
                    <w:rFonts w:ascii="Times New Roman" w:hAnsi="Times New Roman" w:cs="Times New Roman"/>
                  </w:rPr>
                </w:pPr>
                <w:r w:rsidRPr="00CC7883">
                  <w:rPr>
                    <w:rFonts w:ascii="Times New Roman" w:hAnsi="Times New Roman" w:cs="Times New Roman"/>
                  </w:rPr>
                  <w:t>32</w:t>
                </w:r>
                <w:r>
                  <w:rPr>
                    <w:rFonts w:ascii="Times New Roman" w:hAnsi="Times New Roman" w:cs="Times New Roman"/>
                  </w:rPr>
                  <w:t>0</w:t>
                </w:r>
              </w:p>
            </w:txbxContent>
          </v:textbox>
        </v:rect>
      </w:pict>
    </w:r>
  </w:p>
  <w:p w:rsidR="003059DA" w:rsidRPr="00CC7883" w:rsidRDefault="003059DA">
    <w:pPr>
      <w:pStyle w:val="af6"/>
      <w:rPr>
        <w:rFonts w:hint="eastAsia"/>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63" style="position:absolute;left:0;text-align:left;margin-left:717.3pt;margin-top:9.05pt;width:45pt;height:37.5pt;z-index:251715584" filled="f" stroked="f">
          <v:textbox style="layout-flow:vertical;mso-next-textbox:#_x0000_s1063">
            <w:txbxContent>
              <w:p w:rsidR="003059DA" w:rsidRPr="00CC7883" w:rsidRDefault="003059DA">
                <w:pPr>
                  <w:rPr>
                    <w:rFonts w:ascii="Times New Roman" w:hAnsi="Times New Roman" w:cs="Times New Roman"/>
                  </w:rPr>
                </w:pPr>
                <w:r w:rsidRPr="00CC7883">
                  <w:rPr>
                    <w:rFonts w:ascii="Times New Roman" w:hAnsi="Times New Roman" w:cs="Times New Roman"/>
                  </w:rPr>
                  <w:t>32</w:t>
                </w:r>
                <w:r>
                  <w:rPr>
                    <w:rFonts w:ascii="Times New Roman" w:hAnsi="Times New Roman" w:cs="Times New Roman"/>
                  </w:rPr>
                  <w:t>1</w:t>
                </w:r>
              </w:p>
            </w:txbxContent>
          </v:textbox>
        </v:rect>
      </w:pict>
    </w:r>
  </w:p>
  <w:p w:rsidR="003059DA" w:rsidRPr="00CC7883" w:rsidRDefault="003059DA">
    <w:pPr>
      <w:pStyle w:val="af6"/>
      <w:rPr>
        <w:rFonts w:hint="eastAsia"/>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57" style="position:absolute;left:0;text-align:left;margin-left:717.3pt;margin-top:9.05pt;width:45pt;height:37.5pt;z-index:251706368" filled="f" stroked="f">
          <v:textbox style="layout-flow:vertical;mso-next-textbox:#_x0000_s1057">
            <w:txbxContent>
              <w:p w:rsidR="003059DA" w:rsidRPr="00CC7883" w:rsidRDefault="003059DA">
                <w:pPr>
                  <w:rPr>
                    <w:rFonts w:ascii="Times New Roman" w:hAnsi="Times New Roman" w:cs="Times New Roman"/>
                  </w:rPr>
                </w:pPr>
                <w:r w:rsidRPr="00CC7883">
                  <w:rPr>
                    <w:rFonts w:ascii="Times New Roman" w:hAnsi="Times New Roman" w:cs="Times New Roman"/>
                  </w:rPr>
                  <w:t>32</w:t>
                </w:r>
                <w:r>
                  <w:rPr>
                    <w:rFonts w:ascii="Times New Roman" w:hAnsi="Times New Roman" w:cs="Times New Roman"/>
                  </w:rPr>
                  <w:t>2</w:t>
                </w:r>
              </w:p>
            </w:txbxContent>
          </v:textbox>
        </v:rect>
      </w:pict>
    </w:r>
  </w:p>
  <w:p w:rsidR="003059DA" w:rsidRPr="00CC7883" w:rsidRDefault="003059DA">
    <w:pPr>
      <w:pStyle w:val="af6"/>
      <w:rPr>
        <w:rFonts w:hint="eastAsia"/>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248" style="position:absolute;left:0;text-align:left;margin-left:717.3pt;margin-top:9.05pt;width:45pt;height:37.5pt;z-index:251879424" filled="f" stroked="f">
          <v:textbox style="layout-flow:vertical;mso-next-textbox:#_x0000_s1248">
            <w:txbxContent>
              <w:p w:rsidR="003059DA" w:rsidRPr="00CC7883" w:rsidRDefault="003059DA">
                <w:pPr>
                  <w:rPr>
                    <w:rFonts w:ascii="Times New Roman" w:hAnsi="Times New Roman" w:cs="Times New Roman"/>
                  </w:rPr>
                </w:pPr>
                <w:r w:rsidRPr="00CC7883">
                  <w:rPr>
                    <w:rFonts w:ascii="Times New Roman" w:hAnsi="Times New Roman" w:cs="Times New Roman"/>
                  </w:rPr>
                  <w:t>32</w:t>
                </w:r>
                <w:r>
                  <w:rPr>
                    <w:rFonts w:ascii="Times New Roman" w:hAnsi="Times New Roman" w:cs="Times New Roman"/>
                  </w:rPr>
                  <w:t>3</w:t>
                </w:r>
              </w:p>
            </w:txbxContent>
          </v:textbox>
        </v:rect>
      </w:pict>
    </w:r>
  </w:p>
  <w:p w:rsidR="003059DA" w:rsidRPr="00CC7883" w:rsidRDefault="003059DA">
    <w:pPr>
      <w:pStyle w:val="af6"/>
      <w:rPr>
        <w:rFonts w:hint="eastAsia"/>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61" style="position:absolute;left:0;text-align:left;margin-left:717.3pt;margin-top:9.05pt;width:45pt;height:37.5pt;z-index:251712512" filled="f" stroked="f">
          <v:textbox style="layout-flow:vertical;mso-next-textbox:#_x0000_s1061">
            <w:txbxContent>
              <w:p w:rsidR="003059DA" w:rsidRPr="00CC7883" w:rsidRDefault="003059DA">
                <w:pPr>
                  <w:rPr>
                    <w:rFonts w:ascii="Times New Roman" w:hAnsi="Times New Roman" w:cs="Times New Roman"/>
                  </w:rPr>
                </w:pPr>
                <w:r w:rsidRPr="00CC7883">
                  <w:rPr>
                    <w:rFonts w:ascii="Times New Roman" w:hAnsi="Times New Roman" w:cs="Times New Roman"/>
                  </w:rPr>
                  <w:t>3</w:t>
                </w:r>
                <w:r>
                  <w:rPr>
                    <w:rFonts w:ascii="Times New Roman" w:hAnsi="Times New Roman" w:cs="Times New Roman"/>
                  </w:rPr>
                  <w:t>24</w:t>
                </w:r>
              </w:p>
            </w:txbxContent>
          </v:textbox>
        </v:rect>
      </w:pict>
    </w:r>
  </w:p>
  <w:p w:rsidR="003059DA" w:rsidRPr="00CC7883" w:rsidRDefault="003059DA">
    <w:pPr>
      <w:pStyle w:val="af6"/>
      <w:rPr>
        <w:rFonts w:hint="eastAsia"/>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80" style="position:absolute;left:0;text-align:left;margin-left:717.3pt;margin-top:9.05pt;width:45pt;height:37.5pt;z-index:251853824" filled="f" stroked="f">
          <v:textbox style="layout-flow:vertical;mso-next-textbox:#_x0000_s1180">
            <w:txbxContent>
              <w:p w:rsidR="003059DA" w:rsidRPr="00710B6E" w:rsidRDefault="003059DA">
                <w:pPr>
                  <w:rPr>
                    <w:rFonts w:ascii="Times New Roman" w:hAnsi="Times New Roman" w:cs="Times New Roman"/>
                    <w:color w:val="FFFFFF" w:themeColor="background1"/>
                  </w:rPr>
                </w:pPr>
                <w:r w:rsidRPr="00710B6E">
                  <w:rPr>
                    <w:rFonts w:ascii="Times New Roman" w:hAnsi="Times New Roman" w:cs="Times New Roman"/>
                    <w:color w:val="FFFFFF" w:themeColor="background1"/>
                  </w:rPr>
                  <w:t>326</w:t>
                </w:r>
              </w:p>
            </w:txbxContent>
          </v:textbox>
        </v:rect>
      </w:pict>
    </w:r>
  </w:p>
  <w:p w:rsidR="003059DA" w:rsidRPr="00CC7883" w:rsidRDefault="003059DA">
    <w:pPr>
      <w:pStyle w:val="af6"/>
      <w:rPr>
        <w:rFonts w:hint="eastAsia"/>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73" style="position:absolute;left:0;text-align:left;margin-left:717.3pt;margin-top:9.05pt;width:45pt;height:37.5pt;z-index:251727872" filled="f" stroked="f">
          <v:textbox style="layout-flow:vertical;mso-next-textbox:#_x0000_s1073">
            <w:txbxContent>
              <w:p w:rsidR="003059DA" w:rsidRPr="00CC7883" w:rsidRDefault="003059DA">
                <w:pPr>
                  <w:rPr>
                    <w:rFonts w:ascii="Times New Roman" w:hAnsi="Times New Roman" w:cs="Times New Roman"/>
                  </w:rPr>
                </w:pPr>
                <w:r>
                  <w:rPr>
                    <w:rFonts w:ascii="Times New Roman" w:hAnsi="Times New Roman" w:cs="Times New Roman"/>
                  </w:rPr>
                  <w:t>3</w:t>
                </w:r>
                <w:r>
                  <w:rPr>
                    <w:rFonts w:ascii="Times New Roman" w:hAnsi="Times New Roman" w:cs="Times New Roman"/>
                    <w:lang w:val="ru-RU"/>
                  </w:rPr>
                  <w:t>2</w:t>
                </w:r>
                <w:r>
                  <w:rPr>
                    <w:rFonts w:ascii="Times New Roman" w:hAnsi="Times New Roman" w:cs="Times New Roman"/>
                  </w:rPr>
                  <w:t>8</w:t>
                </w:r>
              </w:p>
            </w:txbxContent>
          </v:textbox>
        </v:rect>
      </w:pict>
    </w:r>
  </w:p>
  <w:p w:rsidR="003059DA" w:rsidRPr="00CC7883" w:rsidRDefault="003059DA">
    <w:pPr>
      <w:pStyle w:val="af6"/>
      <w:rPr>
        <w:rFonts w:hint="eastAsia"/>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75" style="position:absolute;left:0;text-align:left;margin-left:717.3pt;margin-top:9.05pt;width:45pt;height:37.5pt;z-index:251730944" filled="f" stroked="f">
          <v:textbox style="layout-flow:vertical;mso-next-textbox:#_x0000_s1075">
            <w:txbxContent>
              <w:p w:rsidR="003059DA" w:rsidRPr="00CC7883" w:rsidRDefault="003059DA">
                <w:pPr>
                  <w:rPr>
                    <w:rFonts w:ascii="Times New Roman" w:hAnsi="Times New Roman" w:cs="Times New Roman"/>
                  </w:rPr>
                </w:pPr>
                <w:r>
                  <w:rPr>
                    <w:rFonts w:ascii="Times New Roman" w:hAnsi="Times New Roman" w:cs="Times New Roman"/>
                  </w:rPr>
                  <w:t>3</w:t>
                </w:r>
                <w:r>
                  <w:rPr>
                    <w:rFonts w:ascii="Times New Roman" w:hAnsi="Times New Roman" w:cs="Times New Roman"/>
                    <w:lang w:val="ru-RU"/>
                  </w:rPr>
                  <w:t>2</w:t>
                </w:r>
                <w:r>
                  <w:rPr>
                    <w:rFonts w:ascii="Times New Roman" w:hAnsi="Times New Roman" w:cs="Times New Roman"/>
                  </w:rPr>
                  <w:t>9</w:t>
                </w:r>
              </w:p>
            </w:txbxContent>
          </v:textbox>
        </v:rect>
      </w:pict>
    </w:r>
  </w:p>
  <w:p w:rsidR="003059DA" w:rsidRPr="00CC7883" w:rsidRDefault="003059DA">
    <w:pPr>
      <w:pStyle w:val="af6"/>
      <w:rPr>
        <w:rFonts w:hint="eastAsia"/>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82" style="position:absolute;left:0;text-align:left;margin-left:717.3pt;margin-top:9.05pt;width:45pt;height:37.5pt;z-index:251856896" filled="f" stroked="f">
          <v:textbox style="layout-flow:vertical;mso-next-textbox:#_x0000_s1182">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33</w:t>
                </w:r>
                <w:r>
                  <w:rPr>
                    <w:rFonts w:ascii="Times New Roman" w:hAnsi="Times New Roman" w:cs="Times New Roman"/>
                    <w:lang w:val="ru-RU"/>
                  </w:rPr>
                  <w:t>0</w:t>
                </w:r>
              </w:p>
            </w:txbxContent>
          </v:textbox>
        </v:rect>
      </w:pict>
    </w:r>
  </w:p>
  <w:p w:rsidR="003059DA" w:rsidRPr="00CC7883" w:rsidRDefault="003059DA">
    <w:pPr>
      <w:pStyle w:val="af6"/>
      <w:rPr>
        <w:rFonts w:hint="eastAsia"/>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77" style="position:absolute;left:0;text-align:left;margin-left:717.3pt;margin-top:9.05pt;width:45pt;height:37.5pt;z-index:251734016" filled="f" stroked="f">
          <v:textbox style="layout-flow:vertical;mso-next-textbox:#_x0000_s1077">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33</w:t>
                </w:r>
                <w:r>
                  <w:rPr>
                    <w:rFonts w:ascii="Times New Roman" w:hAnsi="Times New Roman" w:cs="Times New Roman"/>
                    <w:lang w:val="ru-RU"/>
                  </w:rPr>
                  <w:t>1</w:t>
                </w:r>
              </w:p>
            </w:txbxContent>
          </v:textbox>
        </v:rect>
      </w:pict>
    </w:r>
  </w:p>
  <w:p w:rsidR="003059DA" w:rsidRPr="00CC7883" w:rsidRDefault="003059DA">
    <w:pPr>
      <w:pStyle w:val="af6"/>
      <w:rPr>
        <w:rFonts w:hint="eastAsia"/>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79" style="position:absolute;left:0;text-align:left;margin-left:717.3pt;margin-top:9.05pt;width:45pt;height:37.5pt;z-index:251737088" filled="f" stroked="f">
          <v:textbox style="layout-flow:vertical;mso-next-textbox:#_x0000_s1079">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33</w:t>
                </w:r>
                <w:r>
                  <w:rPr>
                    <w:rFonts w:ascii="Times New Roman" w:hAnsi="Times New Roman" w:cs="Times New Roman"/>
                    <w:lang w:val="ru-RU"/>
                  </w:rPr>
                  <w:t>2</w:t>
                </w:r>
              </w:p>
            </w:txbxContent>
          </v:textbox>
        </v:rect>
      </w:pict>
    </w:r>
  </w:p>
  <w:p w:rsidR="003059DA" w:rsidRPr="00CC7883" w:rsidRDefault="003059DA">
    <w:pPr>
      <w:pStyle w:val="af6"/>
      <w:rPr>
        <w:rFonts w:hint="eastAsia"/>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83" style="position:absolute;left:0;text-align:left;margin-left:717.3pt;margin-top:9.05pt;width:45pt;height:37.5pt;z-index:251743232" filled="f" stroked="f">
          <v:textbox style="layout-flow:vertical;mso-next-textbox:#_x0000_s1083">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33</w:t>
                </w:r>
                <w:r>
                  <w:rPr>
                    <w:rFonts w:ascii="Times New Roman" w:hAnsi="Times New Roman" w:cs="Times New Roman"/>
                    <w:lang w:val="ru-RU"/>
                  </w:rPr>
                  <w:t>3</w:t>
                </w:r>
              </w:p>
            </w:txbxContent>
          </v:textbox>
        </v:rect>
      </w:pict>
    </w:r>
  </w:p>
  <w:p w:rsidR="003059DA" w:rsidRPr="00CC7883" w:rsidRDefault="003059DA">
    <w:pPr>
      <w:pStyle w:val="af6"/>
      <w:rPr>
        <w:rFonts w:hint="eastAsia"/>
      </w:rP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84" style="position:absolute;left:0;text-align:left;margin-left:717.3pt;margin-top:9.05pt;width:45pt;height:37.5pt;z-index:251859968" filled="f" stroked="f">
          <v:textbox style="layout-flow:vertical;mso-next-textbox:#_x0000_s1184">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w:t>
                </w:r>
                <w:r>
                  <w:rPr>
                    <w:rFonts w:ascii="Times New Roman" w:hAnsi="Times New Roman" w:cs="Times New Roman"/>
                  </w:rPr>
                  <w:t>3</w:t>
                </w:r>
                <w:r>
                  <w:rPr>
                    <w:rFonts w:ascii="Times New Roman" w:hAnsi="Times New Roman" w:cs="Times New Roman"/>
                    <w:lang w:val="ru-RU"/>
                  </w:rPr>
                  <w:t>4</w:t>
                </w:r>
              </w:p>
            </w:txbxContent>
          </v:textbox>
        </v:rect>
      </w:pict>
    </w:r>
  </w:p>
  <w:p w:rsidR="003059DA" w:rsidRPr="00CC7883" w:rsidRDefault="003059DA">
    <w:pPr>
      <w:pStyle w:val="af6"/>
      <w:rPr>
        <w:rFonts w:hint="eastAsia"/>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85" style="position:absolute;left:0;text-align:left;margin-left:717.3pt;margin-top:9.05pt;width:45pt;height:37.5pt;z-index:251746304" filled="f" stroked="f">
          <v:textbox style="layout-flow:vertical;mso-next-textbox:#_x0000_s1085">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w:t>
                </w:r>
                <w:r>
                  <w:rPr>
                    <w:rFonts w:ascii="Times New Roman" w:hAnsi="Times New Roman" w:cs="Times New Roman"/>
                  </w:rPr>
                  <w:t>3</w:t>
                </w:r>
                <w:r>
                  <w:rPr>
                    <w:rFonts w:ascii="Times New Roman" w:hAnsi="Times New Roman" w:cs="Times New Roman"/>
                    <w:lang w:val="ru-RU"/>
                  </w:rPr>
                  <w:t>5</w:t>
                </w:r>
              </w:p>
            </w:txbxContent>
          </v:textbox>
        </v:rect>
      </w:pict>
    </w:r>
  </w:p>
  <w:p w:rsidR="003059DA" w:rsidRPr="00CC7883" w:rsidRDefault="003059DA">
    <w:pPr>
      <w:pStyle w:val="af6"/>
      <w:rPr>
        <w:rFonts w:hint="eastAsia"/>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89" style="position:absolute;left:0;text-align:left;margin-left:717.3pt;margin-top:9.05pt;width:45pt;height:37.5pt;z-index:251752448" filled="f" stroked="f">
          <v:textbox style="layout-flow:vertical;mso-next-textbox:#_x0000_s1089">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36</w:t>
                </w:r>
              </w:p>
            </w:txbxContent>
          </v:textbox>
        </v:rect>
      </w:pict>
    </w:r>
  </w:p>
  <w:p w:rsidR="003059DA" w:rsidRPr="00CC7883" w:rsidRDefault="003059DA">
    <w:pPr>
      <w:pStyle w:val="af6"/>
      <w:rPr>
        <w:rFonts w:hint="eastAsia"/>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91" style="position:absolute;left:0;text-align:left;margin-left:717.3pt;margin-top:9.05pt;width:45pt;height:37.5pt;z-index:251755520" filled="f" stroked="f">
          <v:textbox style="layout-flow:vertical;mso-next-textbox:#_x0000_s1091">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37</w:t>
                </w:r>
              </w:p>
            </w:txbxContent>
          </v:textbox>
        </v:rect>
      </w:pict>
    </w:r>
  </w:p>
  <w:p w:rsidR="003059DA" w:rsidRPr="00CC7883" w:rsidRDefault="003059DA">
    <w:pPr>
      <w:pStyle w:val="af6"/>
      <w:rPr>
        <w:rFonts w:hint="eastAsia"/>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88" style="position:absolute;left:0;text-align:left;margin-left:717.3pt;margin-top:9.05pt;width:45pt;height:37.5pt;z-index:251863040" filled="f" stroked="f">
          <v:textbox style="layout-flow:vertical;mso-next-textbox:#_x0000_s1188">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38</w:t>
                </w:r>
              </w:p>
            </w:txbxContent>
          </v:textbox>
        </v:rect>
      </w:pict>
    </w:r>
  </w:p>
  <w:p w:rsidR="003059DA" w:rsidRPr="00CC7883" w:rsidRDefault="003059DA">
    <w:pPr>
      <w:pStyle w:val="af6"/>
      <w:rPr>
        <w:rFonts w:hint="eastAsia"/>
      </w:rP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97" style="position:absolute;left:0;text-align:left;margin-left:717.3pt;margin-top:9.05pt;width:45pt;height:37.5pt;z-index:251764736" filled="f" stroked="f">
          <v:textbox style="layout-flow:vertical;mso-next-textbox:#_x0000_s1097">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39</w:t>
                </w:r>
              </w:p>
            </w:txbxContent>
          </v:textbox>
        </v:rect>
      </w:pict>
    </w:r>
  </w:p>
  <w:p w:rsidR="003059DA" w:rsidRPr="00CC7883" w:rsidRDefault="003059DA">
    <w:pPr>
      <w:pStyle w:val="af6"/>
      <w:rPr>
        <w:rFonts w:hint="eastAsia"/>
      </w:rP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95" style="position:absolute;left:0;text-align:left;margin-left:717.3pt;margin-top:9.05pt;width:45pt;height:37.5pt;z-index:251761664" filled="f" stroked="f">
          <v:textbox style="layout-flow:vertical;mso-next-textbox:#_x0000_s1095">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40</w:t>
                </w:r>
              </w:p>
            </w:txbxContent>
          </v:textbox>
        </v:rect>
      </w:pict>
    </w:r>
  </w:p>
  <w:p w:rsidR="003059DA" w:rsidRPr="00CC7883" w:rsidRDefault="003059DA">
    <w:pPr>
      <w:pStyle w:val="af6"/>
      <w:rPr>
        <w:rFonts w:hint="eastAsia"/>
      </w:rP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90" style="position:absolute;left:0;text-align:left;margin-left:717.3pt;margin-top:9.05pt;width:45pt;height:37.5pt;z-index:251866112" filled="f" stroked="f">
          <v:textbox style="layout-flow:vertical;mso-next-textbox:#_x0000_s1190">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34</w:t>
                </w:r>
                <w:r>
                  <w:rPr>
                    <w:rFonts w:ascii="Times New Roman" w:hAnsi="Times New Roman" w:cs="Times New Roman"/>
                    <w:lang w:val="ru-RU"/>
                  </w:rPr>
                  <w:t>1</w:t>
                </w:r>
              </w:p>
            </w:txbxContent>
          </v:textbox>
        </v:rect>
      </w:pict>
    </w:r>
  </w:p>
  <w:p w:rsidR="003059DA" w:rsidRPr="00CC7883" w:rsidRDefault="003059DA">
    <w:pPr>
      <w:pStyle w:val="af6"/>
      <w:rPr>
        <w:rFonts w:hint="eastAsia"/>
      </w:rP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099" style="position:absolute;left:0;text-align:left;margin-left:717.3pt;margin-top:9.05pt;width:45pt;height:37.5pt;z-index:251767808" filled="f" stroked="f">
          <v:textbox style="layout-flow:vertical;mso-next-textbox:#_x0000_s1099">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34</w:t>
                </w:r>
                <w:r>
                  <w:rPr>
                    <w:rFonts w:ascii="Times New Roman" w:hAnsi="Times New Roman" w:cs="Times New Roman"/>
                    <w:lang w:val="ru-RU"/>
                  </w:rPr>
                  <w:t>2</w:t>
                </w:r>
              </w:p>
            </w:txbxContent>
          </v:textbox>
        </v:rect>
      </w:pict>
    </w:r>
  </w:p>
  <w:p w:rsidR="003059DA" w:rsidRPr="00CC7883" w:rsidRDefault="003059DA">
    <w:pPr>
      <w:pStyle w:val="af6"/>
      <w:rPr>
        <w:rFonts w:hint="eastAsia"/>
      </w:rP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01" style="position:absolute;left:0;text-align:left;margin-left:717.3pt;margin-top:9.05pt;width:45pt;height:37.5pt;z-index:251770880" filled="f" stroked="f">
          <v:textbox style="layout-flow:vertical;mso-next-textbox:#_x0000_s1101">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34</w:t>
                </w:r>
                <w:r>
                  <w:rPr>
                    <w:rFonts w:ascii="Times New Roman" w:hAnsi="Times New Roman" w:cs="Times New Roman"/>
                    <w:lang w:val="ru-RU"/>
                  </w:rPr>
                  <w:t>3</w:t>
                </w:r>
              </w:p>
            </w:txbxContent>
          </v:textbox>
        </v:rect>
      </w:pict>
    </w:r>
  </w:p>
  <w:p w:rsidR="003059DA" w:rsidRPr="00CC7883" w:rsidRDefault="003059DA">
    <w:pPr>
      <w:pStyle w:val="af6"/>
      <w:rPr>
        <w:rFonts w:hint="eastAsia"/>
      </w:rP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60" style="position:absolute;left:0;text-align:left;margin-left:717.3pt;margin-top:9.05pt;width:45pt;height:37.5pt;z-index:251844608" filled="f" stroked="f">
          <v:textbox style="layout-flow:vertical;mso-next-textbox:#_x0000_s1160">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w:t>
                </w:r>
                <w:r>
                  <w:rPr>
                    <w:rFonts w:ascii="Times New Roman" w:hAnsi="Times New Roman" w:cs="Times New Roman"/>
                  </w:rPr>
                  <w:t>4</w:t>
                </w:r>
                <w:r>
                  <w:rPr>
                    <w:rFonts w:ascii="Times New Roman" w:hAnsi="Times New Roman" w:cs="Times New Roman"/>
                    <w:lang w:val="ru-RU"/>
                  </w:rPr>
                  <w:t>4</w:t>
                </w:r>
              </w:p>
            </w:txbxContent>
          </v:textbox>
        </v:rect>
      </w:pict>
    </w:r>
  </w:p>
  <w:p w:rsidR="003059DA" w:rsidRPr="00CC7883" w:rsidRDefault="003059DA">
    <w:pPr>
      <w:pStyle w:val="af6"/>
      <w:rPr>
        <w:rFonts w:hint="eastAsia"/>
      </w:rP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249" style="position:absolute;left:0;text-align:left;margin-left:717.3pt;margin-top:9.05pt;width:45pt;height:37.5pt;z-index:251881472" filled="f" stroked="f">
          <v:textbox style="layout-flow:vertical;mso-next-textbox:#_x0000_s1249">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w:t>
                </w:r>
                <w:r>
                  <w:rPr>
                    <w:rFonts w:ascii="Times New Roman" w:hAnsi="Times New Roman" w:cs="Times New Roman"/>
                  </w:rPr>
                  <w:t>4</w:t>
                </w:r>
                <w:r>
                  <w:rPr>
                    <w:rFonts w:ascii="Times New Roman" w:hAnsi="Times New Roman" w:cs="Times New Roman"/>
                    <w:lang w:val="ru-RU"/>
                  </w:rPr>
                  <w:t>5</w:t>
                </w:r>
              </w:p>
            </w:txbxContent>
          </v:textbox>
        </v:rect>
      </w:pict>
    </w:r>
  </w:p>
  <w:p w:rsidR="003059DA" w:rsidRPr="00CC7883" w:rsidRDefault="003059DA">
    <w:pPr>
      <w:pStyle w:val="af6"/>
      <w:rPr>
        <w:rFonts w:hint="eastAsia"/>
      </w:rP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62" style="position:absolute;left:0;text-align:left;margin-left:717.3pt;margin-top:9.05pt;width:45pt;height:37.5pt;z-index:251847680" filled="f" stroked="f">
          <v:textbox style="layout-flow:vertical;mso-next-textbox:#_x0000_s1162">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46</w:t>
                </w:r>
              </w:p>
            </w:txbxContent>
          </v:textbox>
        </v:rect>
      </w:pict>
    </w:r>
  </w:p>
  <w:p w:rsidR="003059DA" w:rsidRPr="00CC7883" w:rsidRDefault="003059DA">
    <w:pPr>
      <w:pStyle w:val="af6"/>
      <w:rPr>
        <w:rFonts w:hint="eastAsia"/>
      </w:rP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03" style="position:absolute;left:0;text-align:left;margin-left:717.3pt;margin-top:9.05pt;width:45pt;height:37.5pt;z-index:251773952" filled="f" stroked="f">
          <v:textbox style="layout-flow:vertical;mso-next-textbox:#_x0000_s1103">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47</w:t>
                </w:r>
              </w:p>
            </w:txbxContent>
          </v:textbox>
        </v:rect>
      </w:pict>
    </w:r>
  </w:p>
  <w:p w:rsidR="003059DA" w:rsidRPr="00CC7883" w:rsidRDefault="003059DA">
    <w:pPr>
      <w:pStyle w:val="af6"/>
      <w:rPr>
        <w:rFonts w:hint="eastAsia"/>
      </w:rP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05" style="position:absolute;left:0;text-align:left;margin-left:717.3pt;margin-top:9.05pt;width:45pt;height:37.5pt;z-index:251777024" filled="f" stroked="f">
          <v:textbox style="layout-flow:vertical;mso-next-textbox:#_x0000_s1105">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48</w:t>
                </w:r>
              </w:p>
            </w:txbxContent>
          </v:textbox>
        </v:rect>
      </w:pict>
    </w:r>
  </w:p>
  <w:p w:rsidR="003059DA" w:rsidRPr="00CC7883" w:rsidRDefault="003059DA">
    <w:pPr>
      <w:pStyle w:val="af6"/>
      <w:rPr>
        <w:rFonts w:hint="eastAsia"/>
      </w:rP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07" style="position:absolute;left:0;text-align:left;margin-left:717.3pt;margin-top:9.05pt;width:45pt;height:37.5pt;z-index:251780096" filled="f" stroked="f">
          <v:textbox style="layout-flow:vertical;mso-next-textbox:#_x0000_s1107">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49</w:t>
                </w:r>
              </w:p>
            </w:txbxContent>
          </v:textbox>
        </v:rect>
      </w:pict>
    </w:r>
  </w:p>
  <w:p w:rsidR="003059DA" w:rsidRPr="00CC7883" w:rsidRDefault="003059DA">
    <w:pPr>
      <w:pStyle w:val="af6"/>
      <w:rPr>
        <w:rFonts w:hint="eastAsia"/>
      </w:rP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09" style="position:absolute;left:0;text-align:left;margin-left:717.3pt;margin-top:9.05pt;width:45pt;height:37.5pt;z-index:251783168" filled="f" stroked="f">
          <v:textbox style="layout-flow:vertical;mso-next-textbox:#_x0000_s1109">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35</w:t>
                </w:r>
                <w:r>
                  <w:rPr>
                    <w:rFonts w:ascii="Times New Roman" w:hAnsi="Times New Roman" w:cs="Times New Roman"/>
                    <w:lang w:val="ru-RU"/>
                  </w:rPr>
                  <w:t>0</w:t>
                </w:r>
              </w:p>
            </w:txbxContent>
          </v:textbox>
        </v:rect>
      </w:pict>
    </w:r>
  </w:p>
  <w:p w:rsidR="003059DA" w:rsidRPr="00CC7883" w:rsidRDefault="003059DA">
    <w:pPr>
      <w:pStyle w:val="af6"/>
      <w:rPr>
        <w:rFonts w:hint="eastAsia"/>
      </w:rP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11" style="position:absolute;left:0;text-align:left;margin-left:717.3pt;margin-top:9.05pt;width:45pt;height:37.5pt;z-index:251786240" filled="f" stroked="f">
          <v:textbox style="layout-flow:vertical;mso-next-textbox:#_x0000_s1111">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35</w:t>
                </w:r>
                <w:r>
                  <w:rPr>
                    <w:rFonts w:ascii="Times New Roman" w:hAnsi="Times New Roman" w:cs="Times New Roman"/>
                    <w:lang w:val="ru-RU"/>
                  </w:rPr>
                  <w:t>1</w:t>
                </w:r>
              </w:p>
            </w:txbxContent>
          </v:textbox>
        </v:rect>
      </w:pict>
    </w:r>
  </w:p>
  <w:p w:rsidR="003059DA" w:rsidRPr="00CC7883" w:rsidRDefault="003059DA">
    <w:pPr>
      <w:pStyle w:val="af6"/>
      <w:rPr>
        <w:rFonts w:hint="eastAsia"/>
      </w:rP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226" style="position:absolute;left:0;text-align:left;margin-left:717.3pt;margin-top:9.05pt;width:45pt;height:37.5pt;z-index:251875328" filled="f" stroked="f">
          <v:textbox style="layout-flow:vertical;mso-next-textbox:#_x0000_s1226">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35</w:t>
                </w:r>
                <w:r>
                  <w:rPr>
                    <w:rFonts w:ascii="Times New Roman" w:hAnsi="Times New Roman" w:cs="Times New Roman"/>
                    <w:lang w:val="ru-RU"/>
                  </w:rPr>
                  <w:t>2</w:t>
                </w:r>
              </w:p>
            </w:txbxContent>
          </v:textbox>
        </v:rect>
      </w:pict>
    </w:r>
  </w:p>
  <w:p w:rsidR="003059DA" w:rsidRPr="00CC7883" w:rsidRDefault="003059DA">
    <w:pPr>
      <w:pStyle w:val="af6"/>
      <w:rPr>
        <w:rFonts w:hint="eastAsia"/>
      </w:rP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206" style="position:absolute;left:0;text-align:left;margin-left:717.3pt;margin-top:9.05pt;width:45pt;height:37.5pt;z-index:251869184" filled="f" stroked="f">
          <v:textbox style="layout-flow:vertical;mso-next-textbox:#_x0000_s1206">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35</w:t>
                </w:r>
                <w:r>
                  <w:rPr>
                    <w:rFonts w:ascii="Times New Roman" w:hAnsi="Times New Roman" w:cs="Times New Roman"/>
                    <w:lang w:val="ru-RU"/>
                  </w:rPr>
                  <w:t>3</w:t>
                </w:r>
              </w:p>
            </w:txbxContent>
          </v:textbox>
        </v:rect>
      </w:pict>
    </w:r>
  </w:p>
  <w:p w:rsidR="003059DA" w:rsidRPr="00CC7883" w:rsidRDefault="003059DA">
    <w:pPr>
      <w:pStyle w:val="af6"/>
      <w:rPr>
        <w:rFonts w:hint="eastAsia"/>
      </w:rP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208" style="position:absolute;left:0;text-align:left;margin-left:717.3pt;margin-top:9.05pt;width:45pt;height:37.5pt;z-index:251872256" filled="f" stroked="f">
          <v:textbox style="layout-flow:vertical;mso-next-textbox:#_x0000_s1208">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w:t>
                </w:r>
                <w:r>
                  <w:rPr>
                    <w:rFonts w:ascii="Times New Roman" w:hAnsi="Times New Roman" w:cs="Times New Roman"/>
                  </w:rPr>
                  <w:t>5</w:t>
                </w:r>
                <w:r>
                  <w:rPr>
                    <w:rFonts w:ascii="Times New Roman" w:hAnsi="Times New Roman" w:cs="Times New Roman"/>
                    <w:lang w:val="ru-RU"/>
                  </w:rPr>
                  <w:t>4</w:t>
                </w:r>
              </w:p>
            </w:txbxContent>
          </v:textbox>
        </v:rect>
      </w:pict>
    </w:r>
  </w:p>
  <w:p w:rsidR="003059DA" w:rsidRPr="00CC7883" w:rsidRDefault="003059DA">
    <w:pPr>
      <w:pStyle w:val="af6"/>
      <w:rPr>
        <w:rFonts w:hint="eastAsia"/>
      </w:rP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13" style="position:absolute;left:0;text-align:left;margin-left:717.3pt;margin-top:9.05pt;width:45pt;height:37.5pt;z-index:251789312" filled="f" stroked="f">
          <v:textbox style="layout-flow:vertical;mso-next-textbox:#_x0000_s1113">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w:t>
                </w:r>
                <w:r>
                  <w:rPr>
                    <w:rFonts w:ascii="Times New Roman" w:hAnsi="Times New Roman" w:cs="Times New Roman"/>
                  </w:rPr>
                  <w:t>5</w:t>
                </w:r>
                <w:r>
                  <w:rPr>
                    <w:rFonts w:ascii="Times New Roman" w:hAnsi="Times New Roman" w:cs="Times New Roman"/>
                    <w:lang w:val="ru-RU"/>
                  </w:rPr>
                  <w:t>5</w:t>
                </w:r>
              </w:p>
            </w:txbxContent>
          </v:textbox>
        </v:rect>
      </w:pict>
    </w:r>
  </w:p>
  <w:p w:rsidR="003059DA" w:rsidRPr="00CC7883" w:rsidRDefault="003059DA">
    <w:pPr>
      <w:pStyle w:val="af6"/>
      <w:rPr>
        <w:rFonts w:hint="eastAsia"/>
      </w:rP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15" style="position:absolute;left:0;text-align:left;margin-left:717.3pt;margin-top:9.05pt;width:45pt;height:37.5pt;z-index:251792384" filled="f" stroked="f">
          <v:textbox style="layout-flow:vertical;mso-next-textbox:#_x0000_s1115">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56</w:t>
                </w:r>
              </w:p>
            </w:txbxContent>
          </v:textbox>
        </v:rect>
      </w:pict>
    </w:r>
  </w:p>
  <w:p w:rsidR="003059DA" w:rsidRPr="00CC7883" w:rsidRDefault="003059DA">
    <w:pPr>
      <w:pStyle w:val="af6"/>
      <w:rPr>
        <w:rFonts w:hint="eastAsia"/>
      </w:rP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17" style="position:absolute;left:0;text-align:left;margin-left:717.3pt;margin-top:9.05pt;width:45pt;height:37.5pt;z-index:251795456" filled="f" stroked="f">
          <v:textbox style="layout-flow:vertical;mso-next-textbox:#_x0000_s1117">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57</w:t>
                </w:r>
              </w:p>
            </w:txbxContent>
          </v:textbox>
        </v:rect>
      </w:pict>
    </w:r>
  </w:p>
  <w:p w:rsidR="003059DA" w:rsidRPr="00CC7883" w:rsidRDefault="003059DA">
    <w:pPr>
      <w:pStyle w:val="af6"/>
      <w:rPr>
        <w:rFonts w:hint="eastAsia"/>
      </w:rP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19" style="position:absolute;left:0;text-align:left;margin-left:717.3pt;margin-top:9.05pt;width:45pt;height:37.5pt;z-index:251798528" filled="f" stroked="f">
          <v:textbox style="layout-flow:vertical;mso-next-textbox:#_x0000_s1119">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58</w:t>
                </w:r>
              </w:p>
            </w:txbxContent>
          </v:textbox>
        </v:rect>
      </w:pict>
    </w:r>
  </w:p>
  <w:p w:rsidR="003059DA" w:rsidRPr="00CC7883" w:rsidRDefault="003059DA">
    <w:pPr>
      <w:pStyle w:val="af6"/>
      <w:rPr>
        <w:rFonts w:hint="eastAsia"/>
      </w:rP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21" style="position:absolute;left:0;text-align:left;margin-left:717.3pt;margin-top:9.05pt;width:45pt;height:37.5pt;z-index:251801600" filled="f" stroked="f">
          <v:textbox style="layout-flow:vertical;mso-next-textbox:#_x0000_s1121">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59</w:t>
                </w:r>
              </w:p>
            </w:txbxContent>
          </v:textbox>
        </v:rect>
      </w:pict>
    </w:r>
  </w:p>
  <w:p w:rsidR="003059DA" w:rsidRPr="00CC7883" w:rsidRDefault="003059DA">
    <w:pPr>
      <w:pStyle w:val="af6"/>
      <w:rPr>
        <w:rFonts w:hint="eastAsia"/>
      </w:rP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23" style="position:absolute;left:0;text-align:left;margin-left:717.3pt;margin-top:9.05pt;width:45pt;height:37.5pt;z-index:251804672" filled="f" stroked="f">
          <v:textbox style="layout-flow:vertical;mso-next-textbox:#_x0000_s1123">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36</w:t>
                </w:r>
                <w:r>
                  <w:rPr>
                    <w:rFonts w:ascii="Times New Roman" w:hAnsi="Times New Roman" w:cs="Times New Roman"/>
                    <w:lang w:val="ru-RU"/>
                  </w:rPr>
                  <w:t>0</w:t>
                </w:r>
              </w:p>
            </w:txbxContent>
          </v:textbox>
        </v:rect>
      </w:pict>
    </w:r>
  </w:p>
  <w:p w:rsidR="003059DA" w:rsidRPr="00CC7883" w:rsidRDefault="003059DA">
    <w:pPr>
      <w:pStyle w:val="af6"/>
      <w:rPr>
        <w:rFonts w:hint="eastAsia"/>
      </w:rP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25" style="position:absolute;left:0;text-align:left;margin-left:717.3pt;margin-top:9.05pt;width:45pt;height:37.5pt;z-index:251807744" filled="f" stroked="f">
          <v:textbox style="layout-flow:vertical;mso-next-textbox:#_x0000_s1125">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36</w:t>
                </w:r>
                <w:r>
                  <w:rPr>
                    <w:rFonts w:ascii="Times New Roman" w:hAnsi="Times New Roman" w:cs="Times New Roman"/>
                    <w:lang w:val="ru-RU"/>
                  </w:rPr>
                  <w:t>1</w:t>
                </w:r>
              </w:p>
            </w:txbxContent>
          </v:textbox>
        </v:rect>
      </w:pict>
    </w:r>
  </w:p>
  <w:p w:rsidR="003059DA" w:rsidRPr="00CC7883" w:rsidRDefault="003059DA">
    <w:pPr>
      <w:pStyle w:val="af6"/>
      <w:rPr>
        <w:rFonts w:hint="eastAsia"/>
      </w:rP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29" style="position:absolute;left:0;text-align:left;margin-left:717.3pt;margin-top:9.05pt;width:45pt;height:37.5pt;z-index:251813888" filled="f" stroked="f">
          <v:textbox style="layout-flow:vertical;mso-next-textbox:#_x0000_s1129">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36</w:t>
                </w:r>
                <w:r>
                  <w:rPr>
                    <w:rFonts w:ascii="Times New Roman" w:hAnsi="Times New Roman" w:cs="Times New Roman"/>
                    <w:lang w:val="ru-RU"/>
                  </w:rPr>
                  <w:t>2</w:t>
                </w:r>
              </w:p>
            </w:txbxContent>
          </v:textbox>
        </v:rect>
      </w:pict>
    </w:r>
  </w:p>
  <w:p w:rsidR="003059DA" w:rsidRPr="00CC7883" w:rsidRDefault="003059DA">
    <w:pPr>
      <w:pStyle w:val="af6"/>
      <w:rPr>
        <w:rFonts w:hint="eastAsia"/>
      </w:rP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31" style="position:absolute;left:0;text-align:left;margin-left:717.3pt;margin-top:9.05pt;width:45pt;height:37.5pt;z-index:251816960" filled="f" stroked="f">
          <v:textbox style="layout-flow:vertical;mso-next-textbox:#_x0000_s1131">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36</w:t>
                </w:r>
                <w:r>
                  <w:rPr>
                    <w:rFonts w:ascii="Times New Roman" w:hAnsi="Times New Roman" w:cs="Times New Roman"/>
                    <w:lang w:val="ru-RU"/>
                  </w:rPr>
                  <w:t>3</w:t>
                </w:r>
              </w:p>
            </w:txbxContent>
          </v:textbox>
        </v:rect>
      </w:pict>
    </w:r>
  </w:p>
  <w:p w:rsidR="003059DA" w:rsidRPr="00CC7883" w:rsidRDefault="003059DA">
    <w:pPr>
      <w:pStyle w:val="af6"/>
      <w:rPr>
        <w:rFonts w:hint="eastAsia"/>
      </w:rP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27" style="position:absolute;left:0;text-align:left;margin-left:717.3pt;margin-top:9.05pt;width:45pt;height:37.5pt;z-index:251810816" filled="f" stroked="f">
          <v:textbox style="layout-flow:vertical;mso-next-textbox:#_x0000_s1127">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w:t>
                </w:r>
                <w:r>
                  <w:rPr>
                    <w:rFonts w:ascii="Times New Roman" w:hAnsi="Times New Roman" w:cs="Times New Roman"/>
                  </w:rPr>
                  <w:t>6</w:t>
                </w:r>
                <w:r>
                  <w:rPr>
                    <w:rFonts w:ascii="Times New Roman" w:hAnsi="Times New Roman" w:cs="Times New Roman"/>
                    <w:lang w:val="ru-RU"/>
                  </w:rPr>
                  <w:t>4</w:t>
                </w:r>
              </w:p>
            </w:txbxContent>
          </v:textbox>
        </v:rect>
      </w:pict>
    </w:r>
  </w:p>
  <w:p w:rsidR="003059DA" w:rsidRPr="00CC7883" w:rsidRDefault="003059DA">
    <w:pPr>
      <w:pStyle w:val="af6"/>
      <w:rPr>
        <w:rFonts w:hint="eastAsia"/>
      </w:rP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33" style="position:absolute;left:0;text-align:left;margin-left:717.3pt;margin-top:9.05pt;width:45pt;height:37.5pt;z-index:251820032" filled="f" stroked="f">
          <v:textbox style="layout-flow:vertical;mso-next-textbox:#_x0000_s1133">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w:t>
                </w:r>
                <w:r>
                  <w:rPr>
                    <w:rFonts w:ascii="Times New Roman" w:hAnsi="Times New Roman" w:cs="Times New Roman"/>
                  </w:rPr>
                  <w:t>6</w:t>
                </w:r>
                <w:r>
                  <w:rPr>
                    <w:rFonts w:ascii="Times New Roman" w:hAnsi="Times New Roman" w:cs="Times New Roman"/>
                    <w:lang w:val="ru-RU"/>
                  </w:rPr>
                  <w:t>5</w:t>
                </w:r>
              </w:p>
            </w:txbxContent>
          </v:textbox>
        </v:rect>
      </w:pict>
    </w:r>
  </w:p>
  <w:p w:rsidR="003059DA" w:rsidRPr="00CC7883" w:rsidRDefault="003059DA">
    <w:pPr>
      <w:pStyle w:val="af6"/>
      <w:rPr>
        <w:rFonts w:hint="eastAsia"/>
      </w:rP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35" style="position:absolute;left:0;text-align:left;margin-left:717.3pt;margin-top:9.05pt;width:45pt;height:37.5pt;z-index:251823104" filled="f" stroked="f">
          <v:textbox style="layout-flow:vertical;mso-next-textbox:#_x0000_s1135">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66</w:t>
                </w:r>
              </w:p>
            </w:txbxContent>
          </v:textbox>
        </v:rect>
      </w:pict>
    </w:r>
  </w:p>
  <w:p w:rsidR="003059DA" w:rsidRPr="00CC7883" w:rsidRDefault="003059DA">
    <w:pPr>
      <w:pStyle w:val="af6"/>
      <w:rPr>
        <w:rFonts w:hint="eastAsia"/>
      </w:rP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37" style="position:absolute;left:0;text-align:left;margin-left:717.3pt;margin-top:9.05pt;width:45pt;height:37.5pt;z-index:251826176" filled="f" stroked="f">
          <v:textbox style="layout-flow:vertical;mso-next-textbox:#_x0000_s1137">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67</w:t>
                </w:r>
              </w:p>
            </w:txbxContent>
          </v:textbox>
        </v:rect>
      </w:pict>
    </w:r>
  </w:p>
  <w:p w:rsidR="003059DA" w:rsidRPr="00CC7883" w:rsidRDefault="003059DA">
    <w:pPr>
      <w:pStyle w:val="af6"/>
      <w:rPr>
        <w:rFonts w:hint="eastAsia"/>
      </w:rP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39" style="position:absolute;left:0;text-align:left;margin-left:717.3pt;margin-top:9.05pt;width:45pt;height:37.5pt;z-index:251829248" filled="f" stroked="f">
          <v:textbox style="layout-flow:vertical;mso-next-textbox:#_x0000_s1139">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68</w:t>
                </w:r>
              </w:p>
            </w:txbxContent>
          </v:textbox>
        </v:rect>
      </w:pict>
    </w:r>
  </w:p>
  <w:p w:rsidR="003059DA" w:rsidRPr="00CC7883" w:rsidRDefault="003059DA">
    <w:pPr>
      <w:pStyle w:val="af6"/>
      <w:rPr>
        <w:rFonts w:hint="eastAsia"/>
      </w:rP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41" style="position:absolute;left:0;text-align:left;margin-left:717.3pt;margin-top:9.05pt;width:45pt;height:37.5pt;z-index:251832320" filled="f" stroked="f">
          <v:textbox style="layout-flow:vertical;mso-next-textbox:#_x0000_s1141">
            <w:txbxContent>
              <w:p w:rsidR="003059DA" w:rsidRPr="00F13DA5" w:rsidRDefault="003059DA">
                <w:pPr>
                  <w:rPr>
                    <w:rFonts w:ascii="Times New Roman" w:hAnsi="Times New Roman" w:cs="Times New Roman"/>
                    <w:lang w:val="ru-RU"/>
                  </w:rPr>
                </w:pPr>
                <w:r>
                  <w:rPr>
                    <w:rFonts w:ascii="Times New Roman" w:hAnsi="Times New Roman" w:cs="Times New Roman"/>
                  </w:rPr>
                  <w:t>3</w:t>
                </w:r>
                <w:r>
                  <w:rPr>
                    <w:rFonts w:ascii="Times New Roman" w:hAnsi="Times New Roman" w:cs="Times New Roman"/>
                    <w:lang w:val="ru-RU"/>
                  </w:rPr>
                  <w:t>69</w:t>
                </w:r>
              </w:p>
            </w:txbxContent>
          </v:textbox>
        </v:rect>
      </w:pict>
    </w:r>
  </w:p>
  <w:p w:rsidR="003059DA" w:rsidRPr="00CC7883" w:rsidRDefault="003059DA">
    <w:pPr>
      <w:pStyle w:val="af6"/>
      <w:rPr>
        <w:rFonts w:hint="eastAsia"/>
      </w:rPr>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43" style="position:absolute;left:0;text-align:left;margin-left:717.3pt;margin-top:9.05pt;width:45pt;height:37.5pt;z-index:251835392" filled="f" stroked="f">
          <v:textbox style="layout-flow:vertical;mso-next-textbox:#_x0000_s1143">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37</w:t>
                </w:r>
                <w:r>
                  <w:rPr>
                    <w:rFonts w:ascii="Times New Roman" w:hAnsi="Times New Roman" w:cs="Times New Roman"/>
                    <w:lang w:val="ru-RU"/>
                  </w:rPr>
                  <w:t>0</w:t>
                </w:r>
              </w:p>
            </w:txbxContent>
          </v:textbox>
        </v:rect>
      </w:pict>
    </w:r>
  </w:p>
  <w:p w:rsidR="003059DA" w:rsidRPr="00CC7883" w:rsidRDefault="003059DA">
    <w:pPr>
      <w:pStyle w:val="af6"/>
      <w:rPr>
        <w:rFonts w:hint="eastAsia"/>
      </w:rP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6"/>
      <w:jc w:val="right"/>
      <w:rPr>
        <w:rFonts w:hint="eastAsia"/>
      </w:rPr>
    </w:pPr>
    <w:r w:rsidRPr="00785319">
      <w:rPr>
        <w:rFonts w:hint="eastAsia"/>
      </w:rPr>
      <w:pict>
        <v:rect id="_x0000_s1145" style="position:absolute;left:0;text-align:left;margin-left:717.3pt;margin-top:9.05pt;width:45pt;height:37.5pt;z-index:251838464" filled="f" stroked="f">
          <v:textbox style="layout-flow:vertical;mso-next-textbox:#_x0000_s1145">
            <w:txbxContent>
              <w:p w:rsidR="003059DA" w:rsidRPr="00F13DA5" w:rsidRDefault="003059DA">
                <w:pPr>
                  <w:rPr>
                    <w:rFonts w:ascii="Times New Roman" w:hAnsi="Times New Roman" w:cs="Times New Roman"/>
                    <w:lang w:val="ru-RU"/>
                  </w:rPr>
                </w:pPr>
                <w:r w:rsidRPr="00CC7883">
                  <w:rPr>
                    <w:rFonts w:ascii="Times New Roman" w:hAnsi="Times New Roman" w:cs="Times New Roman"/>
                  </w:rPr>
                  <w:t>37</w:t>
                </w:r>
                <w:r>
                  <w:rPr>
                    <w:rFonts w:ascii="Times New Roman" w:hAnsi="Times New Roman" w:cs="Times New Roman"/>
                    <w:lang w:val="ru-RU"/>
                  </w:rPr>
                  <w:t>1</w:t>
                </w:r>
              </w:p>
            </w:txbxContent>
          </v:textbox>
        </v:rect>
      </w:pict>
    </w:r>
  </w:p>
  <w:p w:rsidR="003059DA" w:rsidRPr="00CC7883" w:rsidRDefault="003059DA">
    <w:pPr>
      <w:pStyle w:val="af6"/>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59DA" w:rsidRPr="00CC7883" w:rsidRDefault="003059DA" w:rsidP="00192B2C">
      <w:pPr>
        <w:spacing w:after="0" w:line="240" w:lineRule="auto"/>
      </w:pPr>
      <w:r w:rsidRPr="00CC7883">
        <w:separator/>
      </w:r>
    </w:p>
  </w:footnote>
  <w:footnote w:type="continuationSeparator" w:id="0">
    <w:p w:rsidR="003059DA" w:rsidRPr="00CC7883" w:rsidRDefault="003059DA" w:rsidP="00192B2C">
      <w:pPr>
        <w:spacing w:after="0" w:line="240" w:lineRule="auto"/>
      </w:pPr>
      <w:r w:rsidRPr="00CC7883">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4"/>
      <w:jc w:val="right"/>
      <w:rPr>
        <w:rFonts w:hint="eastAsia"/>
      </w:rPr>
    </w:pPr>
  </w:p>
  <w:p w:rsidR="003059DA" w:rsidRPr="00CC7883" w:rsidRDefault="003059DA">
    <w:pPr>
      <w:pStyle w:val="af4"/>
      <w:rPr>
        <w:rFonts w:hint="eastAsia"/>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43900561"/>
      <w:docPartObj>
        <w:docPartGallery w:val="Page Numbers (Top of Page)"/>
        <w:docPartUnique/>
      </w:docPartObj>
    </w:sdtPr>
    <w:sdtEndPr>
      <w:rPr>
        <w:rFonts w:ascii="Times New Roman" w:hAnsi="Times New Roman" w:cs="Times New Roman"/>
        <w:sz w:val="24"/>
      </w:rPr>
    </w:sdtEndPr>
    <w:sdtContent>
      <w:p w:rsidR="003059DA" w:rsidRPr="00CC7883" w:rsidRDefault="003059DA">
        <w:pPr>
          <w:pStyle w:val="af4"/>
          <w:jc w:val="right"/>
          <w:rPr>
            <w:rFonts w:ascii="Times New Roman" w:hAnsi="Times New Roman" w:cs="Times New Roman"/>
            <w:sz w:val="24"/>
          </w:rPr>
        </w:pPr>
        <w:r w:rsidRPr="00CC7883">
          <w:rPr>
            <w:rFonts w:ascii="Times New Roman" w:hAnsi="Times New Roman" w:cs="Times New Roman"/>
            <w:sz w:val="24"/>
          </w:rPr>
          <w:fldChar w:fldCharType="begin"/>
        </w:r>
        <w:r w:rsidRPr="00CC7883">
          <w:rPr>
            <w:rFonts w:ascii="Times New Roman" w:hAnsi="Times New Roman" w:cs="Times New Roman"/>
            <w:sz w:val="24"/>
          </w:rPr>
          <w:instrText>PAGE   \* MERGEFORMAT</w:instrText>
        </w:r>
        <w:r w:rsidRPr="00CC7883">
          <w:rPr>
            <w:rFonts w:ascii="Times New Roman" w:hAnsi="Times New Roman" w:cs="Times New Roman"/>
            <w:sz w:val="24"/>
          </w:rPr>
          <w:fldChar w:fldCharType="separate"/>
        </w:r>
        <w:r w:rsidR="002424C1">
          <w:rPr>
            <w:rFonts w:ascii="Times New Roman" w:hAnsi="Times New Roman" w:cs="Times New Roman"/>
            <w:noProof/>
            <w:sz w:val="24"/>
          </w:rPr>
          <w:t>97</w:t>
        </w:r>
        <w:r w:rsidRPr="00CC7883">
          <w:rPr>
            <w:rFonts w:ascii="Times New Roman" w:hAnsi="Times New Roman" w:cs="Times New Roman"/>
            <w:sz w:val="24"/>
          </w:rPr>
          <w:fldChar w:fldCharType="end"/>
        </w:r>
      </w:p>
    </w:sdtContent>
  </w:sdt>
  <w:p w:rsidR="003059DA" w:rsidRPr="00CC7883" w:rsidRDefault="003059DA">
    <w:pPr>
      <w:pStyle w:val="af4"/>
      <w:rPr>
        <w:rFonts w:hint="eastAsia"/>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353820"/>
      <w:docPartObj>
        <w:docPartGallery w:val="Page Numbers (Top of Page)"/>
        <w:docPartUnique/>
      </w:docPartObj>
    </w:sdtPr>
    <w:sdtEndPr>
      <w:rPr>
        <w:rFonts w:ascii="Times New Roman" w:hAnsi="Times New Roman" w:cs="Times New Roman"/>
        <w:sz w:val="28"/>
      </w:rPr>
    </w:sdtEndPr>
    <w:sdtContent>
      <w:p w:rsidR="003059DA" w:rsidRPr="00CC7883" w:rsidRDefault="003059DA">
        <w:pPr>
          <w:pStyle w:val="af4"/>
          <w:jc w:val="right"/>
          <w:rPr>
            <w:rFonts w:ascii="Times New Roman" w:hAnsi="Times New Roman" w:cs="Times New Roman"/>
            <w:sz w:val="28"/>
          </w:rPr>
        </w:pPr>
        <w:r w:rsidRPr="000335BB">
          <w:rPr>
            <w:rFonts w:ascii="Times New Roman" w:hAnsi="Times New Roman" w:cs="Times New Roman"/>
            <w:sz w:val="24"/>
          </w:rPr>
          <w:fldChar w:fldCharType="begin"/>
        </w:r>
        <w:r w:rsidRPr="000335BB">
          <w:rPr>
            <w:rFonts w:ascii="Times New Roman" w:hAnsi="Times New Roman" w:cs="Times New Roman"/>
            <w:sz w:val="24"/>
          </w:rPr>
          <w:instrText>PAGE   \* MERGEFORMAT</w:instrText>
        </w:r>
        <w:r w:rsidRPr="000335BB">
          <w:rPr>
            <w:rFonts w:ascii="Times New Roman" w:hAnsi="Times New Roman" w:cs="Times New Roman"/>
            <w:sz w:val="24"/>
          </w:rPr>
          <w:fldChar w:fldCharType="separate"/>
        </w:r>
        <w:r>
          <w:rPr>
            <w:rFonts w:ascii="Times New Roman" w:hAnsi="Times New Roman" w:cs="Times New Roman"/>
            <w:noProof/>
            <w:sz w:val="24"/>
          </w:rPr>
          <w:t>2</w:t>
        </w:r>
        <w:r w:rsidRPr="000335BB">
          <w:rPr>
            <w:rFonts w:ascii="Times New Roman" w:hAnsi="Times New Roman" w:cs="Times New Roman"/>
            <w:sz w:val="24"/>
          </w:rPr>
          <w:fldChar w:fldCharType="end"/>
        </w:r>
      </w:p>
    </w:sdtContent>
  </w:sdt>
  <w:p w:rsidR="003059DA" w:rsidRPr="00CC7883" w:rsidRDefault="003059DA">
    <w:pPr>
      <w:pStyle w:val="af4"/>
      <w:rPr>
        <w:rFonts w:hint="eastAsia"/>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4"/>
      <w:jc w:val="right"/>
      <w:rPr>
        <w:rFonts w:hint="eastAsia"/>
      </w:rPr>
    </w:pPr>
  </w:p>
  <w:p w:rsidR="003059DA" w:rsidRPr="00CC7883" w:rsidRDefault="003059DA">
    <w:pPr>
      <w:pStyle w:val="af4"/>
      <w:rPr>
        <w:rFonts w:hint="eastAsia"/>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9099861"/>
      <w:docPartObj>
        <w:docPartGallery w:val="Page Numbers (Top of Page)"/>
        <w:docPartUnique/>
      </w:docPartObj>
    </w:sdtPr>
    <w:sdtContent>
      <w:p w:rsidR="003059DA" w:rsidRPr="00CC7883" w:rsidRDefault="003059DA">
        <w:pPr>
          <w:pStyle w:val="af4"/>
          <w:jc w:val="right"/>
          <w:rPr>
            <w:rFonts w:hint="eastAsia"/>
          </w:rPr>
        </w:pPr>
        <w:r w:rsidRPr="00CC7883">
          <w:rPr>
            <w:rFonts w:ascii="Times New Roman" w:hAnsi="Times New Roman" w:cs="Times New Roman"/>
            <w:sz w:val="24"/>
          </w:rPr>
          <w:fldChar w:fldCharType="begin"/>
        </w:r>
        <w:r w:rsidRPr="00CC7883">
          <w:rPr>
            <w:rFonts w:ascii="Times New Roman" w:hAnsi="Times New Roman" w:cs="Times New Roman"/>
            <w:sz w:val="24"/>
          </w:rPr>
          <w:instrText>PAGE   \* MERGEFORMAT</w:instrText>
        </w:r>
        <w:r w:rsidRPr="00CC7883">
          <w:rPr>
            <w:rFonts w:ascii="Times New Roman" w:hAnsi="Times New Roman" w:cs="Times New Roman"/>
            <w:sz w:val="24"/>
          </w:rPr>
          <w:fldChar w:fldCharType="separate"/>
        </w:r>
        <w:r>
          <w:rPr>
            <w:rFonts w:ascii="Times New Roman" w:hAnsi="Times New Roman" w:cs="Times New Roman"/>
            <w:noProof/>
            <w:sz w:val="24"/>
          </w:rPr>
          <w:t>125</w:t>
        </w:r>
        <w:r w:rsidRPr="00CC7883">
          <w:rPr>
            <w:rFonts w:ascii="Times New Roman" w:hAnsi="Times New Roman" w:cs="Times New Roman"/>
            <w:sz w:val="24"/>
          </w:rPr>
          <w:fldChar w:fldCharType="end"/>
        </w:r>
      </w:p>
    </w:sdtContent>
  </w:sdt>
  <w:p w:rsidR="003059DA" w:rsidRPr="00CC7883" w:rsidRDefault="003059DA">
    <w:pPr>
      <w:pStyle w:val="af4"/>
      <w:rPr>
        <w:rFonts w:hint="eastAsia"/>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4"/>
      <w:jc w:val="right"/>
      <w:rPr>
        <w:rFonts w:hint="eastAsia"/>
      </w:rPr>
    </w:pPr>
  </w:p>
  <w:p w:rsidR="003059DA" w:rsidRPr="00CC7883" w:rsidRDefault="003059DA">
    <w:pPr>
      <w:pStyle w:val="af4"/>
      <w:rPr>
        <w:rFonts w:hint="eastAsia"/>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12324299"/>
      <w:docPartObj>
        <w:docPartGallery w:val="Page Numbers (Top of Page)"/>
        <w:docPartUnique/>
      </w:docPartObj>
    </w:sdtPr>
    <w:sdtEndPr>
      <w:rPr>
        <w:rFonts w:ascii="Times New Roman" w:hAnsi="Times New Roman" w:cs="Times New Roman"/>
        <w:sz w:val="24"/>
      </w:rPr>
    </w:sdtEndPr>
    <w:sdtContent>
      <w:p w:rsidR="003059DA" w:rsidRPr="00CC7883" w:rsidRDefault="003059DA">
        <w:pPr>
          <w:pStyle w:val="af4"/>
          <w:jc w:val="right"/>
          <w:rPr>
            <w:rFonts w:ascii="Times New Roman" w:hAnsi="Times New Roman" w:cs="Times New Roman"/>
            <w:sz w:val="24"/>
          </w:rPr>
        </w:pPr>
        <w:r w:rsidRPr="00CC7883">
          <w:rPr>
            <w:rFonts w:ascii="Times New Roman" w:hAnsi="Times New Roman" w:cs="Times New Roman"/>
            <w:sz w:val="24"/>
          </w:rPr>
          <w:fldChar w:fldCharType="begin"/>
        </w:r>
        <w:r w:rsidRPr="00CC7883">
          <w:rPr>
            <w:rFonts w:ascii="Times New Roman" w:hAnsi="Times New Roman" w:cs="Times New Roman"/>
            <w:sz w:val="24"/>
          </w:rPr>
          <w:instrText>PAGE   \* MERGEFORMAT</w:instrText>
        </w:r>
        <w:r w:rsidRPr="00CC7883">
          <w:rPr>
            <w:rFonts w:ascii="Times New Roman" w:hAnsi="Times New Roman" w:cs="Times New Roman"/>
            <w:sz w:val="24"/>
          </w:rPr>
          <w:fldChar w:fldCharType="separate"/>
        </w:r>
        <w:r w:rsidR="002424C1">
          <w:rPr>
            <w:rFonts w:ascii="Times New Roman" w:hAnsi="Times New Roman" w:cs="Times New Roman"/>
            <w:noProof/>
            <w:sz w:val="24"/>
          </w:rPr>
          <w:t>188</w:t>
        </w:r>
        <w:r w:rsidRPr="00CC7883">
          <w:rPr>
            <w:rFonts w:ascii="Times New Roman" w:hAnsi="Times New Roman" w:cs="Times New Roman"/>
            <w:sz w:val="24"/>
          </w:rPr>
          <w:fldChar w:fldCharType="end"/>
        </w:r>
      </w:p>
    </w:sdtContent>
  </w:sdt>
  <w:p w:rsidR="003059DA" w:rsidRPr="00CC7883" w:rsidRDefault="003059DA">
    <w:pPr>
      <w:pStyle w:val="af4"/>
      <w:rPr>
        <w:rFonts w:hint="eastAsia"/>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4"/>
      <w:jc w:val="right"/>
      <w:rPr>
        <w:rFonts w:hint="eastAsia"/>
      </w:rPr>
    </w:pPr>
  </w:p>
  <w:p w:rsidR="003059DA" w:rsidRPr="00CC7883" w:rsidRDefault="003059DA">
    <w:pPr>
      <w:pStyle w:val="af4"/>
      <w:rPr>
        <w:rFonts w:hint="eastAsia"/>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7510514"/>
      <w:docPartObj>
        <w:docPartGallery w:val="Page Numbers (Top of Page)"/>
        <w:docPartUnique/>
      </w:docPartObj>
    </w:sdtPr>
    <w:sdtEndPr>
      <w:rPr>
        <w:rFonts w:ascii="Times New Roman" w:hAnsi="Times New Roman" w:cs="Times New Roman"/>
        <w:sz w:val="24"/>
      </w:rPr>
    </w:sdtEndPr>
    <w:sdtContent>
      <w:p w:rsidR="003059DA" w:rsidRPr="00CC7883" w:rsidRDefault="003059DA">
        <w:pPr>
          <w:pStyle w:val="af4"/>
          <w:jc w:val="right"/>
          <w:rPr>
            <w:rFonts w:ascii="Times New Roman" w:hAnsi="Times New Roman" w:cs="Times New Roman"/>
            <w:sz w:val="24"/>
          </w:rPr>
        </w:pPr>
        <w:r w:rsidRPr="00CC7883">
          <w:rPr>
            <w:rFonts w:ascii="Times New Roman" w:hAnsi="Times New Roman" w:cs="Times New Roman"/>
            <w:sz w:val="24"/>
          </w:rPr>
          <w:fldChar w:fldCharType="begin"/>
        </w:r>
        <w:r w:rsidRPr="00CC7883">
          <w:rPr>
            <w:rFonts w:ascii="Times New Roman" w:hAnsi="Times New Roman" w:cs="Times New Roman"/>
            <w:sz w:val="24"/>
          </w:rPr>
          <w:instrText>PAGE   \* MERGEFORMAT</w:instrText>
        </w:r>
        <w:r w:rsidRPr="00CC7883">
          <w:rPr>
            <w:rFonts w:ascii="Times New Roman" w:hAnsi="Times New Roman" w:cs="Times New Roman"/>
            <w:sz w:val="24"/>
          </w:rPr>
          <w:fldChar w:fldCharType="separate"/>
        </w:r>
        <w:r w:rsidR="002424C1">
          <w:rPr>
            <w:rFonts w:ascii="Times New Roman" w:hAnsi="Times New Roman" w:cs="Times New Roman"/>
            <w:noProof/>
            <w:sz w:val="24"/>
          </w:rPr>
          <w:t>222</w:t>
        </w:r>
        <w:r w:rsidRPr="00CC7883">
          <w:rPr>
            <w:rFonts w:ascii="Times New Roman" w:hAnsi="Times New Roman" w:cs="Times New Roman"/>
            <w:sz w:val="24"/>
          </w:rPr>
          <w:fldChar w:fldCharType="end"/>
        </w:r>
      </w:p>
    </w:sdtContent>
  </w:sdt>
  <w:p w:rsidR="003059DA" w:rsidRPr="00CC7883" w:rsidRDefault="003059DA">
    <w:pPr>
      <w:pStyle w:val="af4"/>
      <w:rPr>
        <w:rFonts w:hint="eastAsia"/>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4"/>
      <w:jc w:val="right"/>
      <w:rPr>
        <w:rFonts w:hint="eastAsia"/>
      </w:rPr>
    </w:pPr>
  </w:p>
  <w:p w:rsidR="003059DA" w:rsidRPr="00CC7883" w:rsidRDefault="003059DA">
    <w:pPr>
      <w:pStyle w:val="af4"/>
      <w:rPr>
        <w:rFonts w:hint="eastAsia"/>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383280"/>
      <w:docPartObj>
        <w:docPartGallery w:val="Page Numbers (Top of Page)"/>
        <w:docPartUnique/>
      </w:docPartObj>
    </w:sdtPr>
    <w:sdtEndPr>
      <w:rPr>
        <w:rFonts w:ascii="Times New Roman" w:hAnsi="Times New Roman" w:cs="Times New Roman"/>
        <w:sz w:val="24"/>
      </w:rPr>
    </w:sdtEndPr>
    <w:sdtContent>
      <w:p w:rsidR="003059DA" w:rsidRPr="00CC7883" w:rsidRDefault="003059DA">
        <w:pPr>
          <w:pStyle w:val="af4"/>
          <w:jc w:val="right"/>
          <w:rPr>
            <w:rFonts w:ascii="Times New Roman" w:hAnsi="Times New Roman" w:cs="Times New Roman"/>
            <w:sz w:val="24"/>
          </w:rPr>
        </w:pPr>
        <w:r w:rsidRPr="00CC7883">
          <w:rPr>
            <w:rFonts w:ascii="Times New Roman" w:hAnsi="Times New Roman" w:cs="Times New Roman"/>
            <w:sz w:val="24"/>
          </w:rPr>
          <w:fldChar w:fldCharType="begin"/>
        </w:r>
        <w:r w:rsidRPr="00CC7883">
          <w:rPr>
            <w:rFonts w:ascii="Times New Roman" w:hAnsi="Times New Roman" w:cs="Times New Roman"/>
            <w:sz w:val="24"/>
          </w:rPr>
          <w:instrText>PAGE   \* MERGEFORMAT</w:instrText>
        </w:r>
        <w:r w:rsidRPr="00CC7883">
          <w:rPr>
            <w:rFonts w:ascii="Times New Roman" w:hAnsi="Times New Roman" w:cs="Times New Roman"/>
            <w:sz w:val="24"/>
          </w:rPr>
          <w:fldChar w:fldCharType="separate"/>
        </w:r>
        <w:r w:rsidR="00B83A87">
          <w:rPr>
            <w:rFonts w:ascii="Times New Roman" w:hAnsi="Times New Roman" w:cs="Times New Roman"/>
            <w:noProof/>
            <w:sz w:val="24"/>
          </w:rPr>
          <w:t>241</w:t>
        </w:r>
        <w:r w:rsidRPr="00CC7883">
          <w:rPr>
            <w:rFonts w:ascii="Times New Roman" w:hAnsi="Times New Roman" w:cs="Times New Roman"/>
            <w:sz w:val="24"/>
          </w:rPr>
          <w:fldChar w:fldCharType="end"/>
        </w:r>
      </w:p>
    </w:sdtContent>
  </w:sdt>
  <w:p w:rsidR="003059DA" w:rsidRPr="00CC7883" w:rsidRDefault="003059DA">
    <w:pPr>
      <w:pStyle w:val="af4"/>
      <w:rPr>
        <w:rFonts w:hint="eastAsia"/>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4"/>
      <w:jc w:val="right"/>
      <w:rPr>
        <w:rFonts w:hint="eastAsia"/>
      </w:rPr>
    </w:pPr>
  </w:p>
  <w:p w:rsidR="003059DA" w:rsidRPr="00CC7883" w:rsidRDefault="003059DA">
    <w:pPr>
      <w:pStyle w:val="af4"/>
      <w:rPr>
        <w:rFonts w:hint="eastAsia"/>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01304397"/>
      <w:docPartObj>
        <w:docPartGallery w:val="Page Numbers (Top of Page)"/>
        <w:docPartUnique/>
      </w:docPartObj>
    </w:sdtPr>
    <w:sdtEndPr>
      <w:rPr>
        <w:rFonts w:ascii="Times New Roman" w:hAnsi="Times New Roman" w:cs="Times New Roman"/>
        <w:sz w:val="24"/>
      </w:rPr>
    </w:sdtEndPr>
    <w:sdtContent>
      <w:p w:rsidR="003059DA" w:rsidRPr="00CC7883" w:rsidRDefault="003059DA">
        <w:pPr>
          <w:pStyle w:val="af4"/>
          <w:jc w:val="right"/>
          <w:rPr>
            <w:rFonts w:ascii="Times New Roman" w:hAnsi="Times New Roman" w:cs="Times New Roman"/>
            <w:sz w:val="24"/>
          </w:rPr>
        </w:pPr>
        <w:r w:rsidRPr="00CC7883">
          <w:rPr>
            <w:rFonts w:ascii="Times New Roman" w:hAnsi="Times New Roman" w:cs="Times New Roman"/>
            <w:sz w:val="24"/>
          </w:rPr>
          <w:fldChar w:fldCharType="begin"/>
        </w:r>
        <w:r w:rsidRPr="00CC7883">
          <w:rPr>
            <w:rFonts w:ascii="Times New Roman" w:hAnsi="Times New Roman" w:cs="Times New Roman"/>
            <w:sz w:val="24"/>
          </w:rPr>
          <w:instrText>PAGE   \* MERGEFORMAT</w:instrText>
        </w:r>
        <w:r w:rsidRPr="00CC7883">
          <w:rPr>
            <w:rFonts w:ascii="Times New Roman" w:hAnsi="Times New Roman" w:cs="Times New Roman"/>
            <w:sz w:val="24"/>
          </w:rPr>
          <w:fldChar w:fldCharType="separate"/>
        </w:r>
        <w:r w:rsidR="00B83A87">
          <w:rPr>
            <w:rFonts w:ascii="Times New Roman" w:hAnsi="Times New Roman" w:cs="Times New Roman"/>
            <w:noProof/>
            <w:sz w:val="24"/>
          </w:rPr>
          <w:t>246</w:t>
        </w:r>
        <w:r w:rsidRPr="00CC7883">
          <w:rPr>
            <w:rFonts w:ascii="Times New Roman" w:hAnsi="Times New Roman" w:cs="Times New Roman"/>
            <w:sz w:val="24"/>
          </w:rPr>
          <w:fldChar w:fldCharType="end"/>
        </w:r>
      </w:p>
    </w:sdtContent>
  </w:sdt>
  <w:p w:rsidR="003059DA" w:rsidRPr="00CC7883" w:rsidRDefault="003059DA">
    <w:pPr>
      <w:pStyle w:val="af4"/>
      <w:rPr>
        <w:rFonts w:hint="eastAsia"/>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4"/>
      <w:jc w:val="right"/>
      <w:rPr>
        <w:rFonts w:hint="eastAsia"/>
      </w:rPr>
    </w:pPr>
  </w:p>
  <w:p w:rsidR="003059DA" w:rsidRPr="00CC7883" w:rsidRDefault="003059DA">
    <w:pPr>
      <w:pStyle w:val="af4"/>
      <w:rPr>
        <w:rFonts w:hint="eastAsia"/>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2389649"/>
      <w:docPartObj>
        <w:docPartGallery w:val="Page Numbers (Top of Page)"/>
        <w:docPartUnique/>
      </w:docPartObj>
    </w:sdtPr>
    <w:sdtEndPr>
      <w:rPr>
        <w:rFonts w:ascii="Times New Roman" w:hAnsi="Times New Roman" w:cs="Times New Roman"/>
        <w:sz w:val="24"/>
      </w:rPr>
    </w:sdtEndPr>
    <w:sdtContent>
      <w:p w:rsidR="003059DA" w:rsidRPr="00CC7883" w:rsidRDefault="003059DA">
        <w:pPr>
          <w:pStyle w:val="af4"/>
          <w:jc w:val="right"/>
          <w:rPr>
            <w:rFonts w:ascii="Times New Roman" w:hAnsi="Times New Roman" w:cs="Times New Roman"/>
            <w:sz w:val="24"/>
          </w:rPr>
        </w:pPr>
        <w:r w:rsidRPr="00CC7883">
          <w:rPr>
            <w:rFonts w:ascii="Times New Roman" w:hAnsi="Times New Roman" w:cs="Times New Roman"/>
            <w:sz w:val="24"/>
          </w:rPr>
          <w:fldChar w:fldCharType="begin"/>
        </w:r>
        <w:r w:rsidRPr="00CC7883">
          <w:rPr>
            <w:rFonts w:ascii="Times New Roman" w:hAnsi="Times New Roman" w:cs="Times New Roman"/>
            <w:sz w:val="24"/>
          </w:rPr>
          <w:instrText>PAGE   \* MERGEFORMAT</w:instrText>
        </w:r>
        <w:r w:rsidRPr="00CC7883">
          <w:rPr>
            <w:rFonts w:ascii="Times New Roman" w:hAnsi="Times New Roman" w:cs="Times New Roman"/>
            <w:sz w:val="24"/>
          </w:rPr>
          <w:fldChar w:fldCharType="separate"/>
        </w:r>
        <w:r w:rsidR="00B83A87">
          <w:rPr>
            <w:rFonts w:ascii="Times New Roman" w:hAnsi="Times New Roman" w:cs="Times New Roman"/>
            <w:noProof/>
            <w:sz w:val="24"/>
          </w:rPr>
          <w:t>316</w:t>
        </w:r>
        <w:r w:rsidRPr="00CC7883">
          <w:rPr>
            <w:rFonts w:ascii="Times New Roman" w:hAnsi="Times New Roman" w:cs="Times New Roman"/>
            <w:sz w:val="24"/>
          </w:rPr>
          <w:fldChar w:fldCharType="end"/>
        </w:r>
      </w:p>
    </w:sdtContent>
  </w:sdt>
  <w:p w:rsidR="003059DA" w:rsidRPr="00CC7883" w:rsidRDefault="003059DA">
    <w:pPr>
      <w:pStyle w:val="af4"/>
      <w:rPr>
        <w:rFonts w:hint="eastAsia"/>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4"/>
      <w:jc w:val="right"/>
      <w:rPr>
        <w:rFonts w:hint="eastAsia"/>
      </w:rPr>
    </w:pPr>
  </w:p>
  <w:p w:rsidR="003059DA" w:rsidRPr="00CC7883" w:rsidRDefault="003059DA">
    <w:pPr>
      <w:pStyle w:val="af4"/>
      <w:rPr>
        <w:rFonts w:hint="eastAsia"/>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59DA" w:rsidRPr="00CC7883" w:rsidRDefault="003059DA">
    <w:pPr>
      <w:pStyle w:val="af4"/>
      <w:jc w:val="right"/>
      <w:rPr>
        <w:rFonts w:hint="eastAsia"/>
      </w:rPr>
    </w:pPr>
  </w:p>
  <w:p w:rsidR="003059DA" w:rsidRPr="00CC7883" w:rsidRDefault="003059DA">
    <w:pPr>
      <w:pStyle w:val="af4"/>
      <w:rPr>
        <w:rFonts w:hint="eastAsia"/>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9795F"/>
    <w:multiLevelType w:val="hybridMultilevel"/>
    <w:tmpl w:val="DA9639BA"/>
    <w:lvl w:ilvl="0" w:tplc="0422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nsid w:val="00207BB5"/>
    <w:multiLevelType w:val="hybridMultilevel"/>
    <w:tmpl w:val="F9388834"/>
    <w:lvl w:ilvl="0" w:tplc="C1A09302">
      <w:start w:val="1"/>
      <w:numFmt w:val="decimal"/>
      <w:lvlText w:val="%1."/>
      <w:lvlJc w:val="left"/>
      <w:pPr>
        <w:ind w:left="720" w:hanging="360"/>
      </w:pPr>
      <w:rPr>
        <w:rFonts w:eastAsia="Times New Roman" w:hint="default"/>
        <w:sz w:val="28"/>
        <w:szCs w:val="28"/>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2040E1A"/>
    <w:multiLevelType w:val="multilevel"/>
    <w:tmpl w:val="7E66AB38"/>
    <w:lvl w:ilvl="0">
      <w:numFmt w:val="bullet"/>
      <w:lvlText w:val="–"/>
      <w:lvlJc w:val="left"/>
      <w:pPr>
        <w:tabs>
          <w:tab w:val="num" w:pos="720"/>
        </w:tabs>
        <w:ind w:left="720" w:hanging="360"/>
      </w:pPr>
      <w:rPr>
        <w:rFonts w:ascii="Times New Roman" w:eastAsia="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544149"/>
    <w:multiLevelType w:val="hybridMultilevel"/>
    <w:tmpl w:val="4F2CDC52"/>
    <w:styleLink w:val="WWNum52"/>
    <w:lvl w:ilvl="0" w:tplc="2754358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0F42DA"/>
    <w:multiLevelType w:val="hybridMultilevel"/>
    <w:tmpl w:val="6A62C7F6"/>
    <w:lvl w:ilvl="0" w:tplc="0422000F">
      <w:start w:val="1"/>
      <w:numFmt w:val="decimal"/>
      <w:lvlText w:val="%1."/>
      <w:lvlJc w:val="left"/>
      <w:pPr>
        <w:ind w:left="720" w:hanging="360"/>
      </w:pPr>
      <w:rPr>
        <w:rFonts w:eastAsia="Times New Roman"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13560FC3"/>
    <w:multiLevelType w:val="hybridMultilevel"/>
    <w:tmpl w:val="D85CCFE4"/>
    <w:lvl w:ilvl="0" w:tplc="FDF68252">
      <w:start w:val="1"/>
      <w:numFmt w:val="bullet"/>
      <w:lvlText w:val=""/>
      <w:lvlJc w:val="left"/>
      <w:pPr>
        <w:ind w:left="360" w:hanging="360"/>
      </w:pPr>
      <w:rPr>
        <w:rFonts w:ascii="Wingdings" w:hAnsi="Wingdings"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A002059"/>
    <w:multiLevelType w:val="hybridMultilevel"/>
    <w:tmpl w:val="469ADF88"/>
    <w:lvl w:ilvl="0" w:tplc="0419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26763745"/>
    <w:multiLevelType w:val="hybridMultilevel"/>
    <w:tmpl w:val="57665E4C"/>
    <w:lvl w:ilvl="0" w:tplc="8F7AD57A">
      <w:start w:val="1"/>
      <w:numFmt w:val="decimal"/>
      <w:lvlText w:val="%1."/>
      <w:lvlJc w:val="left"/>
      <w:pPr>
        <w:ind w:left="720" w:hanging="360"/>
      </w:pPr>
      <w:rPr>
        <w:rFonts w:ascii="Times New Roman" w:hAnsi="Times New Roman" w:cs="Times New Roman"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0962CC3"/>
    <w:multiLevelType w:val="hybridMultilevel"/>
    <w:tmpl w:val="7800FE1C"/>
    <w:lvl w:ilvl="0" w:tplc="497C9818">
      <w:start w:val="4"/>
      <w:numFmt w:val="bullet"/>
      <w:lvlText w:val="–"/>
      <w:lvlJc w:val="left"/>
      <w:pPr>
        <w:ind w:left="720" w:hanging="360"/>
      </w:pPr>
      <w:rPr>
        <w:rFonts w:ascii="Calibri" w:eastAsia="SimSun" w:hAnsi="Calibri" w:cs="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334946F2"/>
    <w:multiLevelType w:val="hybridMultilevel"/>
    <w:tmpl w:val="C7605C70"/>
    <w:lvl w:ilvl="0" w:tplc="041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48D42C8"/>
    <w:multiLevelType w:val="hybridMultilevel"/>
    <w:tmpl w:val="BE207382"/>
    <w:lvl w:ilvl="0" w:tplc="C2DC065E">
      <w:start w:val="4"/>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73D5DAA"/>
    <w:multiLevelType w:val="hybridMultilevel"/>
    <w:tmpl w:val="37C03EBA"/>
    <w:lvl w:ilvl="0" w:tplc="497C9818">
      <w:start w:val="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9C16C16"/>
    <w:multiLevelType w:val="multilevel"/>
    <w:tmpl w:val="AC466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A4522F1"/>
    <w:multiLevelType w:val="hybridMultilevel"/>
    <w:tmpl w:val="19AE9F40"/>
    <w:lvl w:ilvl="0" w:tplc="56C8D0F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F3B6E10"/>
    <w:multiLevelType w:val="hybridMultilevel"/>
    <w:tmpl w:val="A2F8A50E"/>
    <w:lvl w:ilvl="0" w:tplc="91749B38">
      <w:start w:val="1"/>
      <w:numFmt w:val="decimal"/>
      <w:lvlText w:val="%1."/>
      <w:lvlJc w:val="left"/>
      <w:pPr>
        <w:ind w:left="720" w:hanging="360"/>
      </w:pPr>
      <w:rPr>
        <w:rFonts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2613940"/>
    <w:multiLevelType w:val="hybridMultilevel"/>
    <w:tmpl w:val="10FCD70E"/>
    <w:lvl w:ilvl="0" w:tplc="0419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49A21179"/>
    <w:multiLevelType w:val="hybridMultilevel"/>
    <w:tmpl w:val="DC86B3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CDA1070"/>
    <w:multiLevelType w:val="hybridMultilevel"/>
    <w:tmpl w:val="74C6694E"/>
    <w:lvl w:ilvl="0" w:tplc="1A9E656E">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DBD0F16"/>
    <w:multiLevelType w:val="hybridMultilevel"/>
    <w:tmpl w:val="FECC97E0"/>
    <w:lvl w:ilvl="0" w:tplc="497C9818">
      <w:start w:val="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06C7DEE"/>
    <w:multiLevelType w:val="hybridMultilevel"/>
    <w:tmpl w:val="84A4FE8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nsid w:val="544E0D9E"/>
    <w:multiLevelType w:val="hybridMultilevel"/>
    <w:tmpl w:val="2A00C48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5781D9B"/>
    <w:multiLevelType w:val="hybridMultilevel"/>
    <w:tmpl w:val="C70480BC"/>
    <w:lvl w:ilvl="0" w:tplc="0422000F">
      <w:start w:val="5"/>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nsid w:val="558A5A81"/>
    <w:multiLevelType w:val="hybridMultilevel"/>
    <w:tmpl w:val="96BE76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93D41E0"/>
    <w:multiLevelType w:val="multilevel"/>
    <w:tmpl w:val="D93C73DC"/>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nsid w:val="595C71F4"/>
    <w:multiLevelType w:val="multilevel"/>
    <w:tmpl w:val="6E7C166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A2920C3"/>
    <w:multiLevelType w:val="hybridMultilevel"/>
    <w:tmpl w:val="866C3D66"/>
    <w:lvl w:ilvl="0" w:tplc="DB609F4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6">
    <w:nsid w:val="5B8A7CB4"/>
    <w:multiLevelType w:val="hybridMultilevel"/>
    <w:tmpl w:val="6B2C0CA4"/>
    <w:lvl w:ilvl="0" w:tplc="4F700068">
      <w:start w:val="1"/>
      <w:numFmt w:val="decimal"/>
      <w:lvlText w:val="%1."/>
      <w:lvlJc w:val="left"/>
      <w:pPr>
        <w:ind w:left="720" w:hanging="360"/>
      </w:pPr>
      <w:rPr>
        <w:rFonts w:ascii="Times New Roman" w:eastAsiaTheme="minorHAnsi"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BCF5C67"/>
    <w:multiLevelType w:val="hybridMultilevel"/>
    <w:tmpl w:val="263ADEEA"/>
    <w:lvl w:ilvl="0" w:tplc="497C9818">
      <w:start w:val="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52A3B28"/>
    <w:multiLevelType w:val="multilevel"/>
    <w:tmpl w:val="6E1CC2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54C6209"/>
    <w:multiLevelType w:val="hybridMultilevel"/>
    <w:tmpl w:val="8EC0DD6E"/>
    <w:lvl w:ilvl="0" w:tplc="0419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nsid w:val="655837CA"/>
    <w:multiLevelType w:val="hybridMultilevel"/>
    <w:tmpl w:val="9020C04C"/>
    <w:lvl w:ilvl="0" w:tplc="D27A0C4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5DA18B5"/>
    <w:multiLevelType w:val="hybridMultilevel"/>
    <w:tmpl w:val="08143276"/>
    <w:lvl w:ilvl="0" w:tplc="D8B055FC">
      <w:start w:val="2"/>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2">
    <w:nsid w:val="66187CC3"/>
    <w:multiLevelType w:val="hybridMultilevel"/>
    <w:tmpl w:val="C37ABF8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6895774"/>
    <w:multiLevelType w:val="hybridMultilevel"/>
    <w:tmpl w:val="14EC2ACC"/>
    <w:lvl w:ilvl="0" w:tplc="4E48B52C">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9936DB5"/>
    <w:multiLevelType w:val="hybridMultilevel"/>
    <w:tmpl w:val="CA42BF46"/>
    <w:lvl w:ilvl="0" w:tplc="0419000D">
      <w:start w:val="1"/>
      <w:numFmt w:val="bullet"/>
      <w:lvlText w:val=""/>
      <w:lvlJc w:val="left"/>
      <w:pPr>
        <w:ind w:left="720" w:hanging="360"/>
      </w:pPr>
      <w:rPr>
        <w:rFonts w:ascii="Wingdings" w:hAnsi="Wingdings" w:hint="default"/>
      </w:rPr>
    </w:lvl>
    <w:lvl w:ilvl="1" w:tplc="8B584AAA">
      <w:numFmt w:val="bullet"/>
      <w:lvlText w:val="–"/>
      <w:lvlJc w:val="left"/>
      <w:pPr>
        <w:ind w:left="1800" w:hanging="720"/>
      </w:pPr>
      <w:rPr>
        <w:rFonts w:ascii="Times New Roman" w:eastAsiaTheme="minorHAns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B00249A"/>
    <w:multiLevelType w:val="hybridMultilevel"/>
    <w:tmpl w:val="40DA5E06"/>
    <w:lvl w:ilvl="0" w:tplc="0422000F">
      <w:start w:val="8"/>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6">
    <w:nsid w:val="6CC74AC1"/>
    <w:multiLevelType w:val="hybridMultilevel"/>
    <w:tmpl w:val="4200595A"/>
    <w:lvl w:ilvl="0" w:tplc="497C9818">
      <w:start w:val="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E85026"/>
    <w:multiLevelType w:val="hybridMultilevel"/>
    <w:tmpl w:val="ECDE8F4E"/>
    <w:lvl w:ilvl="0" w:tplc="497C9818">
      <w:start w:val="4"/>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E452028"/>
    <w:multiLevelType w:val="multilevel"/>
    <w:tmpl w:val="A77CB414"/>
    <w:styleLink w:val="WWNum5"/>
    <w:lvl w:ilvl="0">
      <w:numFmt w:val="bullet"/>
      <w:lvlText w:val="-"/>
      <w:lvlJc w:val="left"/>
      <w:pPr>
        <w:ind w:left="1069" w:hanging="360"/>
      </w:pPr>
      <w:rPr>
        <w:rFonts w:ascii="Times New Roman" w:eastAsia="Calibri" w:hAnsi="Times New Roman" w:cs="Times New Roman"/>
      </w:rPr>
    </w:lvl>
    <w:lvl w:ilvl="1">
      <w:numFmt w:val="bullet"/>
      <w:lvlText w:val="o"/>
      <w:lvlJc w:val="left"/>
      <w:pPr>
        <w:ind w:left="1789" w:hanging="360"/>
      </w:pPr>
      <w:rPr>
        <w:rFonts w:ascii="Courier New" w:hAnsi="Courier New" w:cs="Courier New"/>
      </w:rPr>
    </w:lvl>
    <w:lvl w:ilvl="2">
      <w:numFmt w:val="bullet"/>
      <w:lvlText w:val=""/>
      <w:lvlJc w:val="left"/>
      <w:pPr>
        <w:ind w:left="2509" w:hanging="360"/>
      </w:pPr>
      <w:rPr>
        <w:rFonts w:ascii="Wingdings" w:hAnsi="Wingdings"/>
      </w:rPr>
    </w:lvl>
    <w:lvl w:ilvl="3">
      <w:numFmt w:val="bullet"/>
      <w:lvlText w:val=""/>
      <w:lvlJc w:val="left"/>
      <w:pPr>
        <w:ind w:left="3229" w:hanging="360"/>
      </w:pPr>
      <w:rPr>
        <w:rFonts w:ascii="Symbol" w:hAnsi="Symbol"/>
      </w:rPr>
    </w:lvl>
    <w:lvl w:ilvl="4">
      <w:numFmt w:val="bullet"/>
      <w:lvlText w:val="o"/>
      <w:lvlJc w:val="left"/>
      <w:pPr>
        <w:ind w:left="3949" w:hanging="360"/>
      </w:pPr>
      <w:rPr>
        <w:rFonts w:ascii="Courier New" w:hAnsi="Courier New" w:cs="Courier New"/>
      </w:rPr>
    </w:lvl>
    <w:lvl w:ilvl="5">
      <w:numFmt w:val="bullet"/>
      <w:lvlText w:val=""/>
      <w:lvlJc w:val="left"/>
      <w:pPr>
        <w:ind w:left="4669" w:hanging="360"/>
      </w:pPr>
      <w:rPr>
        <w:rFonts w:ascii="Wingdings" w:hAnsi="Wingdings"/>
      </w:rPr>
    </w:lvl>
    <w:lvl w:ilvl="6">
      <w:numFmt w:val="bullet"/>
      <w:lvlText w:val=""/>
      <w:lvlJc w:val="left"/>
      <w:pPr>
        <w:ind w:left="5389" w:hanging="360"/>
      </w:pPr>
      <w:rPr>
        <w:rFonts w:ascii="Symbol" w:hAnsi="Symbol"/>
      </w:rPr>
    </w:lvl>
    <w:lvl w:ilvl="7">
      <w:numFmt w:val="bullet"/>
      <w:lvlText w:val="o"/>
      <w:lvlJc w:val="left"/>
      <w:pPr>
        <w:ind w:left="6109" w:hanging="360"/>
      </w:pPr>
      <w:rPr>
        <w:rFonts w:ascii="Courier New" w:hAnsi="Courier New" w:cs="Courier New"/>
      </w:rPr>
    </w:lvl>
    <w:lvl w:ilvl="8">
      <w:numFmt w:val="bullet"/>
      <w:lvlText w:val=""/>
      <w:lvlJc w:val="left"/>
      <w:pPr>
        <w:ind w:left="6829" w:hanging="360"/>
      </w:pPr>
      <w:rPr>
        <w:rFonts w:ascii="Wingdings" w:hAnsi="Wingdings"/>
      </w:rPr>
    </w:lvl>
  </w:abstractNum>
  <w:abstractNum w:abstractNumId="39">
    <w:nsid w:val="73A13B17"/>
    <w:multiLevelType w:val="multilevel"/>
    <w:tmpl w:val="DA627CAA"/>
    <w:lvl w:ilvl="0">
      <w:start w:val="1"/>
      <w:numFmt w:val="decimal"/>
      <w:lvlText w:val="%1."/>
      <w:lvlJc w:val="left"/>
      <w:pPr>
        <w:ind w:left="432" w:hanging="432"/>
      </w:pPr>
      <w:rPr>
        <w:rFonts w:ascii="Times New Roman" w:eastAsia="Times New Roman" w:hAnsi="Times New Roman" w:cs="Times New Roman" w:hint="default"/>
        <w:i/>
        <w:sz w:val="28"/>
      </w:rPr>
    </w:lvl>
    <w:lvl w:ilvl="1">
      <w:start w:val="1"/>
      <w:numFmt w:val="decimal"/>
      <w:lvlText w:val="%1.%2."/>
      <w:lvlJc w:val="left"/>
      <w:pPr>
        <w:ind w:left="1283" w:hanging="432"/>
      </w:pPr>
      <w:rPr>
        <w:rFonts w:ascii="Times New Roman" w:eastAsia="Times New Roman" w:hAnsi="Times New Roman" w:cs="Times New Roman" w:hint="default"/>
        <w:b/>
        <w:i w:val="0"/>
        <w:sz w:val="28"/>
      </w:rPr>
    </w:lvl>
    <w:lvl w:ilvl="2">
      <w:start w:val="1"/>
      <w:numFmt w:val="decimal"/>
      <w:lvlText w:val="%1.%2.%3."/>
      <w:lvlJc w:val="left"/>
      <w:pPr>
        <w:ind w:left="2856" w:hanging="720"/>
      </w:pPr>
      <w:rPr>
        <w:rFonts w:ascii="Times New Roman" w:eastAsia="Times New Roman" w:hAnsi="Times New Roman" w:cs="Times New Roman" w:hint="default"/>
        <w:i/>
        <w:sz w:val="28"/>
      </w:rPr>
    </w:lvl>
    <w:lvl w:ilvl="3">
      <w:start w:val="1"/>
      <w:numFmt w:val="decimal"/>
      <w:lvlText w:val="%1.%2.%3.%4."/>
      <w:lvlJc w:val="left"/>
      <w:pPr>
        <w:ind w:left="3924" w:hanging="720"/>
      </w:pPr>
      <w:rPr>
        <w:rFonts w:ascii="Times New Roman" w:eastAsia="Times New Roman" w:hAnsi="Times New Roman" w:cs="Times New Roman" w:hint="default"/>
        <w:i/>
        <w:sz w:val="28"/>
      </w:rPr>
    </w:lvl>
    <w:lvl w:ilvl="4">
      <w:start w:val="1"/>
      <w:numFmt w:val="decimal"/>
      <w:lvlText w:val="%1.%2.%3.%4.%5."/>
      <w:lvlJc w:val="left"/>
      <w:pPr>
        <w:ind w:left="5352" w:hanging="1080"/>
      </w:pPr>
      <w:rPr>
        <w:rFonts w:ascii="Times New Roman" w:eastAsia="Times New Roman" w:hAnsi="Times New Roman" w:cs="Times New Roman" w:hint="default"/>
        <w:i/>
        <w:sz w:val="28"/>
      </w:rPr>
    </w:lvl>
    <w:lvl w:ilvl="5">
      <w:start w:val="1"/>
      <w:numFmt w:val="decimal"/>
      <w:lvlText w:val="%1.%2.%3.%4.%5.%6."/>
      <w:lvlJc w:val="left"/>
      <w:pPr>
        <w:ind w:left="6420" w:hanging="1080"/>
      </w:pPr>
      <w:rPr>
        <w:rFonts w:ascii="Times New Roman" w:eastAsia="Times New Roman" w:hAnsi="Times New Roman" w:cs="Times New Roman" w:hint="default"/>
        <w:i/>
        <w:sz w:val="28"/>
      </w:rPr>
    </w:lvl>
    <w:lvl w:ilvl="6">
      <w:start w:val="1"/>
      <w:numFmt w:val="decimal"/>
      <w:lvlText w:val="%1.%2.%3.%4.%5.%6.%7."/>
      <w:lvlJc w:val="left"/>
      <w:pPr>
        <w:ind w:left="7848" w:hanging="1440"/>
      </w:pPr>
      <w:rPr>
        <w:rFonts w:ascii="Times New Roman" w:eastAsia="Times New Roman" w:hAnsi="Times New Roman" w:cs="Times New Roman" w:hint="default"/>
        <w:i/>
        <w:sz w:val="28"/>
      </w:rPr>
    </w:lvl>
    <w:lvl w:ilvl="7">
      <w:start w:val="1"/>
      <w:numFmt w:val="decimal"/>
      <w:lvlText w:val="%1.%2.%3.%4.%5.%6.%7.%8."/>
      <w:lvlJc w:val="left"/>
      <w:pPr>
        <w:ind w:left="8916" w:hanging="1440"/>
      </w:pPr>
      <w:rPr>
        <w:rFonts w:ascii="Times New Roman" w:eastAsia="Times New Roman" w:hAnsi="Times New Roman" w:cs="Times New Roman" w:hint="default"/>
        <w:i/>
        <w:sz w:val="28"/>
      </w:rPr>
    </w:lvl>
    <w:lvl w:ilvl="8">
      <w:start w:val="1"/>
      <w:numFmt w:val="decimal"/>
      <w:lvlText w:val="%1.%2.%3.%4.%5.%6.%7.%8.%9."/>
      <w:lvlJc w:val="left"/>
      <w:pPr>
        <w:ind w:left="10344" w:hanging="1800"/>
      </w:pPr>
      <w:rPr>
        <w:rFonts w:ascii="Times New Roman" w:eastAsia="Times New Roman" w:hAnsi="Times New Roman" w:cs="Times New Roman" w:hint="default"/>
        <w:i/>
        <w:sz w:val="28"/>
      </w:rPr>
    </w:lvl>
  </w:abstractNum>
  <w:abstractNum w:abstractNumId="40">
    <w:nsid w:val="76486D51"/>
    <w:multiLevelType w:val="hybridMultilevel"/>
    <w:tmpl w:val="9CB07DC2"/>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1">
    <w:nsid w:val="7A485C52"/>
    <w:multiLevelType w:val="hybridMultilevel"/>
    <w:tmpl w:val="7D0492BE"/>
    <w:lvl w:ilvl="0" w:tplc="47644E9E">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2">
    <w:nsid w:val="7C5F28A3"/>
    <w:multiLevelType w:val="hybridMultilevel"/>
    <w:tmpl w:val="52E81E7E"/>
    <w:lvl w:ilvl="0" w:tplc="8BB058AC">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3">
    <w:nsid w:val="7C982A5A"/>
    <w:multiLevelType w:val="hybridMultilevel"/>
    <w:tmpl w:val="7E829EC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nsid w:val="7CAF2A24"/>
    <w:multiLevelType w:val="hybridMultilevel"/>
    <w:tmpl w:val="CDDACE42"/>
    <w:lvl w:ilvl="0" w:tplc="0419000D">
      <w:start w:val="1"/>
      <w:numFmt w:val="bullet"/>
      <w:lvlText w:val=""/>
      <w:lvlJc w:val="left"/>
      <w:pPr>
        <w:ind w:left="720" w:hanging="360"/>
      </w:pPr>
      <w:rPr>
        <w:rFonts w:ascii="Wingdings" w:hAnsi="Wingdings" w:hint="default"/>
      </w:rPr>
    </w:lvl>
    <w:lvl w:ilvl="1" w:tplc="0419000D">
      <w:start w:val="1"/>
      <w:numFmt w:val="bullet"/>
      <w:lvlText w:val=""/>
      <w:lvlJc w:val="left"/>
      <w:pPr>
        <w:ind w:left="1440" w:hanging="360"/>
      </w:pPr>
      <w:rPr>
        <w:rFonts w:ascii="Wingdings" w:hAnsi="Wingdings"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CEC4E97"/>
    <w:multiLevelType w:val="hybridMultilevel"/>
    <w:tmpl w:val="388E0F1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6">
    <w:nsid w:val="7DE35135"/>
    <w:multiLevelType w:val="hybridMultilevel"/>
    <w:tmpl w:val="508A1CF6"/>
    <w:lvl w:ilvl="0" w:tplc="B30A28B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10"/>
  </w:num>
  <w:num w:numId="4">
    <w:abstractNumId w:val="21"/>
  </w:num>
  <w:num w:numId="5">
    <w:abstractNumId w:val="23"/>
  </w:num>
  <w:num w:numId="6">
    <w:abstractNumId w:val="26"/>
  </w:num>
  <w:num w:numId="7">
    <w:abstractNumId w:val="0"/>
  </w:num>
  <w:num w:numId="8">
    <w:abstractNumId w:val="41"/>
  </w:num>
  <w:num w:numId="9">
    <w:abstractNumId w:val="5"/>
  </w:num>
  <w:num w:numId="10">
    <w:abstractNumId w:val="38"/>
  </w:num>
  <w:num w:numId="11">
    <w:abstractNumId w:val="46"/>
  </w:num>
  <w:num w:numId="12">
    <w:abstractNumId w:val="39"/>
  </w:num>
  <w:num w:numId="13">
    <w:abstractNumId w:val="9"/>
  </w:num>
  <w:num w:numId="14">
    <w:abstractNumId w:val="22"/>
  </w:num>
  <w:num w:numId="15">
    <w:abstractNumId w:val="28"/>
  </w:num>
  <w:num w:numId="16">
    <w:abstractNumId w:val="2"/>
  </w:num>
  <w:num w:numId="17">
    <w:abstractNumId w:val="19"/>
  </w:num>
  <w:num w:numId="18">
    <w:abstractNumId w:val="8"/>
  </w:num>
  <w:num w:numId="19">
    <w:abstractNumId w:val="43"/>
  </w:num>
  <w:num w:numId="20">
    <w:abstractNumId w:val="12"/>
  </w:num>
  <w:num w:numId="21">
    <w:abstractNumId w:val="14"/>
  </w:num>
  <w:num w:numId="22">
    <w:abstractNumId w:val="7"/>
  </w:num>
  <w:num w:numId="23">
    <w:abstractNumId w:val="20"/>
  </w:num>
  <w:num w:numId="24">
    <w:abstractNumId w:val="30"/>
  </w:num>
  <w:num w:numId="25">
    <w:abstractNumId w:val="13"/>
  </w:num>
  <w:num w:numId="26">
    <w:abstractNumId w:val="24"/>
  </w:num>
  <w:num w:numId="27">
    <w:abstractNumId w:val="40"/>
  </w:num>
  <w:num w:numId="28">
    <w:abstractNumId w:val="35"/>
  </w:num>
  <w:num w:numId="29">
    <w:abstractNumId w:val="31"/>
  </w:num>
  <w:num w:numId="30">
    <w:abstractNumId w:val="34"/>
  </w:num>
  <w:num w:numId="31">
    <w:abstractNumId w:val="44"/>
  </w:num>
  <w:num w:numId="32">
    <w:abstractNumId w:val="32"/>
  </w:num>
  <w:num w:numId="33">
    <w:abstractNumId w:val="15"/>
  </w:num>
  <w:num w:numId="34">
    <w:abstractNumId w:val="29"/>
  </w:num>
  <w:num w:numId="35">
    <w:abstractNumId w:val="6"/>
  </w:num>
  <w:num w:numId="36">
    <w:abstractNumId w:val="33"/>
  </w:num>
  <w:num w:numId="37">
    <w:abstractNumId w:val="37"/>
  </w:num>
  <w:num w:numId="38">
    <w:abstractNumId w:val="27"/>
  </w:num>
  <w:num w:numId="39">
    <w:abstractNumId w:val="18"/>
  </w:num>
  <w:num w:numId="40">
    <w:abstractNumId w:val="11"/>
  </w:num>
  <w:num w:numId="41">
    <w:abstractNumId w:val="36"/>
  </w:num>
  <w:num w:numId="42">
    <w:abstractNumId w:val="16"/>
  </w:num>
  <w:num w:numId="43">
    <w:abstractNumId w:val="42"/>
  </w:num>
  <w:num w:numId="44">
    <w:abstractNumId w:val="1"/>
  </w:num>
  <w:num w:numId="45">
    <w:abstractNumId w:val="17"/>
  </w:num>
  <w:num w:numId="46">
    <w:abstractNumId w:val="4"/>
  </w:num>
  <w:num w:numId="47">
    <w:abstractNumId w:val="45"/>
  </w:num>
  <w:numIdMacAtCleanup w:val="4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09"/>
  <w:hyphenationZone w:val="425"/>
  <w:characterSpacingControl w:val="doNotCompress"/>
  <w:hdrShapeDefaults>
    <o:shapedefaults v:ext="edit" spidmax="2058"/>
    <o:shapelayout v:ext="edit">
      <o:idmap v:ext="edit" data="1"/>
    </o:shapelayout>
  </w:hdrShapeDefaults>
  <w:footnotePr>
    <w:footnote w:id="-1"/>
    <w:footnote w:id="0"/>
  </w:footnotePr>
  <w:endnotePr>
    <w:endnote w:id="-1"/>
    <w:endnote w:id="0"/>
  </w:endnotePr>
  <w:compat/>
  <w:rsids>
    <w:rsidRoot w:val="00DA0EF4"/>
    <w:rsid w:val="0000298A"/>
    <w:rsid w:val="000069C8"/>
    <w:rsid w:val="00011328"/>
    <w:rsid w:val="0001166A"/>
    <w:rsid w:val="000150D7"/>
    <w:rsid w:val="00015EF0"/>
    <w:rsid w:val="000166F9"/>
    <w:rsid w:val="00017FA0"/>
    <w:rsid w:val="000207A2"/>
    <w:rsid w:val="000233D7"/>
    <w:rsid w:val="0002391B"/>
    <w:rsid w:val="00024206"/>
    <w:rsid w:val="00025C84"/>
    <w:rsid w:val="00026657"/>
    <w:rsid w:val="00027E89"/>
    <w:rsid w:val="000301A1"/>
    <w:rsid w:val="000320DC"/>
    <w:rsid w:val="0003341F"/>
    <w:rsid w:val="000335BB"/>
    <w:rsid w:val="000346D5"/>
    <w:rsid w:val="00035AE3"/>
    <w:rsid w:val="00035DBC"/>
    <w:rsid w:val="00043131"/>
    <w:rsid w:val="00045919"/>
    <w:rsid w:val="00046C02"/>
    <w:rsid w:val="0004721D"/>
    <w:rsid w:val="00047411"/>
    <w:rsid w:val="00050C5C"/>
    <w:rsid w:val="0005105B"/>
    <w:rsid w:val="00052462"/>
    <w:rsid w:val="000553AD"/>
    <w:rsid w:val="0005621A"/>
    <w:rsid w:val="00056A9A"/>
    <w:rsid w:val="00056AAB"/>
    <w:rsid w:val="0006088D"/>
    <w:rsid w:val="00061926"/>
    <w:rsid w:val="00062161"/>
    <w:rsid w:val="000650E1"/>
    <w:rsid w:val="00065BFF"/>
    <w:rsid w:val="00065EA4"/>
    <w:rsid w:val="000715A3"/>
    <w:rsid w:val="00071A62"/>
    <w:rsid w:val="0007412A"/>
    <w:rsid w:val="00074686"/>
    <w:rsid w:val="00074E80"/>
    <w:rsid w:val="0007581A"/>
    <w:rsid w:val="000759C7"/>
    <w:rsid w:val="00076FD8"/>
    <w:rsid w:val="00077448"/>
    <w:rsid w:val="0008052A"/>
    <w:rsid w:val="000820C1"/>
    <w:rsid w:val="00082F63"/>
    <w:rsid w:val="00082FBC"/>
    <w:rsid w:val="000847F0"/>
    <w:rsid w:val="000849CB"/>
    <w:rsid w:val="000852FF"/>
    <w:rsid w:val="00085799"/>
    <w:rsid w:val="00086E90"/>
    <w:rsid w:val="00090782"/>
    <w:rsid w:val="00090F31"/>
    <w:rsid w:val="00091630"/>
    <w:rsid w:val="00092472"/>
    <w:rsid w:val="000931CE"/>
    <w:rsid w:val="00093ACD"/>
    <w:rsid w:val="0009455F"/>
    <w:rsid w:val="00095A9C"/>
    <w:rsid w:val="00095B48"/>
    <w:rsid w:val="00097309"/>
    <w:rsid w:val="000A0F2C"/>
    <w:rsid w:val="000A1AB3"/>
    <w:rsid w:val="000A2B6D"/>
    <w:rsid w:val="000A2EA8"/>
    <w:rsid w:val="000A3F0C"/>
    <w:rsid w:val="000A5026"/>
    <w:rsid w:val="000A65C7"/>
    <w:rsid w:val="000A69CE"/>
    <w:rsid w:val="000A74B4"/>
    <w:rsid w:val="000B0791"/>
    <w:rsid w:val="000B09F8"/>
    <w:rsid w:val="000B30EF"/>
    <w:rsid w:val="000B3332"/>
    <w:rsid w:val="000B41B9"/>
    <w:rsid w:val="000B434A"/>
    <w:rsid w:val="000B4DB9"/>
    <w:rsid w:val="000B5B1A"/>
    <w:rsid w:val="000B7945"/>
    <w:rsid w:val="000B7C96"/>
    <w:rsid w:val="000C19FA"/>
    <w:rsid w:val="000C1AF6"/>
    <w:rsid w:val="000C264A"/>
    <w:rsid w:val="000C35AF"/>
    <w:rsid w:val="000C3A99"/>
    <w:rsid w:val="000C3E9E"/>
    <w:rsid w:val="000C553E"/>
    <w:rsid w:val="000C6A3C"/>
    <w:rsid w:val="000C7F0C"/>
    <w:rsid w:val="000D071E"/>
    <w:rsid w:val="000D1D81"/>
    <w:rsid w:val="000D2DF8"/>
    <w:rsid w:val="000D30B3"/>
    <w:rsid w:val="000D346D"/>
    <w:rsid w:val="000D52BE"/>
    <w:rsid w:val="000D61AD"/>
    <w:rsid w:val="000D72DA"/>
    <w:rsid w:val="000E0354"/>
    <w:rsid w:val="000E1CE6"/>
    <w:rsid w:val="000E398E"/>
    <w:rsid w:val="000E503D"/>
    <w:rsid w:val="000E5EB2"/>
    <w:rsid w:val="000E79C9"/>
    <w:rsid w:val="000F31F4"/>
    <w:rsid w:val="000F3351"/>
    <w:rsid w:val="000F4266"/>
    <w:rsid w:val="000F56BE"/>
    <w:rsid w:val="000F7641"/>
    <w:rsid w:val="000F7714"/>
    <w:rsid w:val="00103069"/>
    <w:rsid w:val="00103FC1"/>
    <w:rsid w:val="00104A0B"/>
    <w:rsid w:val="00105DA7"/>
    <w:rsid w:val="00106795"/>
    <w:rsid w:val="001072A1"/>
    <w:rsid w:val="0011122D"/>
    <w:rsid w:val="00112791"/>
    <w:rsid w:val="00114985"/>
    <w:rsid w:val="001149B8"/>
    <w:rsid w:val="00114DA5"/>
    <w:rsid w:val="00115B07"/>
    <w:rsid w:val="00116124"/>
    <w:rsid w:val="00117A55"/>
    <w:rsid w:val="001213D6"/>
    <w:rsid w:val="001221F9"/>
    <w:rsid w:val="00122934"/>
    <w:rsid w:val="00123AE9"/>
    <w:rsid w:val="00123CB5"/>
    <w:rsid w:val="00123D7C"/>
    <w:rsid w:val="0012720F"/>
    <w:rsid w:val="00127502"/>
    <w:rsid w:val="00127CAD"/>
    <w:rsid w:val="00131529"/>
    <w:rsid w:val="0013282A"/>
    <w:rsid w:val="00135AAB"/>
    <w:rsid w:val="00136C07"/>
    <w:rsid w:val="00140288"/>
    <w:rsid w:val="00147EA9"/>
    <w:rsid w:val="00151504"/>
    <w:rsid w:val="001544F9"/>
    <w:rsid w:val="001563C7"/>
    <w:rsid w:val="00161D0D"/>
    <w:rsid w:val="001623CA"/>
    <w:rsid w:val="0016268A"/>
    <w:rsid w:val="00164B81"/>
    <w:rsid w:val="00166559"/>
    <w:rsid w:val="00171E6A"/>
    <w:rsid w:val="00172D24"/>
    <w:rsid w:val="00173614"/>
    <w:rsid w:val="00177219"/>
    <w:rsid w:val="00177D0D"/>
    <w:rsid w:val="0018011D"/>
    <w:rsid w:val="001816A3"/>
    <w:rsid w:val="0018241B"/>
    <w:rsid w:val="001826B5"/>
    <w:rsid w:val="00182D0F"/>
    <w:rsid w:val="00185545"/>
    <w:rsid w:val="00185DD9"/>
    <w:rsid w:val="00187918"/>
    <w:rsid w:val="00192B2C"/>
    <w:rsid w:val="001930B4"/>
    <w:rsid w:val="00193A14"/>
    <w:rsid w:val="001942E3"/>
    <w:rsid w:val="001955B6"/>
    <w:rsid w:val="00195B5F"/>
    <w:rsid w:val="0019653A"/>
    <w:rsid w:val="001A2E71"/>
    <w:rsid w:val="001A32EC"/>
    <w:rsid w:val="001A64EB"/>
    <w:rsid w:val="001A6610"/>
    <w:rsid w:val="001A6773"/>
    <w:rsid w:val="001B0041"/>
    <w:rsid w:val="001B07EB"/>
    <w:rsid w:val="001B0EFA"/>
    <w:rsid w:val="001B1007"/>
    <w:rsid w:val="001B1839"/>
    <w:rsid w:val="001B2C91"/>
    <w:rsid w:val="001B3534"/>
    <w:rsid w:val="001B60CD"/>
    <w:rsid w:val="001B69A6"/>
    <w:rsid w:val="001B6E73"/>
    <w:rsid w:val="001B7D0D"/>
    <w:rsid w:val="001C0AAF"/>
    <w:rsid w:val="001C12F0"/>
    <w:rsid w:val="001C27B2"/>
    <w:rsid w:val="001C664A"/>
    <w:rsid w:val="001D0C50"/>
    <w:rsid w:val="001D17AE"/>
    <w:rsid w:val="001D1AC1"/>
    <w:rsid w:val="001D2B09"/>
    <w:rsid w:val="001D594D"/>
    <w:rsid w:val="001E0F9C"/>
    <w:rsid w:val="001E2C32"/>
    <w:rsid w:val="001E2EFD"/>
    <w:rsid w:val="001E3021"/>
    <w:rsid w:val="001E7BBF"/>
    <w:rsid w:val="001E7C8F"/>
    <w:rsid w:val="001F2C3A"/>
    <w:rsid w:val="001F322A"/>
    <w:rsid w:val="001F5DA5"/>
    <w:rsid w:val="001F6039"/>
    <w:rsid w:val="001F7F14"/>
    <w:rsid w:val="002004E7"/>
    <w:rsid w:val="00203B0F"/>
    <w:rsid w:val="0020509F"/>
    <w:rsid w:val="0020514E"/>
    <w:rsid w:val="002100FE"/>
    <w:rsid w:val="002102AF"/>
    <w:rsid w:val="00210621"/>
    <w:rsid w:val="0021259A"/>
    <w:rsid w:val="0021304F"/>
    <w:rsid w:val="002140D5"/>
    <w:rsid w:val="00217256"/>
    <w:rsid w:val="00217B29"/>
    <w:rsid w:val="00217E43"/>
    <w:rsid w:val="002200DD"/>
    <w:rsid w:val="00223829"/>
    <w:rsid w:val="00224082"/>
    <w:rsid w:val="0022754E"/>
    <w:rsid w:val="00231658"/>
    <w:rsid w:val="0023420C"/>
    <w:rsid w:val="00235AF8"/>
    <w:rsid w:val="002375C7"/>
    <w:rsid w:val="00240B07"/>
    <w:rsid w:val="00240FD1"/>
    <w:rsid w:val="002424C1"/>
    <w:rsid w:val="00242BF5"/>
    <w:rsid w:val="0024767B"/>
    <w:rsid w:val="002477BB"/>
    <w:rsid w:val="00251B64"/>
    <w:rsid w:val="002527CD"/>
    <w:rsid w:val="002575C7"/>
    <w:rsid w:val="00260AC6"/>
    <w:rsid w:val="00260ACB"/>
    <w:rsid w:val="0026149E"/>
    <w:rsid w:val="002638BC"/>
    <w:rsid w:val="0026548F"/>
    <w:rsid w:val="00265C4A"/>
    <w:rsid w:val="00266084"/>
    <w:rsid w:val="00266A25"/>
    <w:rsid w:val="00267433"/>
    <w:rsid w:val="00271886"/>
    <w:rsid w:val="002727EE"/>
    <w:rsid w:val="00273F2D"/>
    <w:rsid w:val="0027652E"/>
    <w:rsid w:val="00281502"/>
    <w:rsid w:val="002855DA"/>
    <w:rsid w:val="00286EF4"/>
    <w:rsid w:val="00287628"/>
    <w:rsid w:val="002879CB"/>
    <w:rsid w:val="00290A17"/>
    <w:rsid w:val="00292F47"/>
    <w:rsid w:val="00293A70"/>
    <w:rsid w:val="00293B2E"/>
    <w:rsid w:val="00293CB2"/>
    <w:rsid w:val="00293D0F"/>
    <w:rsid w:val="00294563"/>
    <w:rsid w:val="00295EE0"/>
    <w:rsid w:val="0029624D"/>
    <w:rsid w:val="002A02FA"/>
    <w:rsid w:val="002A03C9"/>
    <w:rsid w:val="002A11C7"/>
    <w:rsid w:val="002A2F27"/>
    <w:rsid w:val="002A3244"/>
    <w:rsid w:val="002A3BB5"/>
    <w:rsid w:val="002A43D7"/>
    <w:rsid w:val="002A44AB"/>
    <w:rsid w:val="002A4F80"/>
    <w:rsid w:val="002A5E13"/>
    <w:rsid w:val="002A6526"/>
    <w:rsid w:val="002B03BA"/>
    <w:rsid w:val="002B08AD"/>
    <w:rsid w:val="002B246A"/>
    <w:rsid w:val="002B4090"/>
    <w:rsid w:val="002B429A"/>
    <w:rsid w:val="002B7A02"/>
    <w:rsid w:val="002B7A4E"/>
    <w:rsid w:val="002C064A"/>
    <w:rsid w:val="002C1AF8"/>
    <w:rsid w:val="002C48E0"/>
    <w:rsid w:val="002C6226"/>
    <w:rsid w:val="002D0683"/>
    <w:rsid w:val="002D0CB7"/>
    <w:rsid w:val="002D181C"/>
    <w:rsid w:val="002D1EFA"/>
    <w:rsid w:val="002D226D"/>
    <w:rsid w:val="002D22A1"/>
    <w:rsid w:val="002D27D8"/>
    <w:rsid w:val="002D3797"/>
    <w:rsid w:val="002D4777"/>
    <w:rsid w:val="002D7A70"/>
    <w:rsid w:val="002E04F9"/>
    <w:rsid w:val="002E0D5E"/>
    <w:rsid w:val="002E1740"/>
    <w:rsid w:val="002E1915"/>
    <w:rsid w:val="002E2250"/>
    <w:rsid w:val="002E6573"/>
    <w:rsid w:val="002E723F"/>
    <w:rsid w:val="002F0D54"/>
    <w:rsid w:val="002F0FC8"/>
    <w:rsid w:val="002F218E"/>
    <w:rsid w:val="002F2723"/>
    <w:rsid w:val="002F35F5"/>
    <w:rsid w:val="002F57FF"/>
    <w:rsid w:val="002F704F"/>
    <w:rsid w:val="00300A85"/>
    <w:rsid w:val="00302D95"/>
    <w:rsid w:val="00304881"/>
    <w:rsid w:val="00304E0F"/>
    <w:rsid w:val="003059DA"/>
    <w:rsid w:val="00306567"/>
    <w:rsid w:val="00306817"/>
    <w:rsid w:val="00310C3C"/>
    <w:rsid w:val="003129DF"/>
    <w:rsid w:val="00314FB4"/>
    <w:rsid w:val="00315AD2"/>
    <w:rsid w:val="003205F2"/>
    <w:rsid w:val="0032121A"/>
    <w:rsid w:val="00324234"/>
    <w:rsid w:val="00325396"/>
    <w:rsid w:val="00326E17"/>
    <w:rsid w:val="003271E2"/>
    <w:rsid w:val="00330FCB"/>
    <w:rsid w:val="0033132D"/>
    <w:rsid w:val="003313EF"/>
    <w:rsid w:val="0033308C"/>
    <w:rsid w:val="0033331F"/>
    <w:rsid w:val="00334672"/>
    <w:rsid w:val="0033563D"/>
    <w:rsid w:val="00337C92"/>
    <w:rsid w:val="00340159"/>
    <w:rsid w:val="00340E68"/>
    <w:rsid w:val="00341BC0"/>
    <w:rsid w:val="003435B4"/>
    <w:rsid w:val="00343A23"/>
    <w:rsid w:val="003445D2"/>
    <w:rsid w:val="00351EBA"/>
    <w:rsid w:val="003537E4"/>
    <w:rsid w:val="003538C2"/>
    <w:rsid w:val="00353BE1"/>
    <w:rsid w:val="00354F0D"/>
    <w:rsid w:val="00356530"/>
    <w:rsid w:val="00356D07"/>
    <w:rsid w:val="00360BBA"/>
    <w:rsid w:val="00360CAB"/>
    <w:rsid w:val="00373089"/>
    <w:rsid w:val="003756BF"/>
    <w:rsid w:val="003762B9"/>
    <w:rsid w:val="00380390"/>
    <w:rsid w:val="0038113E"/>
    <w:rsid w:val="00384F21"/>
    <w:rsid w:val="00384FAA"/>
    <w:rsid w:val="003870E3"/>
    <w:rsid w:val="00387205"/>
    <w:rsid w:val="00393571"/>
    <w:rsid w:val="00395F54"/>
    <w:rsid w:val="00396E12"/>
    <w:rsid w:val="00397959"/>
    <w:rsid w:val="00397DD9"/>
    <w:rsid w:val="003A0DA7"/>
    <w:rsid w:val="003A1B4C"/>
    <w:rsid w:val="003A274B"/>
    <w:rsid w:val="003A5C53"/>
    <w:rsid w:val="003A7928"/>
    <w:rsid w:val="003B092E"/>
    <w:rsid w:val="003B37F3"/>
    <w:rsid w:val="003B3CFC"/>
    <w:rsid w:val="003B5ED9"/>
    <w:rsid w:val="003C15E2"/>
    <w:rsid w:val="003C3B27"/>
    <w:rsid w:val="003C747C"/>
    <w:rsid w:val="003D09AE"/>
    <w:rsid w:val="003D2584"/>
    <w:rsid w:val="003E1FD4"/>
    <w:rsid w:val="003E4136"/>
    <w:rsid w:val="003E66CD"/>
    <w:rsid w:val="003E6CDD"/>
    <w:rsid w:val="003E6D23"/>
    <w:rsid w:val="003E762C"/>
    <w:rsid w:val="003F0C29"/>
    <w:rsid w:val="003F4544"/>
    <w:rsid w:val="003F596B"/>
    <w:rsid w:val="003F6103"/>
    <w:rsid w:val="00402553"/>
    <w:rsid w:val="004027F3"/>
    <w:rsid w:val="0040349E"/>
    <w:rsid w:val="00403B2B"/>
    <w:rsid w:val="00404252"/>
    <w:rsid w:val="004048D3"/>
    <w:rsid w:val="00405B39"/>
    <w:rsid w:val="00406C63"/>
    <w:rsid w:val="00407231"/>
    <w:rsid w:val="0041063B"/>
    <w:rsid w:val="0041370F"/>
    <w:rsid w:val="00413F1E"/>
    <w:rsid w:val="00416C54"/>
    <w:rsid w:val="00420D80"/>
    <w:rsid w:val="00422BEE"/>
    <w:rsid w:val="00422EF8"/>
    <w:rsid w:val="00423159"/>
    <w:rsid w:val="004234D8"/>
    <w:rsid w:val="00423ED7"/>
    <w:rsid w:val="00424DB4"/>
    <w:rsid w:val="0043288C"/>
    <w:rsid w:val="00433A0E"/>
    <w:rsid w:val="00434B45"/>
    <w:rsid w:val="00440E1C"/>
    <w:rsid w:val="00441120"/>
    <w:rsid w:val="004415FD"/>
    <w:rsid w:val="0044228C"/>
    <w:rsid w:val="00443515"/>
    <w:rsid w:val="00443C11"/>
    <w:rsid w:val="00443F9E"/>
    <w:rsid w:val="00446760"/>
    <w:rsid w:val="004474E7"/>
    <w:rsid w:val="0045027E"/>
    <w:rsid w:val="00450F13"/>
    <w:rsid w:val="004513C5"/>
    <w:rsid w:val="0045201B"/>
    <w:rsid w:val="004523A6"/>
    <w:rsid w:val="00452F73"/>
    <w:rsid w:val="004540BE"/>
    <w:rsid w:val="00454268"/>
    <w:rsid w:val="00455DE2"/>
    <w:rsid w:val="004565DB"/>
    <w:rsid w:val="004601BF"/>
    <w:rsid w:val="004613D3"/>
    <w:rsid w:val="0046235B"/>
    <w:rsid w:val="004644A0"/>
    <w:rsid w:val="0046508D"/>
    <w:rsid w:val="004652F5"/>
    <w:rsid w:val="00465AD1"/>
    <w:rsid w:val="00467B3F"/>
    <w:rsid w:val="00473FB7"/>
    <w:rsid w:val="00474543"/>
    <w:rsid w:val="00477481"/>
    <w:rsid w:val="004842DF"/>
    <w:rsid w:val="00485E5F"/>
    <w:rsid w:val="004908A5"/>
    <w:rsid w:val="004912AE"/>
    <w:rsid w:val="00491666"/>
    <w:rsid w:val="00494889"/>
    <w:rsid w:val="00495642"/>
    <w:rsid w:val="00495728"/>
    <w:rsid w:val="00495F6B"/>
    <w:rsid w:val="004963F6"/>
    <w:rsid w:val="00496AFD"/>
    <w:rsid w:val="00496CAB"/>
    <w:rsid w:val="004978A5"/>
    <w:rsid w:val="004A07D2"/>
    <w:rsid w:val="004A2653"/>
    <w:rsid w:val="004A5636"/>
    <w:rsid w:val="004A76BD"/>
    <w:rsid w:val="004A7AB1"/>
    <w:rsid w:val="004B0532"/>
    <w:rsid w:val="004B0CE8"/>
    <w:rsid w:val="004B244E"/>
    <w:rsid w:val="004B5EBE"/>
    <w:rsid w:val="004B64FE"/>
    <w:rsid w:val="004B72E0"/>
    <w:rsid w:val="004B76D5"/>
    <w:rsid w:val="004B7E75"/>
    <w:rsid w:val="004B7F24"/>
    <w:rsid w:val="004C0257"/>
    <w:rsid w:val="004C1682"/>
    <w:rsid w:val="004C22A0"/>
    <w:rsid w:val="004C5062"/>
    <w:rsid w:val="004D08D0"/>
    <w:rsid w:val="004D17B3"/>
    <w:rsid w:val="004D3312"/>
    <w:rsid w:val="004D387B"/>
    <w:rsid w:val="004D3AE1"/>
    <w:rsid w:val="004D4CBF"/>
    <w:rsid w:val="004D6732"/>
    <w:rsid w:val="004D704C"/>
    <w:rsid w:val="004D712E"/>
    <w:rsid w:val="004E00EE"/>
    <w:rsid w:val="004E1C55"/>
    <w:rsid w:val="004E1D04"/>
    <w:rsid w:val="004E2421"/>
    <w:rsid w:val="004E32E3"/>
    <w:rsid w:val="004E3E2C"/>
    <w:rsid w:val="004E47FD"/>
    <w:rsid w:val="004E5AF1"/>
    <w:rsid w:val="004E66E2"/>
    <w:rsid w:val="004E7C67"/>
    <w:rsid w:val="004F0BA7"/>
    <w:rsid w:val="004F2D97"/>
    <w:rsid w:val="004F508D"/>
    <w:rsid w:val="004F6477"/>
    <w:rsid w:val="004F7772"/>
    <w:rsid w:val="00500107"/>
    <w:rsid w:val="005019C8"/>
    <w:rsid w:val="00503319"/>
    <w:rsid w:val="005035F2"/>
    <w:rsid w:val="00511FF6"/>
    <w:rsid w:val="00513841"/>
    <w:rsid w:val="00513D07"/>
    <w:rsid w:val="00513EF9"/>
    <w:rsid w:val="00514D9B"/>
    <w:rsid w:val="00520D90"/>
    <w:rsid w:val="005216C4"/>
    <w:rsid w:val="005227A7"/>
    <w:rsid w:val="005228CB"/>
    <w:rsid w:val="00522905"/>
    <w:rsid w:val="00522AD4"/>
    <w:rsid w:val="00527F36"/>
    <w:rsid w:val="005302C4"/>
    <w:rsid w:val="005310D6"/>
    <w:rsid w:val="00531ABC"/>
    <w:rsid w:val="00531DAF"/>
    <w:rsid w:val="0053266A"/>
    <w:rsid w:val="00533A9E"/>
    <w:rsid w:val="00535776"/>
    <w:rsid w:val="005367A2"/>
    <w:rsid w:val="00537116"/>
    <w:rsid w:val="005403A7"/>
    <w:rsid w:val="00540576"/>
    <w:rsid w:val="005433E3"/>
    <w:rsid w:val="00543F80"/>
    <w:rsid w:val="005465AD"/>
    <w:rsid w:val="005515E2"/>
    <w:rsid w:val="00552985"/>
    <w:rsid w:val="005538FA"/>
    <w:rsid w:val="00554845"/>
    <w:rsid w:val="00554963"/>
    <w:rsid w:val="00555929"/>
    <w:rsid w:val="00555931"/>
    <w:rsid w:val="005610BC"/>
    <w:rsid w:val="005612C3"/>
    <w:rsid w:val="00563E4D"/>
    <w:rsid w:val="00563E7D"/>
    <w:rsid w:val="00570437"/>
    <w:rsid w:val="00571069"/>
    <w:rsid w:val="00571DD8"/>
    <w:rsid w:val="0057279A"/>
    <w:rsid w:val="00572E8B"/>
    <w:rsid w:val="00573CAA"/>
    <w:rsid w:val="00573FBF"/>
    <w:rsid w:val="00574C61"/>
    <w:rsid w:val="00575298"/>
    <w:rsid w:val="00575609"/>
    <w:rsid w:val="005806DF"/>
    <w:rsid w:val="0058222B"/>
    <w:rsid w:val="0058326F"/>
    <w:rsid w:val="00584B80"/>
    <w:rsid w:val="00586335"/>
    <w:rsid w:val="00586811"/>
    <w:rsid w:val="00586AC6"/>
    <w:rsid w:val="00586C1A"/>
    <w:rsid w:val="00586CD9"/>
    <w:rsid w:val="00587C1A"/>
    <w:rsid w:val="0059033D"/>
    <w:rsid w:val="00591AD4"/>
    <w:rsid w:val="00592F0F"/>
    <w:rsid w:val="005936B8"/>
    <w:rsid w:val="005941BE"/>
    <w:rsid w:val="00594430"/>
    <w:rsid w:val="0059468C"/>
    <w:rsid w:val="00595169"/>
    <w:rsid w:val="005958F1"/>
    <w:rsid w:val="00596001"/>
    <w:rsid w:val="00596734"/>
    <w:rsid w:val="0059755A"/>
    <w:rsid w:val="00597785"/>
    <w:rsid w:val="005A0087"/>
    <w:rsid w:val="005A0410"/>
    <w:rsid w:val="005A18E5"/>
    <w:rsid w:val="005A3462"/>
    <w:rsid w:val="005A3F7D"/>
    <w:rsid w:val="005B16DD"/>
    <w:rsid w:val="005B1B88"/>
    <w:rsid w:val="005B1B89"/>
    <w:rsid w:val="005B22FF"/>
    <w:rsid w:val="005B2DBA"/>
    <w:rsid w:val="005B534A"/>
    <w:rsid w:val="005B59D1"/>
    <w:rsid w:val="005C48D9"/>
    <w:rsid w:val="005C4A7D"/>
    <w:rsid w:val="005C50C4"/>
    <w:rsid w:val="005C6027"/>
    <w:rsid w:val="005D03E5"/>
    <w:rsid w:val="005D150D"/>
    <w:rsid w:val="005E11E7"/>
    <w:rsid w:val="005E17C2"/>
    <w:rsid w:val="005E2823"/>
    <w:rsid w:val="005E28A3"/>
    <w:rsid w:val="005E2A61"/>
    <w:rsid w:val="005E3035"/>
    <w:rsid w:val="005E6404"/>
    <w:rsid w:val="005F30C4"/>
    <w:rsid w:val="005F3F83"/>
    <w:rsid w:val="005F7EC4"/>
    <w:rsid w:val="006011E9"/>
    <w:rsid w:val="00601F28"/>
    <w:rsid w:val="006032F6"/>
    <w:rsid w:val="0060413B"/>
    <w:rsid w:val="00605721"/>
    <w:rsid w:val="00606047"/>
    <w:rsid w:val="00607D8A"/>
    <w:rsid w:val="00607EC5"/>
    <w:rsid w:val="006123CA"/>
    <w:rsid w:val="00614782"/>
    <w:rsid w:val="00616F28"/>
    <w:rsid w:val="0061729B"/>
    <w:rsid w:val="00617B8F"/>
    <w:rsid w:val="0062091A"/>
    <w:rsid w:val="00625CFF"/>
    <w:rsid w:val="00627718"/>
    <w:rsid w:val="00632BAB"/>
    <w:rsid w:val="006334CA"/>
    <w:rsid w:val="00633E36"/>
    <w:rsid w:val="006340F0"/>
    <w:rsid w:val="00634F56"/>
    <w:rsid w:val="006361F4"/>
    <w:rsid w:val="00636E27"/>
    <w:rsid w:val="006401F0"/>
    <w:rsid w:val="006404BF"/>
    <w:rsid w:val="00641FB4"/>
    <w:rsid w:val="00643E06"/>
    <w:rsid w:val="0064498E"/>
    <w:rsid w:val="00646AEC"/>
    <w:rsid w:val="00647B7A"/>
    <w:rsid w:val="00653A81"/>
    <w:rsid w:val="00653B23"/>
    <w:rsid w:val="00654524"/>
    <w:rsid w:val="00654F20"/>
    <w:rsid w:val="006613B0"/>
    <w:rsid w:val="006645EB"/>
    <w:rsid w:val="00665FAB"/>
    <w:rsid w:val="0066793F"/>
    <w:rsid w:val="00667AD1"/>
    <w:rsid w:val="00670F92"/>
    <w:rsid w:val="0067187F"/>
    <w:rsid w:val="00674B0E"/>
    <w:rsid w:val="00675EF2"/>
    <w:rsid w:val="00676C7B"/>
    <w:rsid w:val="00676CB5"/>
    <w:rsid w:val="00677E29"/>
    <w:rsid w:val="00680096"/>
    <w:rsid w:val="006800B0"/>
    <w:rsid w:val="006804BD"/>
    <w:rsid w:val="0068065D"/>
    <w:rsid w:val="00681BB9"/>
    <w:rsid w:val="00683AAA"/>
    <w:rsid w:val="00684684"/>
    <w:rsid w:val="00684FC7"/>
    <w:rsid w:val="006860D9"/>
    <w:rsid w:val="00687D9F"/>
    <w:rsid w:val="00687FB3"/>
    <w:rsid w:val="00691AA2"/>
    <w:rsid w:val="0069327F"/>
    <w:rsid w:val="00693720"/>
    <w:rsid w:val="00694F30"/>
    <w:rsid w:val="00695ABA"/>
    <w:rsid w:val="00695BC9"/>
    <w:rsid w:val="006A0234"/>
    <w:rsid w:val="006A46B6"/>
    <w:rsid w:val="006A4D34"/>
    <w:rsid w:val="006A794C"/>
    <w:rsid w:val="006A7E62"/>
    <w:rsid w:val="006B02F5"/>
    <w:rsid w:val="006B21FC"/>
    <w:rsid w:val="006B4C64"/>
    <w:rsid w:val="006C2FA8"/>
    <w:rsid w:val="006C32F6"/>
    <w:rsid w:val="006C51A5"/>
    <w:rsid w:val="006C73AF"/>
    <w:rsid w:val="006C7FC5"/>
    <w:rsid w:val="006D0AD9"/>
    <w:rsid w:val="006D1F08"/>
    <w:rsid w:val="006D2536"/>
    <w:rsid w:val="006D3C79"/>
    <w:rsid w:val="006E092C"/>
    <w:rsid w:val="006E0FBF"/>
    <w:rsid w:val="006E45F8"/>
    <w:rsid w:val="006E487B"/>
    <w:rsid w:val="006E59CE"/>
    <w:rsid w:val="006F1C55"/>
    <w:rsid w:val="006F4117"/>
    <w:rsid w:val="006F570C"/>
    <w:rsid w:val="006F6921"/>
    <w:rsid w:val="006F6AC2"/>
    <w:rsid w:val="00701F0A"/>
    <w:rsid w:val="00701F48"/>
    <w:rsid w:val="0070261F"/>
    <w:rsid w:val="007033B7"/>
    <w:rsid w:val="00703B24"/>
    <w:rsid w:val="007073CE"/>
    <w:rsid w:val="00707CE9"/>
    <w:rsid w:val="00710B6E"/>
    <w:rsid w:val="00710C1F"/>
    <w:rsid w:val="0071206E"/>
    <w:rsid w:val="007127EC"/>
    <w:rsid w:val="00714F17"/>
    <w:rsid w:val="007174D1"/>
    <w:rsid w:val="007211E4"/>
    <w:rsid w:val="007222E6"/>
    <w:rsid w:val="00723274"/>
    <w:rsid w:val="007238DE"/>
    <w:rsid w:val="00723C5E"/>
    <w:rsid w:val="007256EA"/>
    <w:rsid w:val="007275B3"/>
    <w:rsid w:val="00732ABA"/>
    <w:rsid w:val="007344FF"/>
    <w:rsid w:val="00734CC8"/>
    <w:rsid w:val="00736EBF"/>
    <w:rsid w:val="00737273"/>
    <w:rsid w:val="007408D0"/>
    <w:rsid w:val="00741431"/>
    <w:rsid w:val="007424EC"/>
    <w:rsid w:val="007443B5"/>
    <w:rsid w:val="00744DDE"/>
    <w:rsid w:val="00745ADB"/>
    <w:rsid w:val="0074679E"/>
    <w:rsid w:val="00750C1A"/>
    <w:rsid w:val="007514A7"/>
    <w:rsid w:val="00754716"/>
    <w:rsid w:val="00755773"/>
    <w:rsid w:val="00762A2E"/>
    <w:rsid w:val="007640A5"/>
    <w:rsid w:val="0076471A"/>
    <w:rsid w:val="007663DA"/>
    <w:rsid w:val="00776C19"/>
    <w:rsid w:val="00777CCF"/>
    <w:rsid w:val="00782976"/>
    <w:rsid w:val="00783B7A"/>
    <w:rsid w:val="00785319"/>
    <w:rsid w:val="00785341"/>
    <w:rsid w:val="00785DEE"/>
    <w:rsid w:val="00786317"/>
    <w:rsid w:val="00787CE2"/>
    <w:rsid w:val="00787E9F"/>
    <w:rsid w:val="0079090D"/>
    <w:rsid w:val="007913F5"/>
    <w:rsid w:val="00791F95"/>
    <w:rsid w:val="00794D46"/>
    <w:rsid w:val="00796030"/>
    <w:rsid w:val="00796AB1"/>
    <w:rsid w:val="007A1085"/>
    <w:rsid w:val="007A128C"/>
    <w:rsid w:val="007A153C"/>
    <w:rsid w:val="007A511A"/>
    <w:rsid w:val="007A5188"/>
    <w:rsid w:val="007A5318"/>
    <w:rsid w:val="007A56A4"/>
    <w:rsid w:val="007A5FA1"/>
    <w:rsid w:val="007A71AE"/>
    <w:rsid w:val="007A7E44"/>
    <w:rsid w:val="007B0414"/>
    <w:rsid w:val="007B28E2"/>
    <w:rsid w:val="007B395A"/>
    <w:rsid w:val="007B457C"/>
    <w:rsid w:val="007B45D6"/>
    <w:rsid w:val="007B4F45"/>
    <w:rsid w:val="007B5368"/>
    <w:rsid w:val="007B5C8C"/>
    <w:rsid w:val="007C05B9"/>
    <w:rsid w:val="007C0FA1"/>
    <w:rsid w:val="007C4F1A"/>
    <w:rsid w:val="007D0989"/>
    <w:rsid w:val="007D0A8A"/>
    <w:rsid w:val="007D1617"/>
    <w:rsid w:val="007D409E"/>
    <w:rsid w:val="007D47A4"/>
    <w:rsid w:val="007D67CA"/>
    <w:rsid w:val="007D726B"/>
    <w:rsid w:val="007E0319"/>
    <w:rsid w:val="007E09FB"/>
    <w:rsid w:val="007E2BCE"/>
    <w:rsid w:val="007E3285"/>
    <w:rsid w:val="007E3710"/>
    <w:rsid w:val="007F226A"/>
    <w:rsid w:val="007F4685"/>
    <w:rsid w:val="007F4C36"/>
    <w:rsid w:val="007F59DC"/>
    <w:rsid w:val="00802DED"/>
    <w:rsid w:val="0080604F"/>
    <w:rsid w:val="0081198C"/>
    <w:rsid w:val="00812316"/>
    <w:rsid w:val="00812556"/>
    <w:rsid w:val="00812A62"/>
    <w:rsid w:val="00813771"/>
    <w:rsid w:val="00813FFA"/>
    <w:rsid w:val="00815908"/>
    <w:rsid w:val="00816BCC"/>
    <w:rsid w:val="008200E8"/>
    <w:rsid w:val="008207AD"/>
    <w:rsid w:val="00820E55"/>
    <w:rsid w:val="00823785"/>
    <w:rsid w:val="00824C8E"/>
    <w:rsid w:val="008255F5"/>
    <w:rsid w:val="00825822"/>
    <w:rsid w:val="00826806"/>
    <w:rsid w:val="00830F82"/>
    <w:rsid w:val="00831C1E"/>
    <w:rsid w:val="008323EC"/>
    <w:rsid w:val="00833E69"/>
    <w:rsid w:val="00834D7C"/>
    <w:rsid w:val="00834E9E"/>
    <w:rsid w:val="008356CF"/>
    <w:rsid w:val="00836B7C"/>
    <w:rsid w:val="00840FEE"/>
    <w:rsid w:val="008412A0"/>
    <w:rsid w:val="008412B2"/>
    <w:rsid w:val="0084268B"/>
    <w:rsid w:val="00842754"/>
    <w:rsid w:val="00843125"/>
    <w:rsid w:val="00845D05"/>
    <w:rsid w:val="008467A4"/>
    <w:rsid w:val="008515C1"/>
    <w:rsid w:val="00852A73"/>
    <w:rsid w:val="008535E6"/>
    <w:rsid w:val="00854E40"/>
    <w:rsid w:val="00855DCC"/>
    <w:rsid w:val="00860075"/>
    <w:rsid w:val="008611CD"/>
    <w:rsid w:val="008626BC"/>
    <w:rsid w:val="00867D28"/>
    <w:rsid w:val="00870A41"/>
    <w:rsid w:val="0087180C"/>
    <w:rsid w:val="008723A6"/>
    <w:rsid w:val="0087473B"/>
    <w:rsid w:val="00875785"/>
    <w:rsid w:val="00881C38"/>
    <w:rsid w:val="00882E3D"/>
    <w:rsid w:val="0088397A"/>
    <w:rsid w:val="0088502A"/>
    <w:rsid w:val="0088594F"/>
    <w:rsid w:val="00885CF8"/>
    <w:rsid w:val="0089009D"/>
    <w:rsid w:val="00891B77"/>
    <w:rsid w:val="00891B83"/>
    <w:rsid w:val="00893B97"/>
    <w:rsid w:val="00894C28"/>
    <w:rsid w:val="008965BE"/>
    <w:rsid w:val="00896867"/>
    <w:rsid w:val="008A0539"/>
    <w:rsid w:val="008A1FC2"/>
    <w:rsid w:val="008A42E4"/>
    <w:rsid w:val="008A4327"/>
    <w:rsid w:val="008A4DBA"/>
    <w:rsid w:val="008B02F0"/>
    <w:rsid w:val="008B0BC2"/>
    <w:rsid w:val="008B1A50"/>
    <w:rsid w:val="008B317D"/>
    <w:rsid w:val="008B383E"/>
    <w:rsid w:val="008B5203"/>
    <w:rsid w:val="008B74AC"/>
    <w:rsid w:val="008C046E"/>
    <w:rsid w:val="008C061D"/>
    <w:rsid w:val="008C0ECB"/>
    <w:rsid w:val="008C42F3"/>
    <w:rsid w:val="008C4754"/>
    <w:rsid w:val="008C5454"/>
    <w:rsid w:val="008C6B76"/>
    <w:rsid w:val="008D10C4"/>
    <w:rsid w:val="008D163E"/>
    <w:rsid w:val="008D2E35"/>
    <w:rsid w:val="008D2EE0"/>
    <w:rsid w:val="008D32A6"/>
    <w:rsid w:val="008D3B15"/>
    <w:rsid w:val="008D4B61"/>
    <w:rsid w:val="008D555B"/>
    <w:rsid w:val="008D6E92"/>
    <w:rsid w:val="008D75B0"/>
    <w:rsid w:val="008D7B1B"/>
    <w:rsid w:val="008E2C8A"/>
    <w:rsid w:val="008E344A"/>
    <w:rsid w:val="008E557B"/>
    <w:rsid w:val="008F18F1"/>
    <w:rsid w:val="008F4FF7"/>
    <w:rsid w:val="008F6AD8"/>
    <w:rsid w:val="00903C9F"/>
    <w:rsid w:val="00904B7A"/>
    <w:rsid w:val="009065AD"/>
    <w:rsid w:val="00906B80"/>
    <w:rsid w:val="009074E0"/>
    <w:rsid w:val="009105D8"/>
    <w:rsid w:val="0091155B"/>
    <w:rsid w:val="00911A5A"/>
    <w:rsid w:val="00912753"/>
    <w:rsid w:val="00912A70"/>
    <w:rsid w:val="00914529"/>
    <w:rsid w:val="00914F1A"/>
    <w:rsid w:val="009170DB"/>
    <w:rsid w:val="00917B9C"/>
    <w:rsid w:val="00921370"/>
    <w:rsid w:val="0092173E"/>
    <w:rsid w:val="00921A77"/>
    <w:rsid w:val="009266B5"/>
    <w:rsid w:val="00931EA4"/>
    <w:rsid w:val="009338A3"/>
    <w:rsid w:val="00936C70"/>
    <w:rsid w:val="00941845"/>
    <w:rsid w:val="00941957"/>
    <w:rsid w:val="00942361"/>
    <w:rsid w:val="009430C8"/>
    <w:rsid w:val="00946960"/>
    <w:rsid w:val="0095292A"/>
    <w:rsid w:val="00953A79"/>
    <w:rsid w:val="00953EF8"/>
    <w:rsid w:val="00955566"/>
    <w:rsid w:val="00955F55"/>
    <w:rsid w:val="009563BB"/>
    <w:rsid w:val="00960098"/>
    <w:rsid w:val="0096070E"/>
    <w:rsid w:val="009619FA"/>
    <w:rsid w:val="00961ED2"/>
    <w:rsid w:val="009626F9"/>
    <w:rsid w:val="00962A9E"/>
    <w:rsid w:val="0096427C"/>
    <w:rsid w:val="00964C59"/>
    <w:rsid w:val="009659C9"/>
    <w:rsid w:val="0097164D"/>
    <w:rsid w:val="00975E08"/>
    <w:rsid w:val="0097741D"/>
    <w:rsid w:val="009813CB"/>
    <w:rsid w:val="0098279D"/>
    <w:rsid w:val="0098700F"/>
    <w:rsid w:val="00987F49"/>
    <w:rsid w:val="00991E95"/>
    <w:rsid w:val="009929B6"/>
    <w:rsid w:val="009932BC"/>
    <w:rsid w:val="00993417"/>
    <w:rsid w:val="0099348A"/>
    <w:rsid w:val="009A0B93"/>
    <w:rsid w:val="009A27A1"/>
    <w:rsid w:val="009A4590"/>
    <w:rsid w:val="009A50BF"/>
    <w:rsid w:val="009A7A9A"/>
    <w:rsid w:val="009B1361"/>
    <w:rsid w:val="009B19E1"/>
    <w:rsid w:val="009B2357"/>
    <w:rsid w:val="009B2497"/>
    <w:rsid w:val="009B609E"/>
    <w:rsid w:val="009C098F"/>
    <w:rsid w:val="009C106A"/>
    <w:rsid w:val="009C119A"/>
    <w:rsid w:val="009C1C8B"/>
    <w:rsid w:val="009C1FD5"/>
    <w:rsid w:val="009C511C"/>
    <w:rsid w:val="009C6D63"/>
    <w:rsid w:val="009C75E0"/>
    <w:rsid w:val="009D1658"/>
    <w:rsid w:val="009D19AC"/>
    <w:rsid w:val="009D31D1"/>
    <w:rsid w:val="009D49B9"/>
    <w:rsid w:val="009D4D53"/>
    <w:rsid w:val="009D5F9C"/>
    <w:rsid w:val="009D63B0"/>
    <w:rsid w:val="009D6944"/>
    <w:rsid w:val="009D6D3A"/>
    <w:rsid w:val="009E34BC"/>
    <w:rsid w:val="009E5C2C"/>
    <w:rsid w:val="009E6563"/>
    <w:rsid w:val="009E6697"/>
    <w:rsid w:val="009E747E"/>
    <w:rsid w:val="009F0C3D"/>
    <w:rsid w:val="009F153E"/>
    <w:rsid w:val="009F1F9A"/>
    <w:rsid w:val="009F1FBE"/>
    <w:rsid w:val="009F213C"/>
    <w:rsid w:val="009F5AF0"/>
    <w:rsid w:val="009F65FA"/>
    <w:rsid w:val="00A03EF9"/>
    <w:rsid w:val="00A06A19"/>
    <w:rsid w:val="00A1090D"/>
    <w:rsid w:val="00A10914"/>
    <w:rsid w:val="00A125B4"/>
    <w:rsid w:val="00A12878"/>
    <w:rsid w:val="00A15ED9"/>
    <w:rsid w:val="00A20FDD"/>
    <w:rsid w:val="00A21D55"/>
    <w:rsid w:val="00A22A78"/>
    <w:rsid w:val="00A22F47"/>
    <w:rsid w:val="00A23545"/>
    <w:rsid w:val="00A30283"/>
    <w:rsid w:val="00A3174A"/>
    <w:rsid w:val="00A31AFD"/>
    <w:rsid w:val="00A32496"/>
    <w:rsid w:val="00A32DD2"/>
    <w:rsid w:val="00A33363"/>
    <w:rsid w:val="00A334B2"/>
    <w:rsid w:val="00A350B8"/>
    <w:rsid w:val="00A36590"/>
    <w:rsid w:val="00A37DB8"/>
    <w:rsid w:val="00A40216"/>
    <w:rsid w:val="00A40C86"/>
    <w:rsid w:val="00A40F44"/>
    <w:rsid w:val="00A41481"/>
    <w:rsid w:val="00A44672"/>
    <w:rsid w:val="00A44D7D"/>
    <w:rsid w:val="00A458DC"/>
    <w:rsid w:val="00A46F05"/>
    <w:rsid w:val="00A50E9C"/>
    <w:rsid w:val="00A5281C"/>
    <w:rsid w:val="00A53B7F"/>
    <w:rsid w:val="00A575B4"/>
    <w:rsid w:val="00A6064E"/>
    <w:rsid w:val="00A64A43"/>
    <w:rsid w:val="00A64E51"/>
    <w:rsid w:val="00A64ECF"/>
    <w:rsid w:val="00A66BD8"/>
    <w:rsid w:val="00A67A1C"/>
    <w:rsid w:val="00A67E8A"/>
    <w:rsid w:val="00A702B8"/>
    <w:rsid w:val="00A71CB6"/>
    <w:rsid w:val="00A72188"/>
    <w:rsid w:val="00A728AD"/>
    <w:rsid w:val="00A754C4"/>
    <w:rsid w:val="00A776BD"/>
    <w:rsid w:val="00A77851"/>
    <w:rsid w:val="00A829EF"/>
    <w:rsid w:val="00A83BA8"/>
    <w:rsid w:val="00A840DA"/>
    <w:rsid w:val="00A84D08"/>
    <w:rsid w:val="00A85910"/>
    <w:rsid w:val="00A87A10"/>
    <w:rsid w:val="00A91E61"/>
    <w:rsid w:val="00A92C84"/>
    <w:rsid w:val="00A94BFC"/>
    <w:rsid w:val="00A95030"/>
    <w:rsid w:val="00A957D6"/>
    <w:rsid w:val="00A970EB"/>
    <w:rsid w:val="00AA267C"/>
    <w:rsid w:val="00AA550B"/>
    <w:rsid w:val="00AB258E"/>
    <w:rsid w:val="00AB2677"/>
    <w:rsid w:val="00AB2853"/>
    <w:rsid w:val="00AB3CBE"/>
    <w:rsid w:val="00AB448B"/>
    <w:rsid w:val="00AB6D87"/>
    <w:rsid w:val="00AB75A3"/>
    <w:rsid w:val="00AB77B3"/>
    <w:rsid w:val="00AC0FEB"/>
    <w:rsid w:val="00AC15C6"/>
    <w:rsid w:val="00AC1BC1"/>
    <w:rsid w:val="00AC3162"/>
    <w:rsid w:val="00AC5888"/>
    <w:rsid w:val="00AD0C35"/>
    <w:rsid w:val="00AD2EF1"/>
    <w:rsid w:val="00AD36D2"/>
    <w:rsid w:val="00AD4089"/>
    <w:rsid w:val="00AD6443"/>
    <w:rsid w:val="00AD70BD"/>
    <w:rsid w:val="00AE12F3"/>
    <w:rsid w:val="00AE1A73"/>
    <w:rsid w:val="00AE359E"/>
    <w:rsid w:val="00AE3822"/>
    <w:rsid w:val="00AE4E14"/>
    <w:rsid w:val="00AE53F0"/>
    <w:rsid w:val="00AE66F4"/>
    <w:rsid w:val="00AE7389"/>
    <w:rsid w:val="00AE7E48"/>
    <w:rsid w:val="00AF1C89"/>
    <w:rsid w:val="00AF2750"/>
    <w:rsid w:val="00AF301C"/>
    <w:rsid w:val="00AF3EA5"/>
    <w:rsid w:val="00AF4F66"/>
    <w:rsid w:val="00AF50B4"/>
    <w:rsid w:val="00AF6C3E"/>
    <w:rsid w:val="00B01A54"/>
    <w:rsid w:val="00B02031"/>
    <w:rsid w:val="00B02705"/>
    <w:rsid w:val="00B031E9"/>
    <w:rsid w:val="00B038C7"/>
    <w:rsid w:val="00B0497C"/>
    <w:rsid w:val="00B05C98"/>
    <w:rsid w:val="00B07113"/>
    <w:rsid w:val="00B112D7"/>
    <w:rsid w:val="00B139AD"/>
    <w:rsid w:val="00B14793"/>
    <w:rsid w:val="00B1553B"/>
    <w:rsid w:val="00B16467"/>
    <w:rsid w:val="00B20695"/>
    <w:rsid w:val="00B21D35"/>
    <w:rsid w:val="00B227B1"/>
    <w:rsid w:val="00B22861"/>
    <w:rsid w:val="00B22FCB"/>
    <w:rsid w:val="00B23C20"/>
    <w:rsid w:val="00B26FBC"/>
    <w:rsid w:val="00B27ACC"/>
    <w:rsid w:val="00B30289"/>
    <w:rsid w:val="00B32966"/>
    <w:rsid w:val="00B32B58"/>
    <w:rsid w:val="00B333BC"/>
    <w:rsid w:val="00B33E30"/>
    <w:rsid w:val="00B346FE"/>
    <w:rsid w:val="00B41134"/>
    <w:rsid w:val="00B4344D"/>
    <w:rsid w:val="00B451DC"/>
    <w:rsid w:val="00B4574A"/>
    <w:rsid w:val="00B46A81"/>
    <w:rsid w:val="00B50852"/>
    <w:rsid w:val="00B51A63"/>
    <w:rsid w:val="00B52E9D"/>
    <w:rsid w:val="00B549DF"/>
    <w:rsid w:val="00B610AB"/>
    <w:rsid w:val="00B62491"/>
    <w:rsid w:val="00B65F64"/>
    <w:rsid w:val="00B67937"/>
    <w:rsid w:val="00B700C7"/>
    <w:rsid w:val="00B737A4"/>
    <w:rsid w:val="00B74190"/>
    <w:rsid w:val="00B74FCF"/>
    <w:rsid w:val="00B77FAA"/>
    <w:rsid w:val="00B80680"/>
    <w:rsid w:val="00B823F1"/>
    <w:rsid w:val="00B83A87"/>
    <w:rsid w:val="00B85288"/>
    <w:rsid w:val="00B85368"/>
    <w:rsid w:val="00B85620"/>
    <w:rsid w:val="00B85BAF"/>
    <w:rsid w:val="00B8728D"/>
    <w:rsid w:val="00B92086"/>
    <w:rsid w:val="00B922D3"/>
    <w:rsid w:val="00B9668A"/>
    <w:rsid w:val="00B9680A"/>
    <w:rsid w:val="00B96E04"/>
    <w:rsid w:val="00B97607"/>
    <w:rsid w:val="00BA2655"/>
    <w:rsid w:val="00BA46AD"/>
    <w:rsid w:val="00BA5277"/>
    <w:rsid w:val="00BA7139"/>
    <w:rsid w:val="00BB0D7B"/>
    <w:rsid w:val="00BB14E7"/>
    <w:rsid w:val="00BB185F"/>
    <w:rsid w:val="00BB24BD"/>
    <w:rsid w:val="00BB2793"/>
    <w:rsid w:val="00BB3953"/>
    <w:rsid w:val="00BB4B59"/>
    <w:rsid w:val="00BB5568"/>
    <w:rsid w:val="00BB5B76"/>
    <w:rsid w:val="00BC0591"/>
    <w:rsid w:val="00BC42C9"/>
    <w:rsid w:val="00BD0714"/>
    <w:rsid w:val="00BD3268"/>
    <w:rsid w:val="00BD5C9C"/>
    <w:rsid w:val="00BE05E4"/>
    <w:rsid w:val="00BE08EE"/>
    <w:rsid w:val="00BE110B"/>
    <w:rsid w:val="00BE3ED5"/>
    <w:rsid w:val="00BE5C9C"/>
    <w:rsid w:val="00BF0E34"/>
    <w:rsid w:val="00BF1869"/>
    <w:rsid w:val="00BF2F23"/>
    <w:rsid w:val="00BF4FD7"/>
    <w:rsid w:val="00C018A1"/>
    <w:rsid w:val="00C01A1C"/>
    <w:rsid w:val="00C04A81"/>
    <w:rsid w:val="00C065AD"/>
    <w:rsid w:val="00C0729B"/>
    <w:rsid w:val="00C11C80"/>
    <w:rsid w:val="00C11D23"/>
    <w:rsid w:val="00C13DDD"/>
    <w:rsid w:val="00C15357"/>
    <w:rsid w:val="00C15CFD"/>
    <w:rsid w:val="00C16127"/>
    <w:rsid w:val="00C16194"/>
    <w:rsid w:val="00C162EE"/>
    <w:rsid w:val="00C16DDD"/>
    <w:rsid w:val="00C20FB6"/>
    <w:rsid w:val="00C21B00"/>
    <w:rsid w:val="00C22BC7"/>
    <w:rsid w:val="00C23645"/>
    <w:rsid w:val="00C23A33"/>
    <w:rsid w:val="00C25821"/>
    <w:rsid w:val="00C27FEB"/>
    <w:rsid w:val="00C30B8B"/>
    <w:rsid w:val="00C3334D"/>
    <w:rsid w:val="00C333B3"/>
    <w:rsid w:val="00C35109"/>
    <w:rsid w:val="00C3510F"/>
    <w:rsid w:val="00C372F7"/>
    <w:rsid w:val="00C37856"/>
    <w:rsid w:val="00C407CF"/>
    <w:rsid w:val="00C449F1"/>
    <w:rsid w:val="00C44A5C"/>
    <w:rsid w:val="00C45460"/>
    <w:rsid w:val="00C46225"/>
    <w:rsid w:val="00C474D3"/>
    <w:rsid w:val="00C51E20"/>
    <w:rsid w:val="00C528A3"/>
    <w:rsid w:val="00C53A4E"/>
    <w:rsid w:val="00C54F52"/>
    <w:rsid w:val="00C56500"/>
    <w:rsid w:val="00C60EC9"/>
    <w:rsid w:val="00C61BD1"/>
    <w:rsid w:val="00C6296F"/>
    <w:rsid w:val="00C63206"/>
    <w:rsid w:val="00C634FF"/>
    <w:rsid w:val="00C63780"/>
    <w:rsid w:val="00C668D7"/>
    <w:rsid w:val="00C7211F"/>
    <w:rsid w:val="00C72185"/>
    <w:rsid w:val="00C81071"/>
    <w:rsid w:val="00C818CF"/>
    <w:rsid w:val="00C82FCC"/>
    <w:rsid w:val="00C85F8F"/>
    <w:rsid w:val="00C87018"/>
    <w:rsid w:val="00C87671"/>
    <w:rsid w:val="00C9284A"/>
    <w:rsid w:val="00C92D7E"/>
    <w:rsid w:val="00C93458"/>
    <w:rsid w:val="00C94822"/>
    <w:rsid w:val="00C961D0"/>
    <w:rsid w:val="00C9791E"/>
    <w:rsid w:val="00C97DE7"/>
    <w:rsid w:val="00CA1104"/>
    <w:rsid w:val="00CA1F52"/>
    <w:rsid w:val="00CA1FFE"/>
    <w:rsid w:val="00CA3551"/>
    <w:rsid w:val="00CA645F"/>
    <w:rsid w:val="00CA6605"/>
    <w:rsid w:val="00CA6F3C"/>
    <w:rsid w:val="00CA7BF0"/>
    <w:rsid w:val="00CB0161"/>
    <w:rsid w:val="00CB2F75"/>
    <w:rsid w:val="00CB3048"/>
    <w:rsid w:val="00CB31F7"/>
    <w:rsid w:val="00CB43B9"/>
    <w:rsid w:val="00CB4B65"/>
    <w:rsid w:val="00CB689D"/>
    <w:rsid w:val="00CB7D55"/>
    <w:rsid w:val="00CC369A"/>
    <w:rsid w:val="00CC5410"/>
    <w:rsid w:val="00CC6964"/>
    <w:rsid w:val="00CC6D4A"/>
    <w:rsid w:val="00CC7883"/>
    <w:rsid w:val="00CD1AE7"/>
    <w:rsid w:val="00CD1E0F"/>
    <w:rsid w:val="00CD28AE"/>
    <w:rsid w:val="00CD54C5"/>
    <w:rsid w:val="00CE15EB"/>
    <w:rsid w:val="00CE166C"/>
    <w:rsid w:val="00CE2BA6"/>
    <w:rsid w:val="00CE31EF"/>
    <w:rsid w:val="00CE4564"/>
    <w:rsid w:val="00CE5EB0"/>
    <w:rsid w:val="00CE79D9"/>
    <w:rsid w:val="00CF094C"/>
    <w:rsid w:val="00CF29A8"/>
    <w:rsid w:val="00CF2A17"/>
    <w:rsid w:val="00CF453B"/>
    <w:rsid w:val="00D00EED"/>
    <w:rsid w:val="00D010AF"/>
    <w:rsid w:val="00D025D3"/>
    <w:rsid w:val="00D035D8"/>
    <w:rsid w:val="00D036F1"/>
    <w:rsid w:val="00D044FD"/>
    <w:rsid w:val="00D0656E"/>
    <w:rsid w:val="00D06804"/>
    <w:rsid w:val="00D07114"/>
    <w:rsid w:val="00D1352D"/>
    <w:rsid w:val="00D1494E"/>
    <w:rsid w:val="00D159A8"/>
    <w:rsid w:val="00D16FBB"/>
    <w:rsid w:val="00D21ADD"/>
    <w:rsid w:val="00D225B4"/>
    <w:rsid w:val="00D24C24"/>
    <w:rsid w:val="00D25D43"/>
    <w:rsid w:val="00D305BB"/>
    <w:rsid w:val="00D339A1"/>
    <w:rsid w:val="00D33C59"/>
    <w:rsid w:val="00D34FA9"/>
    <w:rsid w:val="00D353EA"/>
    <w:rsid w:val="00D3673D"/>
    <w:rsid w:val="00D37842"/>
    <w:rsid w:val="00D37EF0"/>
    <w:rsid w:val="00D41667"/>
    <w:rsid w:val="00D42C44"/>
    <w:rsid w:val="00D446B8"/>
    <w:rsid w:val="00D44EFF"/>
    <w:rsid w:val="00D44F55"/>
    <w:rsid w:val="00D466B4"/>
    <w:rsid w:val="00D47454"/>
    <w:rsid w:val="00D475AE"/>
    <w:rsid w:val="00D47D9B"/>
    <w:rsid w:val="00D50F5A"/>
    <w:rsid w:val="00D5362B"/>
    <w:rsid w:val="00D53FD6"/>
    <w:rsid w:val="00D541C2"/>
    <w:rsid w:val="00D54257"/>
    <w:rsid w:val="00D5668B"/>
    <w:rsid w:val="00D5677C"/>
    <w:rsid w:val="00D57698"/>
    <w:rsid w:val="00D61071"/>
    <w:rsid w:val="00D615B7"/>
    <w:rsid w:val="00D6330F"/>
    <w:rsid w:val="00D657DB"/>
    <w:rsid w:val="00D665E7"/>
    <w:rsid w:val="00D67B8B"/>
    <w:rsid w:val="00D706A7"/>
    <w:rsid w:val="00D71D4B"/>
    <w:rsid w:val="00D724BA"/>
    <w:rsid w:val="00D7310D"/>
    <w:rsid w:val="00D73786"/>
    <w:rsid w:val="00D73AD0"/>
    <w:rsid w:val="00D746D6"/>
    <w:rsid w:val="00D747FE"/>
    <w:rsid w:val="00D75E32"/>
    <w:rsid w:val="00D76BED"/>
    <w:rsid w:val="00D807C0"/>
    <w:rsid w:val="00D80A7B"/>
    <w:rsid w:val="00D824E4"/>
    <w:rsid w:val="00D83030"/>
    <w:rsid w:val="00D83355"/>
    <w:rsid w:val="00D86BE5"/>
    <w:rsid w:val="00D90497"/>
    <w:rsid w:val="00D90DB9"/>
    <w:rsid w:val="00D937B8"/>
    <w:rsid w:val="00D940FF"/>
    <w:rsid w:val="00D953A2"/>
    <w:rsid w:val="00D95A1F"/>
    <w:rsid w:val="00D95D61"/>
    <w:rsid w:val="00D9742A"/>
    <w:rsid w:val="00DA0EF4"/>
    <w:rsid w:val="00DA0FC3"/>
    <w:rsid w:val="00DA1788"/>
    <w:rsid w:val="00DA3290"/>
    <w:rsid w:val="00DA333F"/>
    <w:rsid w:val="00DA597D"/>
    <w:rsid w:val="00DB0C62"/>
    <w:rsid w:val="00DB3AC6"/>
    <w:rsid w:val="00DB65BA"/>
    <w:rsid w:val="00DB68A3"/>
    <w:rsid w:val="00DB7D2A"/>
    <w:rsid w:val="00DC02E7"/>
    <w:rsid w:val="00DC0488"/>
    <w:rsid w:val="00DC052E"/>
    <w:rsid w:val="00DC2194"/>
    <w:rsid w:val="00DC2210"/>
    <w:rsid w:val="00DC2C72"/>
    <w:rsid w:val="00DC4415"/>
    <w:rsid w:val="00DC4AA2"/>
    <w:rsid w:val="00DC6CC8"/>
    <w:rsid w:val="00DC7918"/>
    <w:rsid w:val="00DC7EE2"/>
    <w:rsid w:val="00DD0BCA"/>
    <w:rsid w:val="00DD163A"/>
    <w:rsid w:val="00DD1897"/>
    <w:rsid w:val="00DD4C5E"/>
    <w:rsid w:val="00DD4DBB"/>
    <w:rsid w:val="00DD5023"/>
    <w:rsid w:val="00DE05AD"/>
    <w:rsid w:val="00DE1A4D"/>
    <w:rsid w:val="00DE2384"/>
    <w:rsid w:val="00DE350F"/>
    <w:rsid w:val="00DE46F5"/>
    <w:rsid w:val="00DE49E9"/>
    <w:rsid w:val="00DE6932"/>
    <w:rsid w:val="00DE7C62"/>
    <w:rsid w:val="00DF0AF4"/>
    <w:rsid w:val="00DF247A"/>
    <w:rsid w:val="00DF3B37"/>
    <w:rsid w:val="00E012D0"/>
    <w:rsid w:val="00E02189"/>
    <w:rsid w:val="00E03AEB"/>
    <w:rsid w:val="00E03BDE"/>
    <w:rsid w:val="00E10AA1"/>
    <w:rsid w:val="00E1414A"/>
    <w:rsid w:val="00E166AD"/>
    <w:rsid w:val="00E16839"/>
    <w:rsid w:val="00E1738D"/>
    <w:rsid w:val="00E211BF"/>
    <w:rsid w:val="00E2302F"/>
    <w:rsid w:val="00E248E8"/>
    <w:rsid w:val="00E24B8D"/>
    <w:rsid w:val="00E25753"/>
    <w:rsid w:val="00E26A60"/>
    <w:rsid w:val="00E27E29"/>
    <w:rsid w:val="00E304CE"/>
    <w:rsid w:val="00E3160F"/>
    <w:rsid w:val="00E33AC9"/>
    <w:rsid w:val="00E34479"/>
    <w:rsid w:val="00E42FF6"/>
    <w:rsid w:val="00E43052"/>
    <w:rsid w:val="00E44287"/>
    <w:rsid w:val="00E46276"/>
    <w:rsid w:val="00E50059"/>
    <w:rsid w:val="00E51494"/>
    <w:rsid w:val="00E52823"/>
    <w:rsid w:val="00E528E0"/>
    <w:rsid w:val="00E536B1"/>
    <w:rsid w:val="00E54BA0"/>
    <w:rsid w:val="00E55B83"/>
    <w:rsid w:val="00E57C4B"/>
    <w:rsid w:val="00E57FAC"/>
    <w:rsid w:val="00E60D3A"/>
    <w:rsid w:val="00E61544"/>
    <w:rsid w:val="00E66A3A"/>
    <w:rsid w:val="00E70207"/>
    <w:rsid w:val="00E71B99"/>
    <w:rsid w:val="00E73762"/>
    <w:rsid w:val="00E75844"/>
    <w:rsid w:val="00E809D3"/>
    <w:rsid w:val="00E8148D"/>
    <w:rsid w:val="00E81E89"/>
    <w:rsid w:val="00E82857"/>
    <w:rsid w:val="00E84759"/>
    <w:rsid w:val="00E867BA"/>
    <w:rsid w:val="00E87B65"/>
    <w:rsid w:val="00E87F69"/>
    <w:rsid w:val="00E902B0"/>
    <w:rsid w:val="00E91298"/>
    <w:rsid w:val="00E921EA"/>
    <w:rsid w:val="00E92372"/>
    <w:rsid w:val="00E92482"/>
    <w:rsid w:val="00E926EC"/>
    <w:rsid w:val="00E93536"/>
    <w:rsid w:val="00E939FC"/>
    <w:rsid w:val="00E94EF0"/>
    <w:rsid w:val="00E96A47"/>
    <w:rsid w:val="00E96B5F"/>
    <w:rsid w:val="00E97565"/>
    <w:rsid w:val="00E97B9E"/>
    <w:rsid w:val="00EA01B9"/>
    <w:rsid w:val="00EA18B0"/>
    <w:rsid w:val="00EA4B1F"/>
    <w:rsid w:val="00EA4E64"/>
    <w:rsid w:val="00EA5DC5"/>
    <w:rsid w:val="00EB1FEB"/>
    <w:rsid w:val="00EB3F72"/>
    <w:rsid w:val="00EB55C4"/>
    <w:rsid w:val="00EB7CB6"/>
    <w:rsid w:val="00EB7F6F"/>
    <w:rsid w:val="00EC0BF9"/>
    <w:rsid w:val="00EC1E77"/>
    <w:rsid w:val="00EC1EC3"/>
    <w:rsid w:val="00EC3AF2"/>
    <w:rsid w:val="00EC5AA4"/>
    <w:rsid w:val="00EC676E"/>
    <w:rsid w:val="00ED0BE5"/>
    <w:rsid w:val="00ED25F3"/>
    <w:rsid w:val="00ED25FC"/>
    <w:rsid w:val="00ED3DD7"/>
    <w:rsid w:val="00EE2674"/>
    <w:rsid w:val="00EE2E5A"/>
    <w:rsid w:val="00EE2EBA"/>
    <w:rsid w:val="00EE2EC6"/>
    <w:rsid w:val="00EE375D"/>
    <w:rsid w:val="00EE3F2E"/>
    <w:rsid w:val="00EE4453"/>
    <w:rsid w:val="00EE4855"/>
    <w:rsid w:val="00EE5543"/>
    <w:rsid w:val="00EE5ECA"/>
    <w:rsid w:val="00EE6165"/>
    <w:rsid w:val="00EE7AD3"/>
    <w:rsid w:val="00EE7D9A"/>
    <w:rsid w:val="00EE7EC2"/>
    <w:rsid w:val="00EF0E3E"/>
    <w:rsid w:val="00EF4E25"/>
    <w:rsid w:val="00EF550A"/>
    <w:rsid w:val="00EF698E"/>
    <w:rsid w:val="00EF7E39"/>
    <w:rsid w:val="00F00672"/>
    <w:rsid w:val="00F0180C"/>
    <w:rsid w:val="00F0192A"/>
    <w:rsid w:val="00F03829"/>
    <w:rsid w:val="00F0550B"/>
    <w:rsid w:val="00F074CE"/>
    <w:rsid w:val="00F076B3"/>
    <w:rsid w:val="00F10D4E"/>
    <w:rsid w:val="00F11BE2"/>
    <w:rsid w:val="00F136CD"/>
    <w:rsid w:val="00F13DA5"/>
    <w:rsid w:val="00F14BE2"/>
    <w:rsid w:val="00F16F8B"/>
    <w:rsid w:val="00F210B7"/>
    <w:rsid w:val="00F21D92"/>
    <w:rsid w:val="00F21EB0"/>
    <w:rsid w:val="00F225BB"/>
    <w:rsid w:val="00F26F32"/>
    <w:rsid w:val="00F273D7"/>
    <w:rsid w:val="00F27788"/>
    <w:rsid w:val="00F30DEE"/>
    <w:rsid w:val="00F3396F"/>
    <w:rsid w:val="00F33DA1"/>
    <w:rsid w:val="00F34716"/>
    <w:rsid w:val="00F35553"/>
    <w:rsid w:val="00F35CD2"/>
    <w:rsid w:val="00F36B46"/>
    <w:rsid w:val="00F4200E"/>
    <w:rsid w:val="00F43EE5"/>
    <w:rsid w:val="00F44ECE"/>
    <w:rsid w:val="00F469FC"/>
    <w:rsid w:val="00F47762"/>
    <w:rsid w:val="00F5067F"/>
    <w:rsid w:val="00F50A2F"/>
    <w:rsid w:val="00F533F0"/>
    <w:rsid w:val="00F53B2D"/>
    <w:rsid w:val="00F54675"/>
    <w:rsid w:val="00F5525C"/>
    <w:rsid w:val="00F56FF7"/>
    <w:rsid w:val="00F57443"/>
    <w:rsid w:val="00F600A4"/>
    <w:rsid w:val="00F60D8C"/>
    <w:rsid w:val="00F62136"/>
    <w:rsid w:val="00F62895"/>
    <w:rsid w:val="00F65C3B"/>
    <w:rsid w:val="00F66506"/>
    <w:rsid w:val="00F668FB"/>
    <w:rsid w:val="00F66FBF"/>
    <w:rsid w:val="00F6764E"/>
    <w:rsid w:val="00F67BBB"/>
    <w:rsid w:val="00F704CB"/>
    <w:rsid w:val="00F711F0"/>
    <w:rsid w:val="00F73678"/>
    <w:rsid w:val="00F73872"/>
    <w:rsid w:val="00F74019"/>
    <w:rsid w:val="00F7469F"/>
    <w:rsid w:val="00F80094"/>
    <w:rsid w:val="00F848B5"/>
    <w:rsid w:val="00F91854"/>
    <w:rsid w:val="00F91F03"/>
    <w:rsid w:val="00F928E9"/>
    <w:rsid w:val="00FA03FD"/>
    <w:rsid w:val="00FA1FCB"/>
    <w:rsid w:val="00FA2251"/>
    <w:rsid w:val="00FA3470"/>
    <w:rsid w:val="00FA5A41"/>
    <w:rsid w:val="00FA6D70"/>
    <w:rsid w:val="00FB0BAF"/>
    <w:rsid w:val="00FB5882"/>
    <w:rsid w:val="00FB6C54"/>
    <w:rsid w:val="00FB6E24"/>
    <w:rsid w:val="00FC0383"/>
    <w:rsid w:val="00FC03B8"/>
    <w:rsid w:val="00FC0497"/>
    <w:rsid w:val="00FC1009"/>
    <w:rsid w:val="00FC12FD"/>
    <w:rsid w:val="00FC1458"/>
    <w:rsid w:val="00FC1C08"/>
    <w:rsid w:val="00FC3333"/>
    <w:rsid w:val="00FC48E2"/>
    <w:rsid w:val="00FC6586"/>
    <w:rsid w:val="00FC67EB"/>
    <w:rsid w:val="00FC73D9"/>
    <w:rsid w:val="00FD0C28"/>
    <w:rsid w:val="00FD1FB5"/>
    <w:rsid w:val="00FD3619"/>
    <w:rsid w:val="00FD5045"/>
    <w:rsid w:val="00FD6004"/>
    <w:rsid w:val="00FD664E"/>
    <w:rsid w:val="00FD7B68"/>
    <w:rsid w:val="00FE0BC9"/>
    <w:rsid w:val="00FE44F8"/>
    <w:rsid w:val="00FE5EA9"/>
    <w:rsid w:val="00FE75C3"/>
    <w:rsid w:val="00FF0689"/>
    <w:rsid w:val="00FF2033"/>
    <w:rsid w:val="00FF2B39"/>
    <w:rsid w:val="00FF36D8"/>
    <w:rsid w:val="00FF3EA2"/>
    <w:rsid w:val="00FF43AE"/>
    <w:rsid w:val="00FF60CC"/>
    <w:rsid w:val="00FF6677"/>
    <w:rsid w:val="00FF6FCB"/>
    <w:rsid w:val="00FF750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uk-UA" w:eastAsia="en-US" w:bidi="ar-SA"/>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3DA"/>
  </w:style>
  <w:style w:type="paragraph" w:styleId="1">
    <w:name w:val="heading 1"/>
    <w:basedOn w:val="a"/>
    <w:next w:val="a"/>
    <w:link w:val="10"/>
    <w:uiPriority w:val="9"/>
    <w:qFormat/>
    <w:rsid w:val="00DA0E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DA0E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DA0EF4"/>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DA0EF4"/>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DA0EF4"/>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DA0EF4"/>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A0EF4"/>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A0EF4"/>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A0EF4"/>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A0EF4"/>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DA0EF4"/>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rsid w:val="00DA0EF4"/>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DA0EF4"/>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DA0EF4"/>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DA0EF4"/>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A0EF4"/>
    <w:rPr>
      <w:rFonts w:eastAsiaTheme="majorEastAsia" w:cstheme="majorBidi"/>
      <w:color w:val="595959" w:themeColor="text1" w:themeTint="A6"/>
    </w:rPr>
  </w:style>
  <w:style w:type="character" w:customStyle="1" w:styleId="80">
    <w:name w:val="Заголовок 8 Знак"/>
    <w:basedOn w:val="a0"/>
    <w:link w:val="8"/>
    <w:uiPriority w:val="9"/>
    <w:semiHidden/>
    <w:rsid w:val="00DA0EF4"/>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A0EF4"/>
    <w:rPr>
      <w:rFonts w:eastAsiaTheme="majorEastAsia" w:cstheme="majorBidi"/>
      <w:color w:val="272727" w:themeColor="text1" w:themeTint="D8"/>
    </w:rPr>
  </w:style>
  <w:style w:type="paragraph" w:styleId="a3">
    <w:name w:val="Title"/>
    <w:basedOn w:val="a"/>
    <w:next w:val="a"/>
    <w:link w:val="a4"/>
    <w:uiPriority w:val="10"/>
    <w:qFormat/>
    <w:rsid w:val="00DA0E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A0EF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A0EF4"/>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A0EF4"/>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A0EF4"/>
    <w:pPr>
      <w:spacing w:before="160"/>
      <w:jc w:val="center"/>
    </w:pPr>
    <w:rPr>
      <w:i/>
      <w:iCs/>
      <w:color w:val="404040" w:themeColor="text1" w:themeTint="BF"/>
    </w:rPr>
  </w:style>
  <w:style w:type="character" w:customStyle="1" w:styleId="22">
    <w:name w:val="Цитата 2 Знак"/>
    <w:basedOn w:val="a0"/>
    <w:link w:val="21"/>
    <w:uiPriority w:val="29"/>
    <w:rsid w:val="00DA0EF4"/>
    <w:rPr>
      <w:i/>
      <w:iCs/>
      <w:color w:val="404040" w:themeColor="text1" w:themeTint="BF"/>
    </w:rPr>
  </w:style>
  <w:style w:type="paragraph" w:styleId="a7">
    <w:name w:val="List Paragraph"/>
    <w:basedOn w:val="a"/>
    <w:uiPriority w:val="34"/>
    <w:qFormat/>
    <w:rsid w:val="00DA0EF4"/>
    <w:pPr>
      <w:ind w:left="720"/>
      <w:contextualSpacing/>
    </w:pPr>
  </w:style>
  <w:style w:type="character" w:styleId="a8">
    <w:name w:val="Intense Emphasis"/>
    <w:basedOn w:val="a0"/>
    <w:uiPriority w:val="21"/>
    <w:qFormat/>
    <w:rsid w:val="00DA0EF4"/>
    <w:rPr>
      <w:i/>
      <w:iCs/>
      <w:color w:val="0F4761" w:themeColor="accent1" w:themeShade="BF"/>
    </w:rPr>
  </w:style>
  <w:style w:type="paragraph" w:styleId="a9">
    <w:name w:val="Intense Quote"/>
    <w:basedOn w:val="a"/>
    <w:next w:val="a"/>
    <w:link w:val="aa"/>
    <w:uiPriority w:val="30"/>
    <w:qFormat/>
    <w:rsid w:val="00DA0E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DA0EF4"/>
    <w:rPr>
      <w:i/>
      <w:iCs/>
      <w:color w:val="0F4761" w:themeColor="accent1" w:themeShade="BF"/>
    </w:rPr>
  </w:style>
  <w:style w:type="character" w:styleId="ab">
    <w:name w:val="Intense Reference"/>
    <w:basedOn w:val="a0"/>
    <w:uiPriority w:val="32"/>
    <w:qFormat/>
    <w:rsid w:val="00DA0EF4"/>
    <w:rPr>
      <w:b/>
      <w:bCs/>
      <w:smallCaps/>
      <w:color w:val="0F4761" w:themeColor="accent1" w:themeShade="BF"/>
      <w:spacing w:val="5"/>
    </w:rPr>
  </w:style>
  <w:style w:type="paragraph" w:customStyle="1" w:styleId="Standard">
    <w:name w:val="Standard"/>
    <w:rsid w:val="00F73678"/>
    <w:pPr>
      <w:suppressAutoHyphens/>
      <w:autoSpaceDN w:val="0"/>
      <w:spacing w:after="0" w:line="240" w:lineRule="auto"/>
      <w:textAlignment w:val="baseline"/>
    </w:pPr>
    <w:rPr>
      <w:rFonts w:ascii="Liberation Serif" w:eastAsia="NSimSun" w:hAnsi="Liberation Serif" w:cs="Lucida Sans"/>
      <w:kern w:val="3"/>
      <w:lang w:eastAsia="zh-CN" w:bidi="hi-IN"/>
    </w:rPr>
  </w:style>
  <w:style w:type="numbering" w:customStyle="1" w:styleId="11">
    <w:name w:val="Немає списку1"/>
    <w:next w:val="a2"/>
    <w:uiPriority w:val="99"/>
    <w:semiHidden/>
    <w:unhideWhenUsed/>
    <w:rsid w:val="00B92086"/>
  </w:style>
  <w:style w:type="character" w:customStyle="1" w:styleId="12">
    <w:name w:val="Гіперпосилання1"/>
    <w:basedOn w:val="a0"/>
    <w:uiPriority w:val="99"/>
    <w:unhideWhenUsed/>
    <w:rsid w:val="00B92086"/>
    <w:rPr>
      <w:color w:val="0563C1"/>
      <w:u w:val="single"/>
    </w:rPr>
  </w:style>
  <w:style w:type="paragraph" w:customStyle="1" w:styleId="StandardWW">
    <w:name w:val="Standard (WW)"/>
    <w:rsid w:val="00B92086"/>
    <w:pPr>
      <w:widowControl w:val="0"/>
      <w:suppressAutoHyphens/>
      <w:autoSpaceDN w:val="0"/>
      <w:spacing w:after="0" w:line="240" w:lineRule="auto"/>
      <w:textAlignment w:val="baseline"/>
    </w:pPr>
    <w:rPr>
      <w:rFonts w:ascii="Liberation Serif" w:eastAsia="NSimSun" w:hAnsi="Liberation Serif" w:cs="Lucida Sans"/>
      <w:kern w:val="3"/>
      <w:lang w:eastAsia="zh-CN" w:bidi="hi-IN"/>
    </w:rPr>
  </w:style>
  <w:style w:type="paragraph" w:customStyle="1" w:styleId="13">
    <w:name w:val="Текст1"/>
    <w:basedOn w:val="a"/>
    <w:next w:val="ac"/>
    <w:link w:val="ad"/>
    <w:uiPriority w:val="99"/>
    <w:unhideWhenUsed/>
    <w:rsid w:val="00B92086"/>
    <w:pPr>
      <w:spacing w:after="0" w:line="240" w:lineRule="auto"/>
    </w:pPr>
    <w:rPr>
      <w:rFonts w:ascii="Consolas" w:eastAsia="SimSun" w:hAnsi="Consolas"/>
      <w:sz w:val="21"/>
      <w:szCs w:val="21"/>
    </w:rPr>
  </w:style>
  <w:style w:type="character" w:customStyle="1" w:styleId="ad">
    <w:name w:val="Текст Знак"/>
    <w:basedOn w:val="a0"/>
    <w:link w:val="13"/>
    <w:uiPriority w:val="99"/>
    <w:rsid w:val="00B92086"/>
    <w:rPr>
      <w:rFonts w:ascii="Consolas" w:eastAsia="SimSun" w:hAnsi="Consolas"/>
      <w:sz w:val="21"/>
      <w:szCs w:val="21"/>
      <w:lang w:val="uk-UA"/>
    </w:rPr>
  </w:style>
  <w:style w:type="paragraph" w:styleId="ae">
    <w:name w:val="Normal (Web)"/>
    <w:basedOn w:val="a"/>
    <w:uiPriority w:val="99"/>
    <w:unhideWhenUsed/>
    <w:rsid w:val="00B92086"/>
    <w:pPr>
      <w:spacing w:before="100" w:beforeAutospacing="1" w:after="100" w:afterAutospacing="1" w:line="240" w:lineRule="auto"/>
    </w:pPr>
    <w:rPr>
      <w:rFonts w:ascii="Times New Roman" w:eastAsia="Times New Roman" w:hAnsi="Times New Roman" w:cs="Times New Roman"/>
      <w:kern w:val="0"/>
      <w:lang w:eastAsia="uk-UA"/>
    </w:rPr>
  </w:style>
  <w:style w:type="numbering" w:customStyle="1" w:styleId="WWNum5">
    <w:name w:val="WWNum5"/>
    <w:basedOn w:val="a2"/>
    <w:rsid w:val="00B92086"/>
    <w:pPr>
      <w:numPr>
        <w:numId w:val="10"/>
      </w:numPr>
    </w:pPr>
  </w:style>
  <w:style w:type="character" w:customStyle="1" w:styleId="14">
    <w:name w:val="Незакрита згадка1"/>
    <w:basedOn w:val="a0"/>
    <w:uiPriority w:val="99"/>
    <w:semiHidden/>
    <w:unhideWhenUsed/>
    <w:rsid w:val="00B92086"/>
    <w:rPr>
      <w:color w:val="605E5C"/>
      <w:shd w:val="clear" w:color="auto" w:fill="E1DFDD"/>
    </w:rPr>
  </w:style>
  <w:style w:type="numbering" w:customStyle="1" w:styleId="WWNum51">
    <w:name w:val="WWNum51"/>
    <w:basedOn w:val="a2"/>
    <w:rsid w:val="00B92086"/>
  </w:style>
  <w:style w:type="paragraph" w:styleId="af">
    <w:name w:val="Balloon Text"/>
    <w:basedOn w:val="a"/>
    <w:link w:val="af0"/>
    <w:uiPriority w:val="99"/>
    <w:semiHidden/>
    <w:unhideWhenUsed/>
    <w:rsid w:val="00B92086"/>
    <w:pPr>
      <w:spacing w:after="0" w:line="240" w:lineRule="auto"/>
    </w:pPr>
    <w:rPr>
      <w:rFonts w:ascii="Tahoma" w:eastAsia="SimSun" w:hAnsi="Tahoma" w:cs="Tahoma"/>
      <w:kern w:val="0"/>
      <w:sz w:val="16"/>
      <w:szCs w:val="16"/>
    </w:rPr>
  </w:style>
  <w:style w:type="character" w:customStyle="1" w:styleId="af0">
    <w:name w:val="Текст выноски Знак"/>
    <w:basedOn w:val="a0"/>
    <w:link w:val="af"/>
    <w:uiPriority w:val="99"/>
    <w:semiHidden/>
    <w:rsid w:val="00B92086"/>
    <w:rPr>
      <w:rFonts w:ascii="Tahoma" w:eastAsia="SimSun" w:hAnsi="Tahoma" w:cs="Tahoma"/>
      <w:kern w:val="0"/>
      <w:sz w:val="16"/>
      <w:szCs w:val="16"/>
    </w:rPr>
  </w:style>
  <w:style w:type="character" w:customStyle="1" w:styleId="15">
    <w:name w:val="Неразрешенное упоминание1"/>
    <w:basedOn w:val="a0"/>
    <w:uiPriority w:val="99"/>
    <w:semiHidden/>
    <w:unhideWhenUsed/>
    <w:rsid w:val="00B92086"/>
    <w:rPr>
      <w:color w:val="605E5C"/>
      <w:shd w:val="clear" w:color="auto" w:fill="E1DFDD"/>
    </w:rPr>
  </w:style>
  <w:style w:type="character" w:styleId="af1">
    <w:name w:val="Emphasis"/>
    <w:basedOn w:val="a0"/>
    <w:uiPriority w:val="20"/>
    <w:qFormat/>
    <w:rsid w:val="00B92086"/>
    <w:rPr>
      <w:i/>
      <w:iCs/>
    </w:rPr>
  </w:style>
  <w:style w:type="character" w:customStyle="1" w:styleId="binomial">
    <w:name w:val="binomial"/>
    <w:basedOn w:val="a0"/>
    <w:rsid w:val="00B92086"/>
  </w:style>
  <w:style w:type="character" w:styleId="af2">
    <w:name w:val="Strong"/>
    <w:basedOn w:val="a0"/>
    <w:uiPriority w:val="22"/>
    <w:qFormat/>
    <w:rsid w:val="00B92086"/>
    <w:rPr>
      <w:b/>
      <w:bCs/>
    </w:rPr>
  </w:style>
  <w:style w:type="character" w:styleId="af3">
    <w:name w:val="Hyperlink"/>
    <w:basedOn w:val="a0"/>
    <w:uiPriority w:val="99"/>
    <w:unhideWhenUsed/>
    <w:rsid w:val="00B92086"/>
    <w:rPr>
      <w:color w:val="467886" w:themeColor="hyperlink"/>
      <w:u w:val="single"/>
    </w:rPr>
  </w:style>
  <w:style w:type="paragraph" w:styleId="ac">
    <w:name w:val="Plain Text"/>
    <w:basedOn w:val="a"/>
    <w:link w:val="16"/>
    <w:uiPriority w:val="99"/>
    <w:unhideWhenUsed/>
    <w:rsid w:val="00B92086"/>
    <w:pPr>
      <w:spacing w:after="0" w:line="240" w:lineRule="auto"/>
    </w:pPr>
    <w:rPr>
      <w:rFonts w:ascii="Consolas" w:hAnsi="Consolas"/>
      <w:sz w:val="21"/>
      <w:szCs w:val="21"/>
    </w:rPr>
  </w:style>
  <w:style w:type="character" w:customStyle="1" w:styleId="16">
    <w:name w:val="Текст Знак1"/>
    <w:basedOn w:val="a0"/>
    <w:link w:val="ac"/>
    <w:uiPriority w:val="99"/>
    <w:semiHidden/>
    <w:rsid w:val="00B92086"/>
    <w:rPr>
      <w:rFonts w:ascii="Consolas" w:hAnsi="Consolas"/>
      <w:sz w:val="21"/>
      <w:szCs w:val="21"/>
    </w:rPr>
  </w:style>
  <w:style w:type="numbering" w:customStyle="1" w:styleId="WWNum52">
    <w:name w:val="WWNum52"/>
    <w:basedOn w:val="a2"/>
    <w:rsid w:val="003A274B"/>
    <w:pPr>
      <w:numPr>
        <w:numId w:val="1"/>
      </w:numPr>
    </w:pPr>
  </w:style>
  <w:style w:type="numbering" w:customStyle="1" w:styleId="23">
    <w:name w:val="Немає списку2"/>
    <w:next w:val="a2"/>
    <w:uiPriority w:val="99"/>
    <w:semiHidden/>
    <w:unhideWhenUsed/>
    <w:rsid w:val="00CB3048"/>
  </w:style>
  <w:style w:type="paragraph" w:styleId="af4">
    <w:name w:val="header"/>
    <w:basedOn w:val="a"/>
    <w:link w:val="af5"/>
    <w:uiPriority w:val="99"/>
    <w:unhideWhenUsed/>
    <w:rsid w:val="00CB3048"/>
    <w:pPr>
      <w:tabs>
        <w:tab w:val="center" w:pos="4819"/>
        <w:tab w:val="right" w:pos="9639"/>
      </w:tabs>
      <w:spacing w:after="0" w:line="240" w:lineRule="auto"/>
    </w:pPr>
    <w:rPr>
      <w:rFonts w:eastAsia="SimSun"/>
      <w:kern w:val="0"/>
      <w:sz w:val="22"/>
      <w:szCs w:val="22"/>
    </w:rPr>
  </w:style>
  <w:style w:type="character" w:customStyle="1" w:styleId="af5">
    <w:name w:val="Верхний колонтитул Знак"/>
    <w:basedOn w:val="a0"/>
    <w:link w:val="af4"/>
    <w:uiPriority w:val="99"/>
    <w:rsid w:val="00CB3048"/>
    <w:rPr>
      <w:rFonts w:eastAsia="SimSun"/>
      <w:kern w:val="0"/>
      <w:sz w:val="22"/>
      <w:szCs w:val="22"/>
    </w:rPr>
  </w:style>
  <w:style w:type="paragraph" w:styleId="af6">
    <w:name w:val="footer"/>
    <w:basedOn w:val="a"/>
    <w:link w:val="af7"/>
    <w:uiPriority w:val="99"/>
    <w:unhideWhenUsed/>
    <w:rsid w:val="00CB3048"/>
    <w:pPr>
      <w:tabs>
        <w:tab w:val="center" w:pos="4819"/>
        <w:tab w:val="right" w:pos="9639"/>
      </w:tabs>
      <w:spacing w:after="0" w:line="240" w:lineRule="auto"/>
    </w:pPr>
    <w:rPr>
      <w:rFonts w:eastAsia="SimSun"/>
      <w:kern w:val="0"/>
      <w:sz w:val="22"/>
      <w:szCs w:val="22"/>
    </w:rPr>
  </w:style>
  <w:style w:type="character" w:customStyle="1" w:styleId="af7">
    <w:name w:val="Нижний колонтитул Знак"/>
    <w:basedOn w:val="a0"/>
    <w:link w:val="af6"/>
    <w:uiPriority w:val="99"/>
    <w:rsid w:val="00CB3048"/>
    <w:rPr>
      <w:rFonts w:eastAsia="SimSun"/>
      <w:kern w:val="0"/>
      <w:sz w:val="22"/>
      <w:szCs w:val="22"/>
    </w:rPr>
  </w:style>
  <w:style w:type="table" w:styleId="af8">
    <w:name w:val="Table Grid"/>
    <w:basedOn w:val="a1"/>
    <w:uiPriority w:val="39"/>
    <w:rsid w:val="00CB30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s-1">
    <w:name w:val="ms-1"/>
    <w:basedOn w:val="a0"/>
    <w:rsid w:val="00D76BED"/>
  </w:style>
  <w:style w:type="character" w:customStyle="1" w:styleId="max-w-15ch">
    <w:name w:val="max-w-[15ch]"/>
    <w:basedOn w:val="a0"/>
    <w:rsid w:val="00D76BED"/>
  </w:style>
  <w:style w:type="character" w:customStyle="1" w:styleId="-me-1">
    <w:name w:val="-me-1"/>
    <w:basedOn w:val="a0"/>
    <w:rsid w:val="00D76BED"/>
  </w:style>
  <w:style w:type="paragraph" w:customStyle="1" w:styleId="Heading">
    <w:name w:val="Heading"/>
    <w:basedOn w:val="Standard"/>
    <w:next w:val="Textbody"/>
    <w:rsid w:val="003D09AE"/>
    <w:pPr>
      <w:keepNext/>
      <w:spacing w:before="240" w:after="120"/>
    </w:pPr>
    <w:rPr>
      <w:rFonts w:ascii="Liberation Sans" w:eastAsia="Microsoft YaHei" w:hAnsi="Liberation Sans"/>
      <w:sz w:val="28"/>
      <w:szCs w:val="28"/>
    </w:rPr>
  </w:style>
  <w:style w:type="paragraph" w:customStyle="1" w:styleId="Textbody">
    <w:name w:val="Text body"/>
    <w:basedOn w:val="Standard"/>
    <w:rsid w:val="003D09AE"/>
    <w:pPr>
      <w:spacing w:after="140" w:line="276" w:lineRule="auto"/>
    </w:pPr>
  </w:style>
  <w:style w:type="paragraph" w:styleId="af9">
    <w:name w:val="List"/>
    <w:basedOn w:val="Textbody"/>
    <w:rsid w:val="003D09AE"/>
  </w:style>
  <w:style w:type="paragraph" w:styleId="afa">
    <w:name w:val="caption"/>
    <w:basedOn w:val="Standard"/>
    <w:rsid w:val="003D09AE"/>
    <w:pPr>
      <w:suppressLineNumbers/>
      <w:spacing w:before="120" w:after="120"/>
    </w:pPr>
    <w:rPr>
      <w:i/>
      <w:iCs/>
    </w:rPr>
  </w:style>
  <w:style w:type="paragraph" w:customStyle="1" w:styleId="Index">
    <w:name w:val="Index"/>
    <w:basedOn w:val="Standard"/>
    <w:rsid w:val="003D09AE"/>
    <w:pPr>
      <w:suppressLineNumbers/>
    </w:pPr>
  </w:style>
  <w:style w:type="numbering" w:customStyle="1" w:styleId="31">
    <w:name w:val="Немає списку3"/>
    <w:next w:val="a2"/>
    <w:uiPriority w:val="99"/>
    <w:semiHidden/>
    <w:unhideWhenUsed/>
    <w:rsid w:val="00334672"/>
  </w:style>
  <w:style w:type="numbering" w:customStyle="1" w:styleId="17">
    <w:name w:val="Нет списка1"/>
    <w:next w:val="a2"/>
    <w:uiPriority w:val="99"/>
    <w:semiHidden/>
    <w:unhideWhenUsed/>
    <w:rsid w:val="00334672"/>
  </w:style>
  <w:style w:type="numbering" w:customStyle="1" w:styleId="110">
    <w:name w:val="Нет списка11"/>
    <w:next w:val="a2"/>
    <w:uiPriority w:val="99"/>
    <w:semiHidden/>
    <w:unhideWhenUsed/>
    <w:rsid w:val="00334672"/>
  </w:style>
  <w:style w:type="table" w:customStyle="1" w:styleId="18">
    <w:name w:val="Сітка таблиці1"/>
    <w:basedOn w:val="a1"/>
    <w:next w:val="af8"/>
    <w:uiPriority w:val="39"/>
    <w:rsid w:val="00334672"/>
    <w:pPr>
      <w:spacing w:after="0" w:line="240" w:lineRule="auto"/>
    </w:pPr>
    <w:rPr>
      <w:kern w:val="0"/>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b">
    <w:name w:val="No Spacing"/>
    <w:uiPriority w:val="1"/>
    <w:qFormat/>
    <w:rsid w:val="00DA0FC3"/>
    <w:pPr>
      <w:spacing w:after="0" w:line="240" w:lineRule="auto"/>
    </w:pPr>
    <w:rPr>
      <w:kern w:val="0"/>
      <w:sz w:val="22"/>
      <w:szCs w:val="22"/>
      <w:lang w:val="ru-RU"/>
    </w:rPr>
  </w:style>
  <w:style w:type="numbering" w:customStyle="1" w:styleId="41">
    <w:name w:val="Немає списку4"/>
    <w:next w:val="a2"/>
    <w:uiPriority w:val="99"/>
    <w:semiHidden/>
    <w:unhideWhenUsed/>
    <w:rsid w:val="008A4327"/>
  </w:style>
  <w:style w:type="numbering" w:customStyle="1" w:styleId="51">
    <w:name w:val="Немає списку5"/>
    <w:next w:val="a2"/>
    <w:uiPriority w:val="99"/>
    <w:semiHidden/>
    <w:unhideWhenUsed/>
    <w:rsid w:val="00854E40"/>
  </w:style>
  <w:style w:type="numbering" w:customStyle="1" w:styleId="120">
    <w:name w:val="Нет списка12"/>
    <w:next w:val="a2"/>
    <w:uiPriority w:val="99"/>
    <w:semiHidden/>
    <w:unhideWhenUsed/>
    <w:rsid w:val="00854E40"/>
  </w:style>
  <w:style w:type="numbering" w:customStyle="1" w:styleId="111">
    <w:name w:val="Нет списка111"/>
    <w:next w:val="a2"/>
    <w:uiPriority w:val="99"/>
    <w:semiHidden/>
    <w:unhideWhenUsed/>
    <w:rsid w:val="00854E40"/>
  </w:style>
  <w:style w:type="table" w:customStyle="1" w:styleId="24">
    <w:name w:val="Сітка таблиці2"/>
    <w:basedOn w:val="a1"/>
    <w:next w:val="af8"/>
    <w:uiPriority w:val="39"/>
    <w:rsid w:val="00854E40"/>
    <w:pPr>
      <w:spacing w:after="0" w:line="240" w:lineRule="auto"/>
    </w:pPr>
    <w:rPr>
      <w:kern w:val="0"/>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5">
    <w:name w:val="Нет списка2"/>
    <w:next w:val="a2"/>
    <w:uiPriority w:val="99"/>
    <w:semiHidden/>
    <w:unhideWhenUsed/>
    <w:rsid w:val="00854E40"/>
  </w:style>
  <w:style w:type="character" w:customStyle="1" w:styleId="19">
    <w:name w:val="Переглянуте гіперпосилання1"/>
    <w:basedOn w:val="a0"/>
    <w:uiPriority w:val="99"/>
    <w:semiHidden/>
    <w:unhideWhenUsed/>
    <w:rsid w:val="00854E40"/>
    <w:rPr>
      <w:color w:val="954F72"/>
      <w:u w:val="single"/>
    </w:rPr>
  </w:style>
  <w:style w:type="character" w:styleId="afc">
    <w:name w:val="FollowedHyperlink"/>
    <w:basedOn w:val="a0"/>
    <w:uiPriority w:val="99"/>
    <w:semiHidden/>
    <w:unhideWhenUsed/>
    <w:rsid w:val="00854E40"/>
    <w:rPr>
      <w:color w:val="96607D" w:themeColor="followedHyperlink"/>
      <w:u w:val="single"/>
    </w:rPr>
  </w:style>
  <w:style w:type="character" w:customStyle="1" w:styleId="26">
    <w:name w:val="Незакрита згадка2"/>
    <w:basedOn w:val="a0"/>
    <w:uiPriority w:val="99"/>
    <w:semiHidden/>
    <w:unhideWhenUsed/>
    <w:rsid w:val="00812316"/>
    <w:rPr>
      <w:color w:val="605E5C"/>
      <w:shd w:val="clear" w:color="auto" w:fill="E1DFDD"/>
    </w:rPr>
  </w:style>
  <w:style w:type="paragraph" w:styleId="afd">
    <w:name w:val="Revision"/>
    <w:hidden/>
    <w:uiPriority w:val="99"/>
    <w:semiHidden/>
    <w:rsid w:val="00F74019"/>
    <w:pPr>
      <w:spacing w:after="0" w:line="240" w:lineRule="auto"/>
    </w:pPr>
  </w:style>
  <w:style w:type="paragraph" w:styleId="1a">
    <w:name w:val="toc 1"/>
    <w:basedOn w:val="a"/>
    <w:next w:val="a"/>
    <w:autoRedefine/>
    <w:uiPriority w:val="39"/>
    <w:unhideWhenUsed/>
    <w:rsid w:val="002E04F9"/>
    <w:pPr>
      <w:spacing w:after="100"/>
    </w:pPr>
  </w:style>
  <w:style w:type="paragraph" w:styleId="27">
    <w:name w:val="toc 2"/>
    <w:basedOn w:val="a"/>
    <w:next w:val="a"/>
    <w:autoRedefine/>
    <w:uiPriority w:val="39"/>
    <w:unhideWhenUsed/>
    <w:rsid w:val="00F3396F"/>
    <w:pPr>
      <w:tabs>
        <w:tab w:val="left" w:pos="880"/>
        <w:tab w:val="right" w:leader="dot" w:pos="9343"/>
      </w:tabs>
      <w:spacing w:after="0" w:line="360" w:lineRule="auto"/>
      <w:jc w:val="both"/>
    </w:pPr>
    <w:rPr>
      <w:rFonts w:ascii="Times New Roman" w:eastAsia="Times New Roman" w:hAnsi="Times New Roman" w:cs="Times New Roman"/>
      <w:noProof/>
      <w:sz w:val="28"/>
      <w:szCs w:val="28"/>
    </w:rPr>
  </w:style>
  <w:style w:type="paragraph" w:styleId="32">
    <w:name w:val="toc 3"/>
    <w:basedOn w:val="a"/>
    <w:next w:val="a"/>
    <w:autoRedefine/>
    <w:uiPriority w:val="39"/>
    <w:unhideWhenUsed/>
    <w:rsid w:val="002E04F9"/>
    <w:pPr>
      <w:tabs>
        <w:tab w:val="right" w:leader="dot" w:pos="9343"/>
      </w:tabs>
      <w:spacing w:after="0" w:line="360" w:lineRule="auto"/>
      <w:ind w:firstLine="709"/>
      <w:jc w:val="both"/>
    </w:pPr>
  </w:style>
  <w:style w:type="character" w:customStyle="1" w:styleId="UnresolvedMention">
    <w:name w:val="Unresolved Mention"/>
    <w:basedOn w:val="a0"/>
    <w:uiPriority w:val="99"/>
    <w:semiHidden/>
    <w:unhideWhenUsed/>
    <w:rsid w:val="00116124"/>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hart" Target="charts/chart46.xml"/><Relationship Id="rId21" Type="http://schemas.openxmlformats.org/officeDocument/2006/relationships/hyperlink" Target="http://confer.uiesr.sops.gov.ua/miron2022/paper/viewFile/26209/14883" TargetMode="External"/><Relationship Id="rId42" Type="http://schemas.openxmlformats.org/officeDocument/2006/relationships/chart" Target="charts/chart9.xml"/><Relationship Id="rId63" Type="http://schemas.openxmlformats.org/officeDocument/2006/relationships/image" Target="media/image18.jpeg"/><Relationship Id="rId84" Type="http://schemas.openxmlformats.org/officeDocument/2006/relationships/footer" Target="footer4.xml"/><Relationship Id="rId138" Type="http://schemas.openxmlformats.org/officeDocument/2006/relationships/chart" Target="charts/chart67.xml"/><Relationship Id="rId159" Type="http://schemas.openxmlformats.org/officeDocument/2006/relationships/chart" Target="charts/chart86.xml"/><Relationship Id="rId170" Type="http://schemas.openxmlformats.org/officeDocument/2006/relationships/chart" Target="charts/chart92.xml"/><Relationship Id="rId191" Type="http://schemas.openxmlformats.org/officeDocument/2006/relationships/footer" Target="footer7.xml"/><Relationship Id="rId205" Type="http://schemas.openxmlformats.org/officeDocument/2006/relationships/image" Target="media/image52.jpeg"/><Relationship Id="rId226" Type="http://schemas.openxmlformats.org/officeDocument/2006/relationships/footer" Target="footer26.xml"/><Relationship Id="rId247" Type="http://schemas.openxmlformats.org/officeDocument/2006/relationships/footer" Target="footer47.xml"/><Relationship Id="rId107" Type="http://schemas.openxmlformats.org/officeDocument/2006/relationships/chart" Target="charts/chart36.xml"/><Relationship Id="rId268" Type="http://schemas.openxmlformats.org/officeDocument/2006/relationships/theme" Target="theme/theme1.xml"/><Relationship Id="rId11" Type="http://schemas.openxmlformats.org/officeDocument/2006/relationships/hyperlink" Target="https://doi.org/10.32851/2226-0099.2022.127.8" TargetMode="External"/><Relationship Id="rId32" Type="http://schemas.openxmlformats.org/officeDocument/2006/relationships/image" Target="media/image1.jpeg"/><Relationship Id="rId53" Type="http://schemas.openxmlformats.org/officeDocument/2006/relationships/chart" Target="charts/chart15.xml"/><Relationship Id="rId74" Type="http://schemas.openxmlformats.org/officeDocument/2006/relationships/header" Target="header4.xml"/><Relationship Id="rId128" Type="http://schemas.openxmlformats.org/officeDocument/2006/relationships/chart" Target="charts/chart57.xml"/><Relationship Id="rId149" Type="http://schemas.openxmlformats.org/officeDocument/2006/relationships/chart" Target="charts/chart78.xml"/><Relationship Id="rId5" Type="http://schemas.openxmlformats.org/officeDocument/2006/relationships/webSettings" Target="webSettings.xml"/><Relationship Id="rId95" Type="http://schemas.openxmlformats.org/officeDocument/2006/relationships/chart" Target="charts/chart24.xml"/><Relationship Id="rId160" Type="http://schemas.openxmlformats.org/officeDocument/2006/relationships/chart" Target="charts/chart87.xml"/><Relationship Id="rId181" Type="http://schemas.openxmlformats.org/officeDocument/2006/relationships/chart" Target="charts/chart96.xml"/><Relationship Id="rId216" Type="http://schemas.openxmlformats.org/officeDocument/2006/relationships/footer" Target="footer16.xml"/><Relationship Id="rId237" Type="http://schemas.openxmlformats.org/officeDocument/2006/relationships/footer" Target="footer37.xml"/><Relationship Id="rId258" Type="http://schemas.openxmlformats.org/officeDocument/2006/relationships/header" Target="header17.xml"/><Relationship Id="rId22" Type="http://schemas.openxmlformats.org/officeDocument/2006/relationships/hyperlink" Target="https://biology.udau.edu.ua/assets/files/praci/zbirnik-konferencii-22.06.2022.pdf" TargetMode="External"/><Relationship Id="rId43" Type="http://schemas.openxmlformats.org/officeDocument/2006/relationships/chart" Target="charts/chart10.xml"/><Relationship Id="rId64" Type="http://schemas.openxmlformats.org/officeDocument/2006/relationships/image" Target="media/image19.jpeg"/><Relationship Id="rId118" Type="http://schemas.openxmlformats.org/officeDocument/2006/relationships/chart" Target="charts/chart47.xml"/><Relationship Id="rId139" Type="http://schemas.openxmlformats.org/officeDocument/2006/relationships/chart" Target="charts/chart68.xml"/><Relationship Id="rId85" Type="http://schemas.openxmlformats.org/officeDocument/2006/relationships/image" Target="media/image33.jpeg"/><Relationship Id="rId150" Type="http://schemas.openxmlformats.org/officeDocument/2006/relationships/chart" Target="charts/chart79.xml"/><Relationship Id="rId171" Type="http://schemas.openxmlformats.org/officeDocument/2006/relationships/chart" Target="charts/chart93.xml"/><Relationship Id="rId192" Type="http://schemas.openxmlformats.org/officeDocument/2006/relationships/footer" Target="footer8.xml"/><Relationship Id="rId206" Type="http://schemas.openxmlformats.org/officeDocument/2006/relationships/image" Target="media/image53.jpeg"/><Relationship Id="rId227" Type="http://schemas.openxmlformats.org/officeDocument/2006/relationships/footer" Target="footer27.xml"/><Relationship Id="rId248" Type="http://schemas.openxmlformats.org/officeDocument/2006/relationships/footer" Target="footer48.xml"/><Relationship Id="rId269" Type="http://schemas.microsoft.com/office/2007/relationships/stylesWithEffects" Target="stylesWithEffects.xml"/><Relationship Id="rId12" Type="http://schemas.openxmlformats.org/officeDocument/2006/relationships/hyperlink" Target="DOI:%20https://doi.org/10.48077/scihor6.2023.7" TargetMode="External"/><Relationship Id="rId33" Type="http://schemas.openxmlformats.org/officeDocument/2006/relationships/image" Target="media/image2.jpeg"/><Relationship Id="rId108" Type="http://schemas.openxmlformats.org/officeDocument/2006/relationships/chart" Target="charts/chart37.xml"/><Relationship Id="rId129" Type="http://schemas.openxmlformats.org/officeDocument/2006/relationships/chart" Target="charts/chart58.xml"/><Relationship Id="rId54" Type="http://schemas.openxmlformats.org/officeDocument/2006/relationships/image" Target="media/image11.png"/><Relationship Id="rId75" Type="http://schemas.openxmlformats.org/officeDocument/2006/relationships/footer" Target="footer1.xml"/><Relationship Id="rId96" Type="http://schemas.openxmlformats.org/officeDocument/2006/relationships/chart" Target="charts/chart25.xml"/><Relationship Id="rId140" Type="http://schemas.openxmlformats.org/officeDocument/2006/relationships/chart" Target="charts/chart69.xml"/><Relationship Id="rId161" Type="http://schemas.openxmlformats.org/officeDocument/2006/relationships/chart" Target="charts/chart88.xml"/><Relationship Id="rId182" Type="http://schemas.openxmlformats.org/officeDocument/2006/relationships/chart" Target="charts/chart97.xml"/><Relationship Id="rId217" Type="http://schemas.openxmlformats.org/officeDocument/2006/relationships/footer" Target="footer17.xml"/><Relationship Id="rId6" Type="http://schemas.openxmlformats.org/officeDocument/2006/relationships/footnotes" Target="footnotes.xml"/><Relationship Id="rId238" Type="http://schemas.openxmlformats.org/officeDocument/2006/relationships/footer" Target="footer38.xml"/><Relationship Id="rId259" Type="http://schemas.openxmlformats.org/officeDocument/2006/relationships/footer" Target="footer58.xml"/><Relationship Id="rId23" Type="http://schemas.openxmlformats.org/officeDocument/2006/relationships/hyperlink" Target="https://archive.interconf.center/index.php/conference-proceeding/article/view/1088/1114" TargetMode="External"/><Relationship Id="rId28" Type="http://schemas.openxmlformats.org/officeDocument/2006/relationships/header" Target="header3.xml"/><Relationship Id="rId49" Type="http://schemas.openxmlformats.org/officeDocument/2006/relationships/image" Target="media/image10.jpeg"/><Relationship Id="rId114" Type="http://schemas.openxmlformats.org/officeDocument/2006/relationships/chart" Target="charts/chart43.xml"/><Relationship Id="rId119" Type="http://schemas.openxmlformats.org/officeDocument/2006/relationships/chart" Target="charts/chart48.xml"/><Relationship Id="rId44" Type="http://schemas.openxmlformats.org/officeDocument/2006/relationships/chart" Target="charts/chart11.xml"/><Relationship Id="rId60" Type="http://schemas.openxmlformats.org/officeDocument/2006/relationships/image" Target="media/image15.jpeg"/><Relationship Id="rId65" Type="http://schemas.openxmlformats.org/officeDocument/2006/relationships/image" Target="media/image20.jpeg"/><Relationship Id="rId81" Type="http://schemas.openxmlformats.org/officeDocument/2006/relationships/header" Target="header5.xml"/><Relationship Id="rId86" Type="http://schemas.openxmlformats.org/officeDocument/2006/relationships/image" Target="media/image34.jpeg"/><Relationship Id="rId130" Type="http://schemas.openxmlformats.org/officeDocument/2006/relationships/chart" Target="charts/chart59.xml"/><Relationship Id="rId135" Type="http://schemas.openxmlformats.org/officeDocument/2006/relationships/chart" Target="charts/chart64.xml"/><Relationship Id="rId151" Type="http://schemas.openxmlformats.org/officeDocument/2006/relationships/chart" Target="charts/chart80.xml"/><Relationship Id="rId156" Type="http://schemas.openxmlformats.org/officeDocument/2006/relationships/chart" Target="charts/chart83.xml"/><Relationship Id="rId177" Type="http://schemas.openxmlformats.org/officeDocument/2006/relationships/image" Target="media/image48.jpeg"/><Relationship Id="rId198" Type="http://schemas.openxmlformats.org/officeDocument/2006/relationships/footer" Target="footer12.xml"/><Relationship Id="rId172" Type="http://schemas.openxmlformats.org/officeDocument/2006/relationships/chart" Target="charts/chart94.xml"/><Relationship Id="rId193" Type="http://schemas.openxmlformats.org/officeDocument/2006/relationships/footer" Target="footer9.xml"/><Relationship Id="rId202" Type="http://schemas.openxmlformats.org/officeDocument/2006/relationships/hyperlink" Target="https://www.sci.u-szeged.hu/ABS" TargetMode="External"/><Relationship Id="rId207" Type="http://schemas.openxmlformats.org/officeDocument/2006/relationships/image" Target="media/image54.jpeg"/><Relationship Id="rId223" Type="http://schemas.openxmlformats.org/officeDocument/2006/relationships/footer" Target="footer23.xml"/><Relationship Id="rId228" Type="http://schemas.openxmlformats.org/officeDocument/2006/relationships/footer" Target="footer28.xml"/><Relationship Id="rId244" Type="http://schemas.openxmlformats.org/officeDocument/2006/relationships/footer" Target="footer44.xml"/><Relationship Id="rId249" Type="http://schemas.openxmlformats.org/officeDocument/2006/relationships/footer" Target="footer49.xml"/><Relationship Id="rId13" Type="http://schemas.openxmlformats.org/officeDocument/2006/relationships/hyperlink" Target="https://doi.org/10.24412/2520-6990-2022-19142-34-37" TargetMode="External"/><Relationship Id="rId18" Type="http://schemas.openxmlformats.org/officeDocument/2006/relationships/hyperlink" Target="https://ojs.ukrlogos.in.ua/index.php/interconf/issue/view/26-28.02.2022/720" TargetMode="External"/><Relationship Id="rId39" Type="http://schemas.openxmlformats.org/officeDocument/2006/relationships/chart" Target="charts/chart6.xml"/><Relationship Id="rId109" Type="http://schemas.openxmlformats.org/officeDocument/2006/relationships/chart" Target="charts/chart38.xml"/><Relationship Id="rId260" Type="http://schemas.openxmlformats.org/officeDocument/2006/relationships/footer" Target="footer59.xml"/><Relationship Id="rId265" Type="http://schemas.openxmlformats.org/officeDocument/2006/relationships/footer" Target="footer64.xml"/><Relationship Id="rId34" Type="http://schemas.openxmlformats.org/officeDocument/2006/relationships/image" Target="media/image3.jpeg"/><Relationship Id="rId50" Type="http://schemas.openxmlformats.org/officeDocument/2006/relationships/chart" Target="charts/chart12.xml"/><Relationship Id="rId55" Type="http://schemas.openxmlformats.org/officeDocument/2006/relationships/image" Target="media/image12.jpeg"/><Relationship Id="rId76" Type="http://schemas.openxmlformats.org/officeDocument/2006/relationships/footer" Target="footer2.xml"/><Relationship Id="rId97" Type="http://schemas.openxmlformats.org/officeDocument/2006/relationships/chart" Target="charts/chart26.xml"/><Relationship Id="rId104" Type="http://schemas.openxmlformats.org/officeDocument/2006/relationships/chart" Target="charts/chart33.xml"/><Relationship Id="rId120" Type="http://schemas.openxmlformats.org/officeDocument/2006/relationships/chart" Target="charts/chart49.xml"/><Relationship Id="rId125" Type="http://schemas.openxmlformats.org/officeDocument/2006/relationships/chart" Target="charts/chart54.xml"/><Relationship Id="rId141" Type="http://schemas.openxmlformats.org/officeDocument/2006/relationships/chart" Target="charts/chart70.xml"/><Relationship Id="rId146" Type="http://schemas.openxmlformats.org/officeDocument/2006/relationships/chart" Target="charts/chart75.xml"/><Relationship Id="rId167" Type="http://schemas.openxmlformats.org/officeDocument/2006/relationships/chart" Target="charts/chart89.xml"/><Relationship Id="rId188" Type="http://schemas.openxmlformats.org/officeDocument/2006/relationships/footer" Target="footer6.xml"/><Relationship Id="rId7" Type="http://schemas.openxmlformats.org/officeDocument/2006/relationships/endnotes" Target="endnotes.xml"/><Relationship Id="rId71" Type="http://schemas.openxmlformats.org/officeDocument/2006/relationships/image" Target="media/image26.jpeg"/><Relationship Id="rId92" Type="http://schemas.openxmlformats.org/officeDocument/2006/relationships/chart" Target="charts/chart21.xml"/><Relationship Id="rId162" Type="http://schemas.openxmlformats.org/officeDocument/2006/relationships/image" Target="media/image39.jpeg"/><Relationship Id="rId183" Type="http://schemas.openxmlformats.org/officeDocument/2006/relationships/chart" Target="charts/chart98.xml"/><Relationship Id="rId213" Type="http://schemas.openxmlformats.org/officeDocument/2006/relationships/footer" Target="footer13.xml"/><Relationship Id="rId218" Type="http://schemas.openxmlformats.org/officeDocument/2006/relationships/footer" Target="footer18.xml"/><Relationship Id="rId234" Type="http://schemas.openxmlformats.org/officeDocument/2006/relationships/footer" Target="footer34.xml"/><Relationship Id="rId239" Type="http://schemas.openxmlformats.org/officeDocument/2006/relationships/footer" Target="footer39.xml"/><Relationship Id="rId2" Type="http://schemas.openxmlformats.org/officeDocument/2006/relationships/numbering" Target="numbering.xml"/><Relationship Id="rId29" Type="http://schemas.openxmlformats.org/officeDocument/2006/relationships/chart" Target="charts/chart1.xml"/><Relationship Id="rId250" Type="http://schemas.openxmlformats.org/officeDocument/2006/relationships/footer" Target="footer50.xml"/><Relationship Id="rId255" Type="http://schemas.openxmlformats.org/officeDocument/2006/relationships/footer" Target="footer55.xml"/><Relationship Id="rId24" Type="http://schemas.openxmlformats.org/officeDocument/2006/relationships/hyperlink" Target="http://baltijapublishing.lv/omp/index.php/bp/catalog/view/252/7079/14745-1" TargetMode="External"/><Relationship Id="rId40" Type="http://schemas.openxmlformats.org/officeDocument/2006/relationships/chart" Target="charts/chart7.xml"/><Relationship Id="rId45" Type="http://schemas.openxmlformats.org/officeDocument/2006/relationships/image" Target="media/image6.jpeg"/><Relationship Id="rId66" Type="http://schemas.openxmlformats.org/officeDocument/2006/relationships/image" Target="media/image21.jpeg"/><Relationship Id="rId87" Type="http://schemas.openxmlformats.org/officeDocument/2006/relationships/image" Target="media/image35.jpeg"/><Relationship Id="rId110" Type="http://schemas.openxmlformats.org/officeDocument/2006/relationships/chart" Target="charts/chart39.xml"/><Relationship Id="rId115" Type="http://schemas.openxmlformats.org/officeDocument/2006/relationships/chart" Target="charts/chart44.xml"/><Relationship Id="rId131" Type="http://schemas.openxmlformats.org/officeDocument/2006/relationships/chart" Target="charts/chart60.xml"/><Relationship Id="rId136" Type="http://schemas.openxmlformats.org/officeDocument/2006/relationships/chart" Target="charts/chart65.xml"/><Relationship Id="rId157" Type="http://schemas.openxmlformats.org/officeDocument/2006/relationships/chart" Target="charts/chart84.xml"/><Relationship Id="rId178" Type="http://schemas.openxmlformats.org/officeDocument/2006/relationships/image" Target="media/image49.jpeg"/><Relationship Id="rId61" Type="http://schemas.openxmlformats.org/officeDocument/2006/relationships/image" Target="media/image16.jpeg"/><Relationship Id="rId82" Type="http://schemas.openxmlformats.org/officeDocument/2006/relationships/header" Target="header6.xml"/><Relationship Id="rId152" Type="http://schemas.openxmlformats.org/officeDocument/2006/relationships/chart" Target="charts/chart81.xml"/><Relationship Id="rId173" Type="http://schemas.openxmlformats.org/officeDocument/2006/relationships/image" Target="media/image44.jpeg"/><Relationship Id="rId194" Type="http://schemas.openxmlformats.org/officeDocument/2006/relationships/footer" Target="footer10.xml"/><Relationship Id="rId199" Type="http://schemas.openxmlformats.org/officeDocument/2006/relationships/header" Target="header15.xml"/><Relationship Id="rId203" Type="http://schemas.openxmlformats.org/officeDocument/2006/relationships/hyperlink" Target="https://doi.org/10.1007/s13205-021-02645-7" TargetMode="External"/><Relationship Id="rId208" Type="http://schemas.openxmlformats.org/officeDocument/2006/relationships/image" Target="media/image55.jpeg"/><Relationship Id="rId229" Type="http://schemas.openxmlformats.org/officeDocument/2006/relationships/footer" Target="footer29.xml"/><Relationship Id="rId19" Type="http://schemas.openxmlformats.org/officeDocument/2006/relationships/hyperlink" Target="https://ojs.ukrlogos.in.ua/index.php/interconf/article/view/18816" TargetMode="External"/><Relationship Id="rId224" Type="http://schemas.openxmlformats.org/officeDocument/2006/relationships/footer" Target="footer24.xml"/><Relationship Id="rId240" Type="http://schemas.openxmlformats.org/officeDocument/2006/relationships/footer" Target="footer40.xml"/><Relationship Id="rId245" Type="http://schemas.openxmlformats.org/officeDocument/2006/relationships/footer" Target="footer45.xml"/><Relationship Id="rId261" Type="http://schemas.openxmlformats.org/officeDocument/2006/relationships/footer" Target="footer60.xml"/><Relationship Id="rId266" Type="http://schemas.openxmlformats.org/officeDocument/2006/relationships/footer" Target="footer65.xml"/><Relationship Id="rId14" Type="http://schemas.openxmlformats.org/officeDocument/2006/relationships/hyperlink" Target="http://molodyvcheny.in.ua/ua/conf/sociol/archive/1622/" TargetMode="External"/><Relationship Id="rId30" Type="http://schemas.openxmlformats.org/officeDocument/2006/relationships/chart" Target="charts/chart2.xml"/><Relationship Id="rId35" Type="http://schemas.openxmlformats.org/officeDocument/2006/relationships/image" Target="media/image4.jpeg"/><Relationship Id="rId56" Type="http://schemas.openxmlformats.org/officeDocument/2006/relationships/chart" Target="charts/chart16.xml"/><Relationship Id="rId77" Type="http://schemas.openxmlformats.org/officeDocument/2006/relationships/image" Target="media/image29.png"/><Relationship Id="rId100" Type="http://schemas.openxmlformats.org/officeDocument/2006/relationships/chart" Target="charts/chart29.xml"/><Relationship Id="rId105" Type="http://schemas.openxmlformats.org/officeDocument/2006/relationships/chart" Target="charts/chart34.xml"/><Relationship Id="rId126" Type="http://schemas.openxmlformats.org/officeDocument/2006/relationships/chart" Target="charts/chart55.xml"/><Relationship Id="rId147" Type="http://schemas.openxmlformats.org/officeDocument/2006/relationships/chart" Target="charts/chart76.xml"/><Relationship Id="rId168" Type="http://schemas.openxmlformats.org/officeDocument/2006/relationships/chart" Target="charts/chart90.xml"/><Relationship Id="rId8" Type="http://schemas.openxmlformats.org/officeDocument/2006/relationships/header" Target="header1.xml"/><Relationship Id="rId51" Type="http://schemas.openxmlformats.org/officeDocument/2006/relationships/chart" Target="charts/chart13.xml"/><Relationship Id="rId72" Type="http://schemas.openxmlformats.org/officeDocument/2006/relationships/image" Target="media/image27.jpeg"/><Relationship Id="rId93" Type="http://schemas.openxmlformats.org/officeDocument/2006/relationships/chart" Target="charts/chart22.xml"/><Relationship Id="rId98" Type="http://schemas.openxmlformats.org/officeDocument/2006/relationships/chart" Target="charts/chart27.xml"/><Relationship Id="rId121" Type="http://schemas.openxmlformats.org/officeDocument/2006/relationships/chart" Target="charts/chart50.xml"/><Relationship Id="rId142" Type="http://schemas.openxmlformats.org/officeDocument/2006/relationships/chart" Target="charts/chart71.xml"/><Relationship Id="rId163" Type="http://schemas.openxmlformats.org/officeDocument/2006/relationships/image" Target="media/image40.png"/><Relationship Id="rId184" Type="http://schemas.openxmlformats.org/officeDocument/2006/relationships/chart" Target="charts/chart99.xml"/><Relationship Id="rId189" Type="http://schemas.openxmlformats.org/officeDocument/2006/relationships/header" Target="header11.xml"/><Relationship Id="rId219" Type="http://schemas.openxmlformats.org/officeDocument/2006/relationships/footer" Target="footer19.xml"/><Relationship Id="rId3" Type="http://schemas.openxmlformats.org/officeDocument/2006/relationships/styles" Target="styles.xml"/><Relationship Id="rId214" Type="http://schemas.openxmlformats.org/officeDocument/2006/relationships/footer" Target="footer14.xml"/><Relationship Id="rId230" Type="http://schemas.openxmlformats.org/officeDocument/2006/relationships/footer" Target="footer30.xml"/><Relationship Id="rId235" Type="http://schemas.openxmlformats.org/officeDocument/2006/relationships/footer" Target="footer35.xml"/><Relationship Id="rId251" Type="http://schemas.openxmlformats.org/officeDocument/2006/relationships/footer" Target="footer51.xml"/><Relationship Id="rId256" Type="http://schemas.openxmlformats.org/officeDocument/2006/relationships/footer" Target="footer56.xml"/><Relationship Id="rId25" Type="http://schemas.openxmlformats.org/officeDocument/2006/relationships/hyperlink" Target="https://www.researchgate.net/profile/Fakhraddin-Karimov/publication/376487142AZRBAYCANIN_QARABAG_V_SRQI_ZNGZUR_IQTISADI_RAYONLARINDA_YASIL_ENERGETIKANIN_INKISAFI_IMKANLARININ_QIYMTLNDIRILMSI/links/657aa831ea5f7f02056d5b43/AZRBAYCANIN-QARABAG-V-SRQI-ZNGZUR-IQTISADI-RAYONLARINDA-YASIL-ENERGETIKANIN-INKISAFI-IMKANLARININ-QIYMTLNDIRILMSI.pdf" TargetMode="External"/><Relationship Id="rId46" Type="http://schemas.openxmlformats.org/officeDocument/2006/relationships/image" Target="media/image7.jpeg"/><Relationship Id="rId67" Type="http://schemas.openxmlformats.org/officeDocument/2006/relationships/image" Target="media/image22.jpeg"/><Relationship Id="rId116" Type="http://schemas.openxmlformats.org/officeDocument/2006/relationships/chart" Target="charts/chart45.xml"/><Relationship Id="rId137" Type="http://schemas.openxmlformats.org/officeDocument/2006/relationships/chart" Target="charts/chart66.xml"/><Relationship Id="rId158" Type="http://schemas.openxmlformats.org/officeDocument/2006/relationships/chart" Target="charts/chart85.xml"/><Relationship Id="rId20" Type="http://schemas.openxmlformats.org/officeDocument/2006/relationships/hyperlink" Target="https://sci-conf.com.ua/wp-content/uploads/2022/05/MODERN-RESEARCH-IN-WORLD-SCIENCE-15-17.05.22.pdf" TargetMode="External"/><Relationship Id="rId41" Type="http://schemas.openxmlformats.org/officeDocument/2006/relationships/chart" Target="charts/chart8.xml"/><Relationship Id="rId62" Type="http://schemas.openxmlformats.org/officeDocument/2006/relationships/image" Target="media/image17.jpeg"/><Relationship Id="rId83" Type="http://schemas.openxmlformats.org/officeDocument/2006/relationships/footer" Target="footer3.xml"/><Relationship Id="rId88" Type="http://schemas.openxmlformats.org/officeDocument/2006/relationships/header" Target="header7.xml"/><Relationship Id="rId111" Type="http://schemas.openxmlformats.org/officeDocument/2006/relationships/chart" Target="charts/chart40.xml"/><Relationship Id="rId132" Type="http://schemas.openxmlformats.org/officeDocument/2006/relationships/chart" Target="charts/chart61.xml"/><Relationship Id="rId153" Type="http://schemas.openxmlformats.org/officeDocument/2006/relationships/header" Target="header8.xml"/><Relationship Id="rId174" Type="http://schemas.openxmlformats.org/officeDocument/2006/relationships/image" Target="media/image45.jpeg"/><Relationship Id="rId179" Type="http://schemas.openxmlformats.org/officeDocument/2006/relationships/image" Target="media/image50.jpeg"/><Relationship Id="rId195" Type="http://schemas.openxmlformats.org/officeDocument/2006/relationships/header" Target="header13.xml"/><Relationship Id="rId209" Type="http://schemas.openxmlformats.org/officeDocument/2006/relationships/image" Target="media/image56.jpeg"/><Relationship Id="rId190" Type="http://schemas.openxmlformats.org/officeDocument/2006/relationships/header" Target="header12.xml"/><Relationship Id="rId204" Type="http://schemas.openxmlformats.org/officeDocument/2006/relationships/image" Target="media/image51.jpeg"/><Relationship Id="rId220" Type="http://schemas.openxmlformats.org/officeDocument/2006/relationships/footer" Target="footer20.xml"/><Relationship Id="rId225" Type="http://schemas.openxmlformats.org/officeDocument/2006/relationships/footer" Target="footer25.xml"/><Relationship Id="rId241" Type="http://schemas.openxmlformats.org/officeDocument/2006/relationships/footer" Target="footer41.xml"/><Relationship Id="rId246" Type="http://schemas.openxmlformats.org/officeDocument/2006/relationships/footer" Target="footer46.xml"/><Relationship Id="rId267" Type="http://schemas.openxmlformats.org/officeDocument/2006/relationships/fontTable" Target="fontTable.xml"/><Relationship Id="rId15" Type="http://schemas.openxmlformats.org/officeDocument/2006/relationships/hyperlink" Target="https://doi.org/10.30525/978-9934-26-164-0-5" TargetMode="External"/><Relationship Id="rId36" Type="http://schemas.openxmlformats.org/officeDocument/2006/relationships/image" Target="media/image5.png"/><Relationship Id="rId57" Type="http://schemas.openxmlformats.org/officeDocument/2006/relationships/chart" Target="charts/chart17.xml"/><Relationship Id="rId106" Type="http://schemas.openxmlformats.org/officeDocument/2006/relationships/chart" Target="charts/chart35.xml"/><Relationship Id="rId127" Type="http://schemas.openxmlformats.org/officeDocument/2006/relationships/chart" Target="charts/chart56.xml"/><Relationship Id="rId262" Type="http://schemas.openxmlformats.org/officeDocument/2006/relationships/footer" Target="footer61.xml"/><Relationship Id="rId10" Type="http://schemas.openxmlformats.org/officeDocument/2006/relationships/hyperlink" Target="https://doi.org/10.32848/agrar.innov.2022.11.3" TargetMode="External"/><Relationship Id="rId31" Type="http://schemas.openxmlformats.org/officeDocument/2006/relationships/chart" Target="charts/chart3.xml"/><Relationship Id="rId52" Type="http://schemas.openxmlformats.org/officeDocument/2006/relationships/chart" Target="charts/chart14.xml"/><Relationship Id="rId73" Type="http://schemas.openxmlformats.org/officeDocument/2006/relationships/image" Target="media/image28.jpeg"/><Relationship Id="rId78" Type="http://schemas.openxmlformats.org/officeDocument/2006/relationships/image" Target="media/image30.png"/><Relationship Id="rId94" Type="http://schemas.openxmlformats.org/officeDocument/2006/relationships/chart" Target="charts/chart23.xml"/><Relationship Id="rId99" Type="http://schemas.openxmlformats.org/officeDocument/2006/relationships/chart" Target="charts/chart28.xml"/><Relationship Id="rId101" Type="http://schemas.openxmlformats.org/officeDocument/2006/relationships/chart" Target="charts/chart30.xml"/><Relationship Id="rId122" Type="http://schemas.openxmlformats.org/officeDocument/2006/relationships/chart" Target="charts/chart51.xml"/><Relationship Id="rId143" Type="http://schemas.openxmlformats.org/officeDocument/2006/relationships/chart" Target="charts/chart72.xml"/><Relationship Id="rId148" Type="http://schemas.openxmlformats.org/officeDocument/2006/relationships/chart" Target="charts/chart77.xml"/><Relationship Id="rId164" Type="http://schemas.openxmlformats.org/officeDocument/2006/relationships/image" Target="media/image41.png"/><Relationship Id="rId169" Type="http://schemas.openxmlformats.org/officeDocument/2006/relationships/chart" Target="charts/chart91.xml"/><Relationship Id="rId185" Type="http://schemas.openxmlformats.org/officeDocument/2006/relationships/chart" Target="charts/chart100.xml"/><Relationship Id="rId4" Type="http://schemas.openxmlformats.org/officeDocument/2006/relationships/settings" Target="settings.xml"/><Relationship Id="rId9" Type="http://schemas.openxmlformats.org/officeDocument/2006/relationships/hyperlink" Target="https://doi.org/10.32851/2226-0099.2022.123.10" TargetMode="External"/><Relationship Id="rId180" Type="http://schemas.openxmlformats.org/officeDocument/2006/relationships/chart" Target="charts/chart95.xml"/><Relationship Id="rId210" Type="http://schemas.openxmlformats.org/officeDocument/2006/relationships/image" Target="media/image57.jpeg"/><Relationship Id="rId215" Type="http://schemas.openxmlformats.org/officeDocument/2006/relationships/footer" Target="footer15.xml"/><Relationship Id="rId236" Type="http://schemas.openxmlformats.org/officeDocument/2006/relationships/footer" Target="footer36.xml"/><Relationship Id="rId257" Type="http://schemas.openxmlformats.org/officeDocument/2006/relationships/footer" Target="footer57.xml"/><Relationship Id="rId26" Type="http://schemas.openxmlformats.org/officeDocument/2006/relationships/hyperlink" Target="https://en.wikipedia.org/wiki/Adrian_Hardy_Haworth" TargetMode="External"/><Relationship Id="rId231" Type="http://schemas.openxmlformats.org/officeDocument/2006/relationships/footer" Target="footer31.xml"/><Relationship Id="rId252" Type="http://schemas.openxmlformats.org/officeDocument/2006/relationships/footer" Target="footer52.xml"/><Relationship Id="rId47" Type="http://schemas.openxmlformats.org/officeDocument/2006/relationships/image" Target="media/image8.jpeg"/><Relationship Id="rId68" Type="http://schemas.openxmlformats.org/officeDocument/2006/relationships/image" Target="media/image23.jpeg"/><Relationship Id="rId89" Type="http://schemas.openxmlformats.org/officeDocument/2006/relationships/chart" Target="charts/chart18.xml"/><Relationship Id="rId112" Type="http://schemas.openxmlformats.org/officeDocument/2006/relationships/chart" Target="charts/chart41.xml"/><Relationship Id="rId133" Type="http://schemas.openxmlformats.org/officeDocument/2006/relationships/chart" Target="charts/chart62.xml"/><Relationship Id="rId154" Type="http://schemas.openxmlformats.org/officeDocument/2006/relationships/footer" Target="footer5.xml"/><Relationship Id="rId175" Type="http://schemas.openxmlformats.org/officeDocument/2006/relationships/image" Target="media/image46.jpeg"/><Relationship Id="rId196" Type="http://schemas.openxmlformats.org/officeDocument/2006/relationships/header" Target="header14.xml"/><Relationship Id="rId200" Type="http://schemas.openxmlformats.org/officeDocument/2006/relationships/hyperlink" Target="https://doi.org/10.36495/PHSS.2024.70.267-276" TargetMode="External"/><Relationship Id="rId16" Type="http://schemas.openxmlformats.org/officeDocument/2006/relationships/hyperlink" Target="https://doi.org/10.30525/978-9934-26-184-8-12" TargetMode="External"/><Relationship Id="rId221" Type="http://schemas.openxmlformats.org/officeDocument/2006/relationships/footer" Target="footer21.xml"/><Relationship Id="rId242" Type="http://schemas.openxmlformats.org/officeDocument/2006/relationships/footer" Target="footer42.xml"/><Relationship Id="rId263" Type="http://schemas.openxmlformats.org/officeDocument/2006/relationships/footer" Target="footer62.xml"/><Relationship Id="rId37" Type="http://schemas.openxmlformats.org/officeDocument/2006/relationships/chart" Target="charts/chart4.xml"/><Relationship Id="rId58" Type="http://schemas.openxmlformats.org/officeDocument/2006/relationships/image" Target="media/image13.jpeg"/><Relationship Id="rId79" Type="http://schemas.openxmlformats.org/officeDocument/2006/relationships/image" Target="media/image31.png"/><Relationship Id="rId102" Type="http://schemas.openxmlformats.org/officeDocument/2006/relationships/chart" Target="charts/chart31.xml"/><Relationship Id="rId123" Type="http://schemas.openxmlformats.org/officeDocument/2006/relationships/chart" Target="charts/chart52.xml"/><Relationship Id="rId144" Type="http://schemas.openxmlformats.org/officeDocument/2006/relationships/chart" Target="charts/chart73.xml"/><Relationship Id="rId90" Type="http://schemas.openxmlformats.org/officeDocument/2006/relationships/chart" Target="charts/chart19.xml"/><Relationship Id="rId165" Type="http://schemas.openxmlformats.org/officeDocument/2006/relationships/image" Target="media/image42.png"/><Relationship Id="rId186" Type="http://schemas.openxmlformats.org/officeDocument/2006/relationships/header" Target="header9.xml"/><Relationship Id="rId211" Type="http://schemas.openxmlformats.org/officeDocument/2006/relationships/image" Target="media/image58.jpeg"/><Relationship Id="rId232" Type="http://schemas.openxmlformats.org/officeDocument/2006/relationships/footer" Target="footer32.xml"/><Relationship Id="rId253" Type="http://schemas.openxmlformats.org/officeDocument/2006/relationships/footer" Target="footer53.xml"/><Relationship Id="rId27" Type="http://schemas.openxmlformats.org/officeDocument/2006/relationships/header" Target="header2.xml"/><Relationship Id="rId48" Type="http://schemas.openxmlformats.org/officeDocument/2006/relationships/image" Target="media/image9.jpeg"/><Relationship Id="rId69" Type="http://schemas.openxmlformats.org/officeDocument/2006/relationships/image" Target="media/image24.jpeg"/><Relationship Id="rId113" Type="http://schemas.openxmlformats.org/officeDocument/2006/relationships/chart" Target="charts/chart42.xml"/><Relationship Id="rId134" Type="http://schemas.openxmlformats.org/officeDocument/2006/relationships/chart" Target="charts/chart63.xml"/><Relationship Id="rId80" Type="http://schemas.openxmlformats.org/officeDocument/2006/relationships/image" Target="media/image32.png"/><Relationship Id="rId155" Type="http://schemas.openxmlformats.org/officeDocument/2006/relationships/chart" Target="charts/chart82.xml"/><Relationship Id="rId176" Type="http://schemas.openxmlformats.org/officeDocument/2006/relationships/image" Target="media/image47.png"/><Relationship Id="rId197" Type="http://schemas.openxmlformats.org/officeDocument/2006/relationships/footer" Target="footer11.xml"/><Relationship Id="rId201" Type="http://schemas.openxmlformats.org/officeDocument/2006/relationships/hyperlink" Target="https://doi.org/10.18524/2307-4663.2023.1(57).276078" TargetMode="External"/><Relationship Id="rId222" Type="http://schemas.openxmlformats.org/officeDocument/2006/relationships/footer" Target="footer22.xml"/><Relationship Id="rId243" Type="http://schemas.openxmlformats.org/officeDocument/2006/relationships/footer" Target="footer43.xml"/><Relationship Id="rId264" Type="http://schemas.openxmlformats.org/officeDocument/2006/relationships/footer" Target="footer63.xml"/><Relationship Id="rId17" Type="http://schemas.openxmlformats.org/officeDocument/2006/relationships/hyperlink" Target="https://sci-conf.com.ua/wp-content/uploads/2022/01/INTERNATIONAL-SCIENTIFIC-INNOVATIONS-IN-HUMAN-LIFE-19-21.01.22.pdf" TargetMode="External"/><Relationship Id="rId38" Type="http://schemas.openxmlformats.org/officeDocument/2006/relationships/chart" Target="charts/chart5.xml"/><Relationship Id="rId59" Type="http://schemas.openxmlformats.org/officeDocument/2006/relationships/image" Target="media/image14.jpeg"/><Relationship Id="rId103" Type="http://schemas.openxmlformats.org/officeDocument/2006/relationships/chart" Target="charts/chart32.xml"/><Relationship Id="rId124" Type="http://schemas.openxmlformats.org/officeDocument/2006/relationships/chart" Target="charts/chart53.xml"/><Relationship Id="rId70" Type="http://schemas.openxmlformats.org/officeDocument/2006/relationships/image" Target="media/image25.jpeg"/><Relationship Id="rId91" Type="http://schemas.openxmlformats.org/officeDocument/2006/relationships/chart" Target="charts/chart20.xml"/><Relationship Id="rId145" Type="http://schemas.openxmlformats.org/officeDocument/2006/relationships/chart" Target="charts/chart74.xml"/><Relationship Id="rId166" Type="http://schemas.openxmlformats.org/officeDocument/2006/relationships/image" Target="media/image43.jpeg"/><Relationship Id="rId187" Type="http://schemas.openxmlformats.org/officeDocument/2006/relationships/header" Target="header10.xml"/><Relationship Id="rId1" Type="http://schemas.openxmlformats.org/officeDocument/2006/relationships/customXml" Target="../customXml/item1.xml"/><Relationship Id="rId212" Type="http://schemas.openxmlformats.org/officeDocument/2006/relationships/header" Target="header16.xml"/><Relationship Id="rId233" Type="http://schemas.openxmlformats.org/officeDocument/2006/relationships/footer" Target="footer33.xml"/><Relationship Id="rId254" Type="http://schemas.openxmlformats.org/officeDocument/2006/relationships/footer" Target="footer54.xml"/></Relationships>
</file>

<file path=word/charts/_rels/chart1.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2.09.2025%20&#1063;&#1086;&#1088;&#1085;&#1086;&#1074;&#1080;&#1082;\&#1055;&#1088;&#1080;&#1078;&#1080;&#1074;&#1083;&#1102;&#1074;&#1072;&#1085;&#1110;&#1089;&#1090;&#1100;%20&#1077;&#1082;&#1089;&#1087;&#1083;&#1072;&#1085;&#1090;&#1110;&#1074;%20&#1089;&#1077;&#1088;&#1077;&#1076;&#1086;&#1074;&#1080;&#1097;&#1077;%2012.09.202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2.09.2025%20&#1063;&#1086;&#1088;&#1085;&#1086;&#1074;&#1080;&#1082;\&#1055;&#1088;&#1080;&#1078;&#1080;&#1074;&#1083;&#1102;&#1074;&#1072;&#1085;&#1110;&#1089;&#1090;&#1100;%20&#1077;&#1082;&#1089;&#1087;&#1083;&#1072;&#1085;&#1090;&#1110;&#1074;%20&#1089;&#1077;&#1088;&#1077;&#1076;&#1086;&#1074;&#1080;&#1097;&#1077;%2012.09.202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2.09.2025%20&#1063;&#1086;&#1088;&#1085;&#1086;&#1074;&#1080;&#1082;\&#1055;&#1088;&#1080;&#1078;&#1080;&#1074;&#1083;&#1102;&#1074;&#1072;&#1085;&#1110;&#1089;&#1090;&#1100;%20&#1077;&#1082;&#1089;&#1087;&#1083;&#1072;&#1085;&#1090;&#1110;&#1074;%20&#1089;&#1091;&#1073;&#1089;&#1090;&#1088;&#1072;&#1090;&#108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056;&#1077;&#1075;&#1077;&#1085;&#1077;&#1088;&#1072;&#1094;&#1110;&#1103;\&#1055;&#1086;&#1095;&#1072;&#1090;&#1086;&#1082;%20&#1088;&#1077;&#1075;&#1077;&#1085;&#1077;&#1088;&#1072;&#1094;.%2005.05.2025.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056;&#1077;&#1075;&#1077;&#1085;&#1077;&#1088;&#1072;&#1094;&#1110;&#1103;\&#1055;&#1086;&#1095;&#1072;&#1090;&#1086;&#1082;%20&#1088;&#1077;&#1075;&#1077;&#1085;&#1077;&#1088;&#1072;&#1094;.%2005.05.2025.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056;&#1077;&#1075;&#1077;&#1085;&#1077;&#1088;&#1072;&#1094;&#1110;&#1103;\&#1055;&#1086;&#1095;&#1072;&#1090;&#1086;&#1082;%20&#1088;&#1077;&#1075;&#1077;&#1085;&#1077;&#1088;&#1072;&#1094;.%2005.05.2025.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056;&#1077;&#1075;&#1077;&#1085;&#1077;&#1088;&#1072;&#1094;&#1110;&#1103;\&#1055;&#1086;&#1095;&#1072;&#1090;&#1086;&#1082;%20&#1088;&#1077;&#1075;&#1077;&#1085;&#1077;&#1088;&#1072;&#1094;.%2005.05.2025.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056;&#1077;&#1075;&#1077;&#1085;&#1077;&#1088;&#1072;&#1094;&#1110;&#1103;\&#1055;&#1086;&#1095;&#1072;&#1090;&#1086;&#1082;%20&#1088;&#1077;&#1075;&#1077;&#1085;&#1077;&#1088;&#1072;&#1094;.%2005.05.2025.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056;&#1077;&#1075;&#1077;&#1085;&#1077;&#1088;&#1072;&#1094;&#1110;&#1103;\&#1055;&#1086;&#1095;&#1072;&#1090;&#1086;&#1082;%20&#1088;&#1077;&#1075;&#1077;&#1085;&#1077;&#1088;&#1072;&#1094;.%2005.05.2025.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D:\&#1044;&#1110;&#1089;&#1082;\&#1052;&#1054;&#1071;%20&#1055;&#1040;&#1055;&#1050;&#1040;\&#1052;&#1040;&#1052;&#1040;%20&#1056;&#1054;&#1041;&#1054;&#1063;&#1030;%20&#1052;&#1040;&#1058;&#1045;&#1056;&#1030;&#1040;&#1051;&#1048;\&#1053;&#1086;&#1074;&#1072;&#1103;%20&#1087;&#1072;&#1087;&#1082;&#1072;\&#1048;&#1053;&#1057;&#1058;&#1048;&#1058;&#1059;&#1058;\&#1040;&#1057;&#1055;&#1030;&#1056;&#1040;&#1053;&#1058;&#1048;\&#1052;&#1080;&#1093;&#1072;&#1081;&#1083;&#1086;%20%20&#1057;&#1040;&#1052;&#1054;&#1060;&#1040;&#1051;&#1054;&#1042;\&#1056;&#1054;&#1041;&#1054;&#1058;&#1040;%20&#1085;&#1072;&#1076;%20&#1088;&#1086;&#1079;&#1076;&#1110;&#1083;&#1072;&#1084;&#1080;\&#1056;&#1054;&#1047;&#1044;&#1030;&#1051;%203\&#1055;&#1088;&#1080;&#1078;&#1080;&#1074;&#1083;&#1102;&#1074;&#1072;&#1085;&#1110;&#1089;&#1090;&#1100;%20&#1077;&#1082;&#1089;&#1087;&#1083;&#1072;&#1085;&#1090;&#1110;&#1074;%20&#1089;&#1091;&#1073;&#1089;&#1090;&#1088;&#1072;&#1090;&#1080;.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2.09.2025%20&#1063;&#1086;&#1088;&#1085;&#1086;&#1074;&#1080;&#1082;\&#1055;&#1088;&#1080;&#1078;&#1080;&#1074;&#1083;&#1102;&#1074;&#1072;&#1085;&#1110;&#1089;&#1090;&#1100;%20&#1077;&#1082;&#1089;&#1087;&#1083;&#1072;&#1085;&#1090;&#1110;&#1074;%20&#1089;&#1091;&#1073;&#1089;&#1090;&#1088;&#1072;&#1090;&#1080;.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056;&#1077;&#1075;&#1077;&#1085;&#1077;&#1088;&#1072;&#1094;&#1110;&#1103;\&#1055;&#1086;&#1095;&#1072;&#1090;&#1086;&#1082;%20&#1088;&#1077;&#1075;&#1077;&#1085;&#1077;&#1088;&#1072;&#1094;.%2005.05.2025.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7;&#1082;&#1089;&#1077;&#1083;&#1080;%20&#1087;&#1086;%20&#1076;&#1080;&#1089;\&#1056;&#1077;&#1075;&#1077;&#1085;&#1077;&#1088;&#1072;&#1094;&#1110;&#1103;\&#1055;&#1086;&#1095;&#1072;&#1090;&#1086;&#1082;%20&#1088;&#1077;&#1075;&#1077;&#1085;&#1077;&#1088;&#1072;&#1094;.%2005.05.2025.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D:\&#1044;&#1110;&#1089;&#1082;\&#1052;&#1054;&#1071;%20&#1055;&#1040;&#1055;&#1050;&#1040;\&#1052;&#1040;&#1052;&#1040;%20&#1056;&#1054;&#1041;&#1054;&#1063;&#1030;%20&#1052;&#1040;&#1058;&#1045;&#1056;&#1030;&#1040;&#1051;&#1048;\&#1053;&#1086;&#1074;&#1072;&#1103;%20&#1087;&#1072;&#1087;&#1082;&#1072;\&#1048;&#1053;&#1057;&#1058;&#1048;&#1058;&#1059;&#1058;\&#1040;&#1057;&#1055;&#1030;&#1056;&#1040;&#1053;&#1058;&#1048;\&#1052;&#1080;&#1093;&#1072;&#1081;&#1083;&#1086;%20%20&#1057;&#1040;&#1052;&#1054;&#1060;&#1040;&#1051;&#1054;&#1042;\&#1056;&#1054;&#1041;&#1054;&#1058;&#1040;%20&#1085;&#1072;&#1076;%20&#1088;&#1086;&#1079;&#1076;&#1110;&#1083;&#1072;&#1084;&#1080;\&#1056;&#1054;&#1047;&#1044;&#1030;&#1051;%203\&#1055;&#1086;&#1095;&#1072;&#1090;&#1086;&#1082;%20&#1088;&#1077;&#1075;&#1077;&#1085;&#1077;&#1088;&#1072;&#1094;.%2005.05.2025.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D:\&#1044;&#1110;&#1089;&#1082;\&#1052;&#1054;&#1071;%20&#1055;&#1040;&#1055;&#1050;&#1040;\&#1052;&#1040;&#1052;&#1040;%20&#1056;&#1054;&#1041;&#1054;&#1063;&#1030;%20&#1052;&#1040;&#1058;&#1045;&#1056;&#1030;&#1040;&#1051;&#1048;\&#1053;&#1086;&#1074;&#1072;&#1103;%20&#1087;&#1072;&#1087;&#1082;&#1072;\&#1048;&#1053;&#1057;&#1058;&#1048;&#1058;&#1059;&#1058;\&#1040;&#1057;&#1055;&#1030;&#1056;&#1040;&#1053;&#1058;&#1048;\&#1052;&#1080;&#1093;&#1072;&#1081;&#1083;&#1086;%20%20&#1057;&#1040;&#1052;&#1054;&#1060;&#1040;&#1051;&#1054;&#1042;\&#1056;&#1054;&#1041;&#1054;&#1058;&#1040;%20&#1085;&#1072;&#1076;%20&#1088;&#1086;&#1079;&#1076;&#1110;&#1083;&#1072;&#1084;&#1080;\&#1056;&#1054;&#1047;&#1044;&#1030;&#1051;%203\&#1055;&#1086;&#1095;&#1072;&#1090;&#1086;&#1082;%20&#1088;&#1077;&#1075;&#1077;&#1085;&#1077;&#1088;&#1072;&#1094;.%2005.05.2025.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1055;&#1088;&#1080;&#1078;&#1080;&#1074;&#1083;&#1102;&#1074;&#1072;&#1085;&#1110;&#1089;&#1090;&#1100;%20&#1077;&#1082;&#1089;&#1087;&#1083;&#1072;&#1085;&#1090;&#1110;&#1074;%20&#1089;&#1091;&#1073;&#1089;&#1090;&#1088;&#1072;&#1090;&#1080;.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1055;&#1088;&#1080;&#1078;&#1080;&#1074;&#1083;&#1102;&#1074;&#1072;&#1085;&#1110;&#1089;&#1090;&#1100;%20&#1077;&#1082;&#1089;&#1087;&#1083;&#1072;&#1085;&#1090;&#1110;&#1074;%20&#1089;&#1091;&#1073;&#1089;&#1090;&#1088;&#1072;&#1090;&#1080;.xlsx" TargetMode="External"/></Relationships>
</file>

<file path=word/charts/_rels/chart18.xml.rels><?xml version="1.0" encoding="UTF-8" standalone="yes"?>
<Relationships xmlns="http://schemas.openxmlformats.org/package/2006/relationships"><Relationship Id="rId2" Type="http://schemas.openxmlformats.org/officeDocument/2006/relationships/oleObject" Target="file:///F:\&#1054;&#1089;&#1090;&#1072;&#1090;&#1086;&#1095;&#1085;&#1110;%20&#1076;&#1072;&#1085;&#1110;%20Excel\5%20&#1088;&#1086;&#1079;&#1076;&#1110;&#1083;\16.11.2025%20&#1060;&#1110;&#1079;&#1110;&#1086;-&#1041;&#1110;&#1086;&#1093;&#1110;&#1084;.%20&#1057;&#1077;&#1088;&#1077;&#1076;&#1086;&#1074;.xls" TargetMode="External"/><Relationship Id="rId1" Type="http://schemas.openxmlformats.org/officeDocument/2006/relationships/image" Target="../media/image36.png"/></Relationships>
</file>

<file path=word/charts/_rels/chart19.xml.rels><?xml version="1.0" encoding="UTF-8" standalone="yes"?>
<Relationships xmlns="http://schemas.openxmlformats.org/package/2006/relationships"><Relationship Id="rId2" Type="http://schemas.openxmlformats.org/officeDocument/2006/relationships/oleObject" Target="file:///F:\&#1054;&#1089;&#1090;&#1072;&#1090;&#1086;&#1095;&#1085;&#1110;%20&#1076;&#1072;&#1085;&#1110;%20Excel\5%20&#1088;&#1086;&#1079;&#1076;&#1110;&#1083;\16.11.2025%20&#1060;&#1110;&#1079;&#1110;&#1086;-&#1041;&#1110;&#1086;&#1093;&#1110;&#1084;.%20&#1057;&#1077;&#1088;&#1077;&#1076;&#1086;&#1074;.xls" TargetMode="External"/><Relationship Id="rId1" Type="http://schemas.openxmlformats.org/officeDocument/2006/relationships/image" Target="../media/image36.png"/></Relationships>
</file>

<file path=word/charts/_rels/chart20.xml.rels><?xml version="1.0" encoding="UTF-8" standalone="yes"?>
<Relationships xmlns="http://schemas.openxmlformats.org/package/2006/relationships"><Relationship Id="rId3" Type="http://schemas.openxmlformats.org/officeDocument/2006/relationships/oleObject" Target="file:///F:\&#1054;&#1089;&#1090;&#1072;&#1090;&#1086;&#1095;&#1085;&#1110;%20&#1076;&#1072;&#1085;&#1110;%20Excel\5%20&#1088;&#1086;&#1079;&#1076;&#1110;&#1083;\16.11.2025%20&#1060;&#1110;&#1079;&#1110;&#1086;-&#1041;&#1110;&#1086;&#1093;&#1110;&#1084;.%20&#1057;&#1077;&#1088;&#1077;&#1076;&#1086;&#1074;.xls" TargetMode="External"/><Relationship Id="rId2" Type="http://schemas.openxmlformats.org/officeDocument/2006/relationships/image" Target="../media/image38.png"/><Relationship Id="rId1" Type="http://schemas.openxmlformats.org/officeDocument/2006/relationships/image" Target="../media/image37.png"/></Relationships>
</file>

<file path=word/charts/_rels/chart21.xml.rels><?xml version="1.0" encoding="UTF-8" standalone="yes"?>
<Relationships xmlns="http://schemas.openxmlformats.org/package/2006/relationships"><Relationship Id="rId3" Type="http://schemas.openxmlformats.org/officeDocument/2006/relationships/oleObject" Target="file:///F:\&#1054;&#1089;&#1090;&#1072;&#1090;&#1086;&#1095;&#1085;&#1110;%20&#1076;&#1072;&#1085;&#1110;%20Excel\5%20&#1088;&#1086;&#1079;&#1076;&#1110;&#1083;\16.11.2025%20&#1060;&#1110;&#1079;&#1110;&#1086;-&#1041;&#1110;&#1086;&#1093;&#1110;&#1084;.%20&#1057;&#1077;&#1088;&#1077;&#1076;&#1086;&#1074;.xls" TargetMode="External"/><Relationship Id="rId2" Type="http://schemas.openxmlformats.org/officeDocument/2006/relationships/image" Target="../media/image38.png"/><Relationship Id="rId1" Type="http://schemas.openxmlformats.org/officeDocument/2006/relationships/image" Target="../media/image37.png"/></Relationships>
</file>

<file path=word/charts/_rels/chart22.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60;&#1110;&#1079;&#1110;&#1086;-&#1041;&#1110;&#1086;&#1093;&#1110;&#1084;.%20&#1057;&#1077;&#1088;&#1077;&#1076;&#1086;&#1074;.xls"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60;&#1110;&#1079;&#1110;&#1086;-&#1041;&#1110;&#1086;&#1093;&#1110;&#1084;.%20&#1057;&#1077;&#1088;&#1077;&#1076;&#1086;&#1074;.xls"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60;&#1110;&#1079;&#1110;&#1086;-&#1041;&#1110;&#1086;&#1093;&#1110;&#1084;.%20&#1057;&#1077;&#1088;&#1077;&#1076;&#1086;&#1074;.xls"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60;&#1110;&#1079;&#1110;&#1086;-&#1041;&#1110;&#1086;&#1093;&#1110;&#1084;.%20&#1057;&#1077;&#1088;&#1077;&#1076;&#1086;&#1074;.xls"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60;&#1110;&#1079;&#1110;&#1086;-&#1041;&#1110;&#1086;&#1093;&#1110;&#1084;.%20&#1057;&#1077;&#1088;&#1077;&#1076;&#1086;&#1074;.xls" TargetMode="External"/></Relationships>
</file>

<file path=word/charts/_rels/chart27.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 Id="rId1" Type="http://schemas.openxmlformats.org/officeDocument/2006/relationships/themeOverride" Target="../theme/themeOverride1.xml"/></Relationships>
</file>

<file path=word/charts/_rels/chart28.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 Id="rId1" Type="http://schemas.openxmlformats.org/officeDocument/2006/relationships/themeOverride" Target="../theme/themeOverride2.xml"/></Relationships>
</file>

<file path=word/charts/_rels/chart29.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 Id="rId1" Type="http://schemas.openxmlformats.org/officeDocument/2006/relationships/themeOverride" Target="../theme/themeOverride3.xml"/></Relationships>
</file>

<file path=word/charts/_rels/chart30.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 Id="rId1" Type="http://schemas.openxmlformats.org/officeDocument/2006/relationships/themeOverride" Target="../theme/themeOverride4.xml"/></Relationships>
</file>

<file path=word/charts/_rels/chart31.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 Id="rId1" Type="http://schemas.openxmlformats.org/officeDocument/2006/relationships/themeOverride" Target="../theme/themeOverride5.xml"/></Relationships>
</file>

<file path=word/charts/_rels/chart32.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 Id="rId1" Type="http://schemas.openxmlformats.org/officeDocument/2006/relationships/themeOverride" Target="../theme/themeOverride6.xml"/></Relationships>
</file>

<file path=word/charts/_rels/chart33.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 Id="rId1" Type="http://schemas.openxmlformats.org/officeDocument/2006/relationships/themeOverride" Target="../theme/themeOverride7.xml"/></Relationships>
</file>

<file path=word/charts/_rels/chart34.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 Id="rId1" Type="http://schemas.openxmlformats.org/officeDocument/2006/relationships/themeOverride" Target="../theme/themeOverride8.xml"/></Relationships>
</file>

<file path=word/charts/_rels/chart35.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 Id="rId1" Type="http://schemas.openxmlformats.org/officeDocument/2006/relationships/themeOverride" Target="../theme/themeOverride9.xml"/></Relationships>
</file>

<file path=word/charts/_rels/chart36.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77;&#1088;&#1077;&#1076;&#1086;&#1074;&#1080;&#1097;&#1072;.xlsx" TargetMode="External"/><Relationship Id="rId1" Type="http://schemas.openxmlformats.org/officeDocument/2006/relationships/themeOverride" Target="../theme/themeOverride10.xml"/></Relationships>
</file>

<file path=word/charts/_rels/chart37.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77;&#1088;&#1077;&#1076;&#1086;&#1074;&#1080;&#1097;&#1072;.xlsx" TargetMode="External"/><Relationship Id="rId1" Type="http://schemas.openxmlformats.org/officeDocument/2006/relationships/themeOverride" Target="../theme/themeOverride11.xml"/></Relationships>
</file>

<file path=word/charts/_rels/chart38.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77;&#1088;&#1077;&#1076;&#1086;&#1074;&#1080;&#1097;&#1072;.xlsx" TargetMode="External"/><Relationship Id="rId1" Type="http://schemas.openxmlformats.org/officeDocument/2006/relationships/themeOverride" Target="../theme/themeOverride12.xml"/></Relationships>
</file>

<file path=word/charts/_rels/chart39.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77;&#1088;&#1077;&#1076;&#1086;&#1074;&#1080;&#1097;&#1072;.xlsx" TargetMode="External"/><Relationship Id="rId1" Type="http://schemas.openxmlformats.org/officeDocument/2006/relationships/themeOverride" Target="../theme/themeOverride13.xml"/></Relationships>
</file>

<file path=word/charts/_rels/chart40.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s>
</file>

<file path=word/charts/_rels/chart41.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s>
</file>

<file path=word/charts/_rels/chart42.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s>
</file>

<file path=word/charts/_rels/chart43.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s>
</file>

<file path=word/charts/_rels/chart44.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08.11.2025%20&#1060;&#1110;&#1079;&#1110;&#1086;-&#1041;&#1110;&#1086;&#1093;&#1110;&#1084;.%20&#1057;&#1077;&#1088;&#1077;&#1076;&#1086;&#1074;.xls" TargetMode="External"/><Relationship Id="rId1" Type="http://schemas.openxmlformats.org/officeDocument/2006/relationships/themeOverride" Target="../theme/themeOverride14.xml"/></Relationships>
</file>

<file path=word/charts/_rels/chart45.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08.11.2025%20&#1060;&#1110;&#1079;&#1110;&#1086;-&#1041;&#1110;&#1086;&#1093;&#1110;&#1084;.%20&#1057;&#1077;&#1088;&#1077;&#1076;&#1086;&#1074;.xls" TargetMode="External"/><Relationship Id="rId1" Type="http://schemas.openxmlformats.org/officeDocument/2006/relationships/themeOverride" Target="../theme/themeOverride15.xml"/></Relationships>
</file>

<file path=word/charts/_rels/chart46.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08.11.2025%20&#1060;&#1110;&#1079;&#1110;&#1086;-&#1041;&#1110;&#1086;&#1093;&#1110;&#1084;.%20&#1057;&#1077;&#1088;&#1077;&#1076;&#1086;&#1074;.xls" TargetMode="External"/><Relationship Id="rId1" Type="http://schemas.openxmlformats.org/officeDocument/2006/relationships/themeOverride" Target="../theme/themeOverride16.xml"/></Relationships>
</file>

<file path=word/charts/_rels/chart47.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08.11.2025%20&#1060;&#1110;&#1079;&#1110;&#1086;-&#1041;&#1110;&#1086;&#1093;&#1110;&#1084;.%20&#1057;&#1077;&#1088;&#1077;&#1076;&#1086;&#1074;.xls" TargetMode="External"/><Relationship Id="rId1" Type="http://schemas.openxmlformats.org/officeDocument/2006/relationships/themeOverride" Target="../theme/themeOverride17.xml"/></Relationships>
</file>

<file path=word/charts/_rels/chart48.xml.rels><?xml version="1.0" encoding="UTF-8" standalone="yes"?>
<Relationships xmlns="http://schemas.openxmlformats.org/package/2006/relationships"><Relationship Id="rId2"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77;&#1088;&#1077;&#1076;&#1086;&#1074;&#1080;&#1097;&#1072;.xlsx" TargetMode="External"/><Relationship Id="rId1" Type="http://schemas.openxmlformats.org/officeDocument/2006/relationships/themeOverride" Target="../theme/themeOverride18.xml"/></Relationships>
</file>

<file path=word/charts/_rels/chart49.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s>
</file>

<file path=word/charts/_rels/chart50.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s>
</file>

<file path=word/charts/_rels/chart51.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s>
</file>

<file path=word/charts/_rels/chart52.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s>
</file>

<file path=word/charts/_rels/chart53.xml.rels><?xml version="1.0" encoding="UTF-8" standalone="yes"?>
<Relationships xmlns="http://schemas.openxmlformats.org/package/2006/relationships"><Relationship Id="rId1" Type="http://schemas.openxmlformats.org/officeDocument/2006/relationships/oleObject" Target="file:///D:\&#1053;&#1072;&#1074;&#1095;&#1072;&#1085;&#1085;&#1103;\&#1050;&#1072;&#1085;&#1076;&#1080;&#1076;&#1072;&#1090;&#1089;&#1100;&#1082;&#1072;\&#1042;&#1089;&#1077;%20&#1076;&#1086;&#1082;&#1080;%20&#1087;&#1086;%20&#1076;&#1080;&#1089;\&#1054;&#1089;&#1090;&#1072;&#1090;&#1086;&#1095;&#1085;&#1110;%20&#1076;&#1072;&#1085;&#1110;%20Excel\20.09.2025%20&#1042;&#1086;&#1076;&#1085;&#1080;&#1081;%20&#1088;&#1077;&#1078;&#1080;&#1084;.%20&#1057;&#1091;&#1073;&#1089;&#1090;&#1088;&#1072;&#1090;&#1080;.xlsx" TargetMode="External"/></Relationships>
</file>

<file path=word/charts/_rels/chart54.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55.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56.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57.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58.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59.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60.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61.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62.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63.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64.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65.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7;&#1086;&#1078;&#1080;&#1074;&#1085;&#1110;%20&#1089;&#1077;&#1088;&#1077;&#1076;&#1086;&#1074;&#1080;&#1097;&#1072;%20&#8211;%20&#1082;&#1086;&#1087;&#1110;&#1103;.xlsx" TargetMode="External"/></Relationships>
</file>

<file path=word/charts/_rels/chart66.xml.rels><?xml version="1.0" encoding="UTF-8" standalone="yes"?>
<Relationships xmlns="http://schemas.openxmlformats.org/package/2006/relationships"><Relationship Id="rId1" Type="http://schemas.openxmlformats.org/officeDocument/2006/relationships/oleObject" Target="file:///E:\&#1054;&#1089;&#1090;&#1072;&#1090;&#1086;&#1095;&#1085;&#1110;%20&#1076;&#1072;&#1085;&#1110;%20Excel\6%20&#1088;&#1086;&#1079;&#1076;&#1110;&#1083;\&#1055;&#1088;&#1086;&#1076;&#1080;&#1093;&#1086;&#1074;&#1080;&#1081;%20&#1072;&#1087;&#1072;&#1088;&#1072;&#1090;%20&#1087;&#1086;&#1078;&#1080;&#1074;&#1085;&#1110;%20&#1089;&#1077;&#1088;&#1077;&#1076;&#1086;&#1074;&#1080;&#1097;&#1072;%20&#8211;%20&#1082;&#1086;&#1087;&#1110;&#1103;.xlsx" TargetMode="External"/></Relationships>
</file>

<file path=word/charts/_rels/chart67.xml.rels><?xml version="1.0" encoding="UTF-8" standalone="yes"?>
<Relationships xmlns="http://schemas.openxmlformats.org/package/2006/relationships"><Relationship Id="rId1" Type="http://schemas.openxmlformats.org/officeDocument/2006/relationships/oleObject" Target="file:///E:\&#1054;&#1089;&#1090;&#1072;&#1090;&#1086;&#1095;&#1085;&#1110;%20&#1076;&#1072;&#1085;&#1110;%20Excel\6%20&#1088;&#1086;&#1079;&#1076;&#1110;&#1083;\&#1055;&#1088;&#1086;&#1076;&#1080;&#1093;&#1086;&#1074;&#1080;&#1081;%20&#1072;&#1087;&#1072;&#1088;&#1072;&#1090;%20&#1087;&#1086;&#1078;&#1080;&#1074;&#1085;&#1110;%20&#1089;&#1077;&#1088;&#1077;&#1076;&#1086;&#1074;&#1080;&#1097;&#1072;%20&#8211;%20&#1082;&#1086;&#1087;&#1110;&#1103;.xlsx" TargetMode="External"/></Relationships>
</file>

<file path=word/charts/_rels/chart68.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69.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70.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7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72.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9;&#1091;&#1073;&#1089;&#1090;&#1088;&#1072;&#1090;&#1080;.xlsx" TargetMode="External"/></Relationships>
</file>

<file path=word/charts/_rels/chart73.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9;&#1091;&#1073;&#1089;&#1090;&#1088;&#1072;&#1090;&#1080;.xlsx" TargetMode="External"/></Relationships>
</file>

<file path=word/charts/_rels/chart74.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9;&#1091;&#1073;&#1089;&#1090;&#1088;&#1072;&#1090;&#1080;.xlsx" TargetMode="External"/></Relationships>
</file>

<file path=word/charts/_rels/chart75.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9;&#1091;&#1073;&#1089;&#1090;&#1088;&#1072;&#1090;&#1080;.xlsx" TargetMode="External"/></Relationships>
</file>

<file path=word/charts/_rels/chart76.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9;&#1091;&#1073;&#1089;&#1090;&#1088;&#1072;&#1090;&#1080;.xlsx" TargetMode="External"/></Relationships>
</file>

<file path=word/charts/_rels/chart77.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9;&#1091;&#1073;&#1089;&#1090;&#1088;&#1072;&#1090;&#1080;.xlsx" TargetMode="External"/></Relationships>
</file>

<file path=word/charts/_rels/chart78.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9;&#1091;&#1073;&#1089;&#1090;&#1088;&#1072;&#1090;&#1080;.xlsx" TargetMode="External"/></Relationships>
</file>

<file path=word/charts/_rels/chart79.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089;&#1091;&#1073;&#1089;&#1090;&#1088;&#1072;&#1090;&#1080;.xlsx" TargetMode="External"/></Relationships>
</file>

<file path=word/charts/_rels/chart80.xml.rels><?xml version="1.0" encoding="UTF-8" standalone="yes"?>
<Relationships xmlns="http://schemas.openxmlformats.org/package/2006/relationships"><Relationship Id="rId1" Type="http://schemas.openxmlformats.org/officeDocument/2006/relationships/oleObject" Target="file:///E:\&#1054;&#1089;&#1090;&#1072;&#1090;&#1086;&#1095;&#1085;&#1110;%20&#1076;&#1072;&#1085;&#1110;%20Excel\6%20&#1088;&#1086;&#1079;&#1076;&#1110;&#1083;\&#1055;&#1088;&#1086;&#1076;&#1080;&#1093;&#1086;&#1074;&#1080;&#1081;%20&#1072;&#1087;&#1072;&#1088;&#1072;&#1090;%20&#1089;&#1091;&#1073;&#1089;&#1090;&#1088;&#1072;&#1090;&#1080;.xlsx" TargetMode="External"/></Relationships>
</file>

<file path=word/charts/_rels/chart81.xml.rels><?xml version="1.0" encoding="UTF-8" standalone="yes"?>
<Relationships xmlns="http://schemas.openxmlformats.org/package/2006/relationships"><Relationship Id="rId1" Type="http://schemas.openxmlformats.org/officeDocument/2006/relationships/oleObject" Target="file:///E:\&#1054;&#1089;&#1090;&#1072;&#1090;&#1086;&#1095;&#1085;&#1110;%20&#1076;&#1072;&#1085;&#1110;%20Excel\6%20&#1088;&#1086;&#1079;&#1076;&#1110;&#1083;\&#1055;&#1088;&#1086;&#1076;&#1080;&#1093;&#1086;&#1074;&#1080;&#1081;%20&#1072;&#1087;&#1072;&#1088;&#1072;&#1090;%20&#1089;&#1091;&#1073;&#1089;&#1090;&#1088;&#1072;&#1090;&#1080;.xlsx" TargetMode="External"/></Relationships>
</file>

<file path=word/charts/_rels/chart82.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169;&#1088;&#1091;&#1085;&#1090;&#1086;&#1089;&#1091;&#1084;&#1110;&#1096;.xlsx" TargetMode="External"/></Relationships>
</file>

<file path=word/charts/_rels/chart83.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169;&#1088;&#1091;&#1085;&#1090;&#1086;&#1089;&#1091;&#1084;&#1110;&#1096;.xlsx" TargetMode="External"/></Relationships>
</file>

<file path=word/charts/_rels/chart84.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169;&#1088;&#1091;&#1085;&#1090;&#1086;&#1089;&#1091;&#1084;&#1110;&#1096;.xlsx" TargetMode="External"/></Relationships>
</file>

<file path=word/charts/_rels/chart85.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169;&#1088;&#1091;&#1085;&#1090;&#1086;&#1089;&#1091;&#1084;&#1110;&#1096;.xlsx" TargetMode="External"/></Relationships>
</file>

<file path=word/charts/_rels/chart86.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169;&#1088;&#1091;&#1085;&#1090;&#1086;&#1089;&#1091;&#1084;&#1110;&#1096;.xlsx" TargetMode="External"/></Relationships>
</file>

<file path=word/charts/_rels/chart87.xml.rels><?xml version="1.0" encoding="UTF-8" standalone="yes"?>
<Relationships xmlns="http://schemas.openxmlformats.org/package/2006/relationships"><Relationship Id="rId1" Type="http://schemas.openxmlformats.org/officeDocument/2006/relationships/oleObject" Target="https://d.docs.live.net/939ec1a0fc6b2edc/Desktop/&#1055;&#1088;&#1086;&#1076;&#1080;&#1093;&#1086;&#1074;&#1080;&#1081;%20&#1072;&#1087;&#1072;&#1088;&#1072;&#1090;%20&#1169;&#1088;&#1091;&#1085;&#1090;&#1086;&#1089;&#1091;&#1084;&#1110;&#1096;.xlsx" TargetMode="External"/></Relationships>
</file>

<file path=word/charts/_rels/chart88.xml.rels><?xml version="1.0" encoding="UTF-8" standalone="yes"?>
<Relationships xmlns="http://schemas.openxmlformats.org/package/2006/relationships"><Relationship Id="rId1" Type="http://schemas.openxmlformats.org/officeDocument/2006/relationships/oleObject" Target="file:///E:\&#1054;&#1089;&#1090;&#1072;&#1090;&#1086;&#1095;&#1085;&#1110;%20&#1076;&#1072;&#1085;&#1110;%20Excel\6%20&#1088;&#1086;&#1079;&#1076;&#1110;&#1083;\&#1055;&#1088;&#1086;&#1076;&#1080;&#1093;&#1086;&#1074;&#1080;&#1081;%20&#1072;&#1087;&#1072;&#1088;&#1072;&#1090;%20&#1169;&#1088;&#1091;&#1085;&#1090;&#1086;&#1089;&#1091;&#1084;&#1110;&#1096;.xlsx" TargetMode="External"/></Relationships>
</file>

<file path=word/charts/_rels/chart89.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90.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91.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92.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93.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94.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95.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96.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97.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98.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99.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_rels/chart100.xml.rels><?xml version="1.0" encoding="UTF-8" standalone="yes"?>
<Relationships xmlns="http://schemas.openxmlformats.org/package/2006/relationships"><Relationship Id="rId1" Type="http://schemas.openxmlformats.org/officeDocument/2006/relationships/oleObject" Target="file:///C:\Users\michs\Downloads\&#1040;&#1076;&#1072;&#1087;&#1090;&#1072;&#1094;&#1110;&#1103;%2007.10.202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635871578268201"/>
          <c:y val="6.8458859332984956E-2"/>
          <c:w val="0.87826731825441395"/>
          <c:h val="0.6464591598508177"/>
        </c:manualLayout>
      </c:layout>
      <c:barChart>
        <c:barDir val="col"/>
        <c:grouping val="clustered"/>
        <c:ser>
          <c:idx val="0"/>
          <c:order val="0"/>
          <c:tx>
            <c:strRef>
              <c:f>'Таблиці по приживлюваності експ'!$B$1</c:f>
              <c:strCache>
                <c:ptCount val="1"/>
                <c:pt idx="0">
                  <c:v>Добриня</c:v>
                </c:pt>
              </c:strCache>
            </c:strRef>
          </c:tx>
          <c:spPr>
            <a:pattFill prst="pct75">
              <a:fgClr>
                <a:schemeClr val="tx1"/>
              </a:fgClr>
              <a:bgClr>
                <a:schemeClr val="bg1"/>
              </a:bgClr>
            </a:pattFill>
            <a:ln>
              <a:solidFill>
                <a:schemeClr val="tx1"/>
              </a:solidFill>
            </a:ln>
            <a:effectLst/>
          </c:spPr>
          <c:cat>
            <c:numRef>
              <c:f>'Таблиці по приживлюваності експ'!$A$2:$A$13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'Таблиці по приживлюваності експ'!$B$2:$B$13</c:f>
              <c:numCache>
                <c:formatCode>0.0</c:formatCode>
                <c:ptCount val="12"/>
                <c:pt idx="0">
                  <c:v>92.27</c:v>
                </c:pt>
                <c:pt idx="1">
                  <c:v>85.6</c:v>
                </c:pt>
                <c:pt idx="2">
                  <c:v>90.4</c:v>
                </c:pt>
                <c:pt idx="3">
                  <c:v>86.441125540000201</c:v>
                </c:pt>
                <c:pt idx="4">
                  <c:v>94.117647059999982</c:v>
                </c:pt>
                <c:pt idx="5">
                  <c:v>88.5</c:v>
                </c:pt>
                <c:pt idx="6">
                  <c:v>95.97</c:v>
                </c:pt>
                <c:pt idx="7">
                  <c:v>88.333333329999988</c:v>
                </c:pt>
                <c:pt idx="8">
                  <c:v>93.333333329999988</c:v>
                </c:pt>
                <c:pt idx="9">
                  <c:v>87.735632179999868</c:v>
                </c:pt>
                <c:pt idx="10">
                  <c:v>91.303030299999989</c:v>
                </c:pt>
                <c:pt idx="11">
                  <c:v>87</c:v>
                </c:pt>
              </c:numCache>
            </c:numRef>
          </c:val>
          <c:extLst xmlns:c16r2="http://schemas.microsoft.com/office/drawing/2015/06/chart">
            <c:ext xmlns:c16="http://schemas.microsoft.com/office/drawing/2014/chart" uri="{C3380CC4-5D6E-409C-BE32-E72D297353CC}">
              <c16:uniqueId val="{00000000-1245-4DCF-8F34-F17250CB53B3}"/>
            </c:ext>
          </c:extLst>
        </c:ser>
        <c:ser>
          <c:idx val="1"/>
          <c:order val="1"/>
          <c:tx>
            <c:strRef>
              <c:f>'Таблиці по приживлюваності експ'!$C$1</c:f>
              <c:strCache>
                <c:ptCount val="1"/>
                <c:pt idx="0">
                  <c:v>Гарант</c:v>
                </c:pt>
              </c:strCache>
            </c:strRef>
          </c:tx>
          <c:spPr>
            <a:pattFill prst="ltUpDiag">
              <a:fgClr>
                <a:schemeClr val="tx1"/>
              </a:fgClr>
              <a:bgClr>
                <a:schemeClr val="bg1"/>
              </a:bgClr>
            </a:pattFill>
            <a:ln>
              <a:solidFill>
                <a:srgbClr val="000000"/>
              </a:solidFill>
            </a:ln>
            <a:effectLst/>
          </c:spPr>
          <c:cat>
            <c:numRef>
              <c:f>'Таблиці по приживлюваності експ'!$A$2:$A$13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'Таблиці по приживлюваності експ'!$C$2:$C$13</c:f>
              <c:numCache>
                <c:formatCode>0.0</c:formatCode>
                <c:ptCount val="12"/>
                <c:pt idx="0">
                  <c:v>93.3</c:v>
                </c:pt>
                <c:pt idx="1">
                  <c:v>84.3666666700001</c:v>
                </c:pt>
                <c:pt idx="2">
                  <c:v>89.344444440000117</c:v>
                </c:pt>
                <c:pt idx="3">
                  <c:v>85.736363639999993</c:v>
                </c:pt>
                <c:pt idx="4">
                  <c:v>98.966666670000137</c:v>
                </c:pt>
                <c:pt idx="5">
                  <c:v>89.161471859999864</c:v>
                </c:pt>
                <c:pt idx="6">
                  <c:v>98.966666670000137</c:v>
                </c:pt>
                <c:pt idx="7">
                  <c:v>86.666666670000026</c:v>
                </c:pt>
                <c:pt idx="8">
                  <c:v>93.530864199999982</c:v>
                </c:pt>
                <c:pt idx="9">
                  <c:v>86.522988509999848</c:v>
                </c:pt>
                <c:pt idx="10">
                  <c:v>91.60606061</c:v>
                </c:pt>
                <c:pt idx="11">
                  <c:v>86.202898549999958</c:v>
                </c:pt>
              </c:numCache>
            </c:numRef>
          </c:val>
          <c:extLst xmlns:c16r2="http://schemas.microsoft.com/office/drawing/2015/06/chart">
            <c:ext xmlns:c16="http://schemas.microsoft.com/office/drawing/2014/chart" uri="{C3380CC4-5D6E-409C-BE32-E72D297353CC}">
              <c16:uniqueId val="{00000001-1245-4DCF-8F34-F17250CB53B3}"/>
            </c:ext>
          </c:extLst>
        </c:ser>
        <c:dLbls/>
        <c:gapWidth val="219"/>
        <c:overlap val="-27"/>
        <c:axId val="73695616"/>
        <c:axId val="73697536"/>
      </c:barChart>
      <c:catAx>
        <c:axId val="73695616"/>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487237638984479"/>
              <c:y val="0.84363024242222873"/>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73697536"/>
        <c:crosses val="autoZero"/>
        <c:auto val="1"/>
        <c:lblAlgn val="ctr"/>
        <c:lblOffset val="100"/>
      </c:catAx>
      <c:valAx>
        <c:axId val="73697536"/>
        <c:scaling>
          <c:orientation val="minMax"/>
          <c:max val="100"/>
          <c:min val="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endParaRPr lang="uk-UA" sz="1000"/>
              </a:p>
            </c:rich>
          </c:tx>
          <c:layout>
            <c:manualLayout>
              <c:xMode val="edge"/>
              <c:yMode val="edge"/>
              <c:x val="2.7777777777777861E-3"/>
              <c:y val="1.5927748614756525E-2"/>
            </c:manualLayout>
          </c:layout>
          <c:spPr>
            <a:noFill/>
            <a:ln>
              <a:noFill/>
            </a:ln>
            <a:effectLst/>
          </c:spPr>
        </c:title>
        <c:numFmt formatCode="General" sourceLinked="0"/>
        <c:majorTickMark val="in"/>
        <c:tickLblPos val="nextTo"/>
        <c:spPr>
          <a:noFill/>
          <a:ln>
            <a:solidFill>
              <a:srgbClr val="000000"/>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73695616"/>
        <c:crosses val="autoZero"/>
        <c:crossBetween val="between"/>
      </c:valAx>
      <c:spPr>
        <a:noFill/>
        <a:ln>
          <a:noFill/>
        </a:ln>
        <a:effectLst/>
      </c:spPr>
    </c:plotArea>
    <c:legend>
      <c:legendPos val="b"/>
      <c:layout>
        <c:manualLayout>
          <c:xMode val="edge"/>
          <c:yMode val="edge"/>
          <c:x val="1.186558812166691E-3"/>
          <c:y val="0.9039905183238095"/>
          <c:w val="0.99762685914260696"/>
          <c:h val="7.8125546806649182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472994555498472"/>
          <c:y val="7.2810842719629815E-2"/>
          <c:w val="0.869847657510188"/>
          <c:h val="0.64949680564415624"/>
        </c:manualLayout>
      </c:layout>
      <c:barChart>
        <c:barDir val="col"/>
        <c:grouping val="clustered"/>
        <c:ser>
          <c:idx val="0"/>
          <c:order val="0"/>
          <c:tx>
            <c:strRef>
              <c:f>'Таблиці по приживлюваності експ'!$B$18</c:f>
              <c:strCache>
                <c:ptCount val="1"/>
                <c:pt idx="0">
                  <c:v>Ярило</c:v>
                </c:pt>
              </c:strCache>
            </c:strRef>
          </c:tx>
          <c:spPr>
            <a:pattFill prst="wdDnDiag">
              <a:fgClr>
                <a:schemeClr val="tx1"/>
              </a:fgClr>
              <a:bgClr>
                <a:schemeClr val="bg1"/>
              </a:bgClr>
            </a:pattFill>
            <a:ln>
              <a:solidFill>
                <a:schemeClr val="tx1"/>
              </a:solidFill>
            </a:ln>
            <a:effectLst/>
          </c:spPr>
          <c:cat>
            <c:numRef>
              <c:f>'Таблиці по приживлюваності експ'!$A$19:$A$30</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'Таблиці по приживлюваності експ'!$B$19:$B$30</c:f>
              <c:numCache>
                <c:formatCode>0.0</c:formatCode>
                <c:ptCount val="12"/>
                <c:pt idx="0">
                  <c:v>92.466666670000137</c:v>
                </c:pt>
                <c:pt idx="1">
                  <c:v>85.778252609999981</c:v>
                </c:pt>
                <c:pt idx="2">
                  <c:v>89.8</c:v>
                </c:pt>
                <c:pt idx="3">
                  <c:v>86.619047620000003</c:v>
                </c:pt>
                <c:pt idx="4">
                  <c:v>94.527903470000027</c:v>
                </c:pt>
                <c:pt idx="5">
                  <c:v>87.857142859999868</c:v>
                </c:pt>
                <c:pt idx="6">
                  <c:v>94.666666670000026</c:v>
                </c:pt>
                <c:pt idx="7">
                  <c:v>82.857142859999868</c:v>
                </c:pt>
                <c:pt idx="8">
                  <c:v>92.73</c:v>
                </c:pt>
                <c:pt idx="9">
                  <c:v>86.21839079999998</c:v>
                </c:pt>
                <c:pt idx="10">
                  <c:v>91.636363639999999</c:v>
                </c:pt>
                <c:pt idx="11">
                  <c:v>86</c:v>
                </c:pt>
              </c:numCache>
            </c:numRef>
          </c:val>
          <c:extLst xmlns:c16r2="http://schemas.microsoft.com/office/drawing/2015/06/chart">
            <c:ext xmlns:c16="http://schemas.microsoft.com/office/drawing/2014/chart" uri="{C3380CC4-5D6E-409C-BE32-E72D297353CC}">
              <c16:uniqueId val="{00000000-06D3-476A-AAE8-C8179683ACA9}"/>
            </c:ext>
          </c:extLst>
        </c:ser>
        <c:ser>
          <c:idx val="1"/>
          <c:order val="1"/>
          <c:tx>
            <c:strRef>
              <c:f>'Таблиці по приживлюваності експ'!$C$18</c:f>
              <c:strCache>
                <c:ptCount val="1"/>
                <c:pt idx="0">
                  <c:v>Загрей</c:v>
                </c:pt>
              </c:strCache>
            </c:strRef>
          </c:tx>
          <c:spPr>
            <a:pattFill prst="dkDnDiag">
              <a:fgClr>
                <a:schemeClr val="tx1"/>
              </a:fgClr>
              <a:bgClr>
                <a:schemeClr val="bg1"/>
              </a:bgClr>
            </a:pattFill>
            <a:ln>
              <a:solidFill>
                <a:schemeClr val="tx1"/>
              </a:solidFill>
            </a:ln>
            <a:effectLst/>
          </c:spPr>
          <c:cat>
            <c:numRef>
              <c:f>'Таблиці по приживлюваності експ'!$A$19:$A$30</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'Таблиці по приживлюваності експ'!$C$19:$C$30</c:f>
              <c:numCache>
                <c:formatCode>0.0</c:formatCode>
                <c:ptCount val="12"/>
                <c:pt idx="0">
                  <c:v>91.4</c:v>
                </c:pt>
                <c:pt idx="1">
                  <c:v>83.278252609999981</c:v>
                </c:pt>
                <c:pt idx="2">
                  <c:v>88.3</c:v>
                </c:pt>
                <c:pt idx="3">
                  <c:v>84.119047620000003</c:v>
                </c:pt>
                <c:pt idx="4">
                  <c:v>93.027903470000027</c:v>
                </c:pt>
                <c:pt idx="5">
                  <c:v>86.357142859999868</c:v>
                </c:pt>
                <c:pt idx="6">
                  <c:v>93.166666670000026</c:v>
                </c:pt>
                <c:pt idx="7">
                  <c:v>81.357142859999868</c:v>
                </c:pt>
                <c:pt idx="8">
                  <c:v>88.83</c:v>
                </c:pt>
                <c:pt idx="9">
                  <c:v>84.71839079999998</c:v>
                </c:pt>
                <c:pt idx="10">
                  <c:v>90.136363639999999</c:v>
                </c:pt>
                <c:pt idx="11">
                  <c:v>84.5</c:v>
                </c:pt>
              </c:numCache>
            </c:numRef>
          </c:val>
          <c:extLst xmlns:c16r2="http://schemas.microsoft.com/office/drawing/2015/06/chart">
            <c:ext xmlns:c16="http://schemas.microsoft.com/office/drawing/2014/chart" uri="{C3380CC4-5D6E-409C-BE32-E72D297353CC}">
              <c16:uniqueId val="{00000001-06D3-476A-AAE8-C8179683ACA9}"/>
            </c:ext>
          </c:extLst>
        </c:ser>
        <c:dLbls/>
        <c:gapWidth val="219"/>
        <c:overlap val="-27"/>
        <c:axId val="73716480"/>
        <c:axId val="73718400"/>
      </c:barChart>
      <c:catAx>
        <c:axId val="73716480"/>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69533028888354"/>
              <c:y val="0.84689768209353622"/>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73718400"/>
        <c:crosses val="autoZero"/>
        <c:auto val="1"/>
        <c:lblAlgn val="ctr"/>
        <c:lblOffset val="100"/>
      </c:catAx>
      <c:valAx>
        <c:axId val="73718400"/>
        <c:scaling>
          <c:orientation val="minMax"/>
          <c:min val="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endParaRPr lang="uk-UA" sz="1000"/>
              </a:p>
            </c:rich>
          </c:tx>
          <c:layout>
            <c:manualLayout>
              <c:xMode val="edge"/>
              <c:yMode val="edge"/>
              <c:x val="5.5555555555555558E-3"/>
              <c:y val="1.0454943132108456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73716480"/>
        <c:crosses val="autoZero"/>
        <c:crossBetween val="between"/>
      </c:valAx>
      <c:spPr>
        <a:noFill/>
        <a:ln>
          <a:noFill/>
        </a:ln>
        <a:effectLst/>
      </c:spPr>
    </c:plotArea>
    <c:legend>
      <c:legendPos val="b"/>
      <c:layout>
        <c:manualLayout>
          <c:xMode val="edge"/>
          <c:yMode val="edge"/>
          <c:x val="1.9426436048806347E-3"/>
          <c:y val="0.90846764733186458"/>
          <c:w val="0.99751674573801163"/>
          <c:h val="9.1532352668135128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43890170026166"/>
          <c:y val="6.2906431824763881E-2"/>
          <c:w val="0.86739918511703451"/>
          <c:h val="0.6715160444114846"/>
        </c:manualLayout>
      </c:layout>
      <c:barChart>
        <c:barDir val="col"/>
        <c:grouping val="clustered"/>
        <c:ser>
          <c:idx val="0"/>
          <c:order val="0"/>
          <c:tx>
            <c:strRef>
              <c:f>Остаточно!$B$24</c:f>
              <c:strCache>
                <c:ptCount val="1"/>
                <c:pt idx="0">
                  <c:v>Добриня</c:v>
                </c:pt>
              </c:strCache>
            </c:strRef>
          </c:tx>
          <c:spPr>
            <a:pattFill prst="ltUpDiag">
              <a:fgClr>
                <a:schemeClr val="tx1"/>
              </a:fgClr>
              <a:bgClr>
                <a:schemeClr val="bg1"/>
              </a:bgClr>
            </a:pattFill>
            <a:ln w="0">
              <a:solidFill>
                <a:srgbClr val="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Остаточно!$A$25:$A$29</c:f>
              <c:numCache>
                <c:formatCode>General</c:formatCode>
                <c:ptCount val="5"/>
                <c:pt idx="0">
                  <c:v>1</c:v>
                </c:pt>
                <c:pt idx="1">
                  <c:v>2</c:v>
                </c:pt>
                <c:pt idx="2">
                  <c:v>3</c:v>
                </c:pt>
                <c:pt idx="3">
                  <c:v>4</c:v>
                </c:pt>
                <c:pt idx="4">
                  <c:v>5</c:v>
                </c:pt>
              </c:numCache>
            </c:numRef>
          </c:cat>
          <c:val>
            <c:numRef>
              <c:f>Остаточно!$B$25:$B$29</c:f>
              <c:numCache>
                <c:formatCode>0.0</c:formatCode>
                <c:ptCount val="5"/>
                <c:pt idx="0">
                  <c:v>92.27</c:v>
                </c:pt>
                <c:pt idx="1">
                  <c:v>85.6</c:v>
                </c:pt>
                <c:pt idx="2">
                  <c:v>76.6666666666667</c:v>
                </c:pt>
                <c:pt idx="3">
                  <c:v>63.3333333333333</c:v>
                </c:pt>
                <c:pt idx="4">
                  <c:v>45</c:v>
                </c:pt>
              </c:numCache>
            </c:numRef>
          </c:val>
          <c:extLst xmlns:c16r2="http://schemas.microsoft.com/office/drawing/2015/06/chart">
            <c:ext xmlns:c16="http://schemas.microsoft.com/office/drawing/2014/chart" uri="{C3380CC4-5D6E-409C-BE32-E72D297353CC}">
              <c16:uniqueId val="{00000000-8CF8-4552-90F3-6C56EB92CB47}"/>
            </c:ext>
          </c:extLst>
        </c:ser>
        <c:ser>
          <c:idx val="1"/>
          <c:order val="1"/>
          <c:tx>
            <c:strRef>
              <c:f>Остаточно!$C$24</c:f>
              <c:strCache>
                <c:ptCount val="1"/>
                <c:pt idx="0">
                  <c:v>Гарант</c:v>
                </c:pt>
              </c:strCache>
            </c:strRef>
          </c:tx>
          <c:spPr>
            <a:solidFill>
              <a:schemeClr val="tx1">
                <a:lumMod val="50000"/>
                <a:lumOff val="50000"/>
              </a:schemeClr>
            </a:solidFill>
            <a:ln w="0">
              <a:solidFill>
                <a:srgbClr val="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Остаточно!$A$25:$A$29</c:f>
              <c:numCache>
                <c:formatCode>General</c:formatCode>
                <c:ptCount val="5"/>
                <c:pt idx="0">
                  <c:v>1</c:v>
                </c:pt>
                <c:pt idx="1">
                  <c:v>2</c:v>
                </c:pt>
                <c:pt idx="2">
                  <c:v>3</c:v>
                </c:pt>
                <c:pt idx="3">
                  <c:v>4</c:v>
                </c:pt>
                <c:pt idx="4">
                  <c:v>5</c:v>
                </c:pt>
              </c:numCache>
            </c:numRef>
          </c:cat>
          <c:val>
            <c:numRef>
              <c:f>Остаточно!$C$25:$C$29</c:f>
              <c:numCache>
                <c:formatCode>0.0</c:formatCode>
                <c:ptCount val="5"/>
                <c:pt idx="0">
                  <c:v>93.3</c:v>
                </c:pt>
                <c:pt idx="1">
                  <c:v>84.366666666666703</c:v>
                </c:pt>
                <c:pt idx="2">
                  <c:v>83.333333333333258</c:v>
                </c:pt>
                <c:pt idx="3">
                  <c:v>56.666666666666622</c:v>
                </c:pt>
                <c:pt idx="4">
                  <c:v>63.3333333333333</c:v>
                </c:pt>
              </c:numCache>
            </c:numRef>
          </c:val>
          <c:extLst xmlns:c16r2="http://schemas.microsoft.com/office/drawing/2015/06/chart">
            <c:ext xmlns:c16="http://schemas.microsoft.com/office/drawing/2014/chart" uri="{C3380CC4-5D6E-409C-BE32-E72D297353CC}">
              <c16:uniqueId val="{00000001-8CF8-4552-90F3-6C56EB92CB47}"/>
            </c:ext>
          </c:extLst>
        </c:ser>
        <c:ser>
          <c:idx val="2"/>
          <c:order val="2"/>
          <c:tx>
            <c:strRef>
              <c:f>Остаточно!$D$24</c:f>
              <c:strCache>
                <c:ptCount val="1"/>
                <c:pt idx="0">
                  <c:v>Ярило</c:v>
                </c:pt>
              </c:strCache>
            </c:strRef>
          </c:tx>
          <c:spPr>
            <a:pattFill prst="narHorz">
              <a:fgClr>
                <a:schemeClr val="tx1"/>
              </a:fgClr>
              <a:bgClr>
                <a:schemeClr val="bg1"/>
              </a:bgClr>
            </a:pattFill>
            <a:ln w="0">
              <a:solidFill>
                <a:srgbClr val="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Остаточно!$A$25:$A$29</c:f>
              <c:numCache>
                <c:formatCode>General</c:formatCode>
                <c:ptCount val="5"/>
                <c:pt idx="0">
                  <c:v>1</c:v>
                </c:pt>
                <c:pt idx="1">
                  <c:v>2</c:v>
                </c:pt>
                <c:pt idx="2">
                  <c:v>3</c:v>
                </c:pt>
                <c:pt idx="3">
                  <c:v>4</c:v>
                </c:pt>
                <c:pt idx="4">
                  <c:v>5</c:v>
                </c:pt>
              </c:numCache>
            </c:numRef>
          </c:cat>
          <c:val>
            <c:numRef>
              <c:f>Остаточно!$D$25:$D$29</c:f>
              <c:numCache>
                <c:formatCode>0.0</c:formatCode>
                <c:ptCount val="5"/>
                <c:pt idx="0">
                  <c:v>92.466666666666626</c:v>
                </c:pt>
                <c:pt idx="1">
                  <c:v>85.778252611585799</c:v>
                </c:pt>
                <c:pt idx="2">
                  <c:v>75</c:v>
                </c:pt>
                <c:pt idx="3">
                  <c:v>55</c:v>
                </c:pt>
                <c:pt idx="4">
                  <c:v>61.666666666666622</c:v>
                </c:pt>
              </c:numCache>
            </c:numRef>
          </c:val>
          <c:extLst xmlns:c16r2="http://schemas.microsoft.com/office/drawing/2015/06/chart">
            <c:ext xmlns:c16="http://schemas.microsoft.com/office/drawing/2014/chart" uri="{C3380CC4-5D6E-409C-BE32-E72D297353CC}">
              <c16:uniqueId val="{00000002-8CF8-4552-90F3-6C56EB92CB47}"/>
            </c:ext>
          </c:extLst>
        </c:ser>
        <c:ser>
          <c:idx val="3"/>
          <c:order val="3"/>
          <c:tx>
            <c:strRef>
              <c:f>Остаточно!$E$24</c:f>
              <c:strCache>
                <c:ptCount val="1"/>
                <c:pt idx="0">
                  <c:v>Загрей</c:v>
                </c:pt>
              </c:strCache>
            </c:strRef>
          </c:tx>
          <c:spPr>
            <a:solidFill>
              <a:schemeClr val="tx1"/>
            </a:solidFill>
            <a:ln w="0">
              <a:solidFill>
                <a:srgbClr val="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Остаточно!$A$25:$A$29</c:f>
              <c:numCache>
                <c:formatCode>General</c:formatCode>
                <c:ptCount val="5"/>
                <c:pt idx="0">
                  <c:v>1</c:v>
                </c:pt>
                <c:pt idx="1">
                  <c:v>2</c:v>
                </c:pt>
                <c:pt idx="2">
                  <c:v>3</c:v>
                </c:pt>
                <c:pt idx="3">
                  <c:v>4</c:v>
                </c:pt>
                <c:pt idx="4">
                  <c:v>5</c:v>
                </c:pt>
              </c:numCache>
            </c:numRef>
          </c:cat>
          <c:val>
            <c:numRef>
              <c:f>Остаточно!$E$25:$E$29</c:f>
              <c:numCache>
                <c:formatCode>0.0</c:formatCode>
                <c:ptCount val="5"/>
                <c:pt idx="0">
                  <c:v>91.4</c:v>
                </c:pt>
                <c:pt idx="1">
                  <c:v>83.278252611585799</c:v>
                </c:pt>
                <c:pt idx="2">
                  <c:v>50</c:v>
                </c:pt>
                <c:pt idx="3">
                  <c:v>40</c:v>
                </c:pt>
                <c:pt idx="4">
                  <c:v>41.666666666666622</c:v>
                </c:pt>
              </c:numCache>
            </c:numRef>
          </c:val>
          <c:extLst xmlns:c16r2="http://schemas.microsoft.com/office/drawing/2015/06/chart">
            <c:ext xmlns:c16="http://schemas.microsoft.com/office/drawing/2014/chart" uri="{C3380CC4-5D6E-409C-BE32-E72D297353CC}">
              <c16:uniqueId val="{00000003-8CF8-4552-90F3-6C56EB92CB47}"/>
            </c:ext>
          </c:extLst>
        </c:ser>
        <c:dLbls/>
        <c:gapWidth val="219"/>
        <c:overlap val="-27"/>
        <c:axId val="32719232"/>
        <c:axId val="32721152"/>
      </c:barChart>
      <c:catAx>
        <c:axId val="32719232"/>
        <c:scaling>
          <c:orientation val="minMax"/>
        </c:scaling>
        <c:axPos val="b"/>
        <c:title>
          <c:tx>
            <c:rich>
              <a:bodyPr rot="0"/>
              <a:lstStyle/>
              <a:p>
                <a:pPr>
                  <a:defRPr sz="1000"/>
                </a:pPr>
                <a:r>
                  <a:rPr lang="uk-UA" sz="1000"/>
                  <a:t>Варіанти досліду</a:t>
                </a:r>
              </a:p>
            </c:rich>
          </c:tx>
          <c:layout>
            <c:manualLayout>
              <c:xMode val="edge"/>
              <c:yMode val="edge"/>
              <c:x val="0.82725490196078433"/>
              <c:y val="0.80941244657032108"/>
            </c:manualLayout>
          </c:layout>
          <c:spPr>
            <a:noFill/>
            <a:ln w="0">
              <a:noFill/>
            </a:ln>
          </c:spPr>
        </c:title>
        <c:numFmt formatCode="General" sourceLinked="0"/>
        <c:majorTickMark val="in"/>
        <c:tickLblPos val="nextTo"/>
        <c:spPr>
          <a:ln w="9525">
            <a:solidFill>
              <a:srgbClr val="000000"/>
            </a:solidFill>
            <a:round/>
          </a:ln>
        </c:spPr>
        <c:crossAx val="32721152"/>
        <c:crossesAt val="0"/>
        <c:auto val="1"/>
        <c:lblAlgn val="ctr"/>
        <c:lblOffset val="100"/>
      </c:catAx>
      <c:valAx>
        <c:axId val="32721152"/>
        <c:scaling>
          <c:orientation val="minMax"/>
          <c:max val="100"/>
        </c:scaling>
        <c:axPos val="l"/>
        <c:majorGridlines>
          <c:spPr>
            <a:ln w="9360">
              <a:solidFill>
                <a:srgbClr val="D9D9D9"/>
              </a:solidFill>
              <a:round/>
            </a:ln>
          </c:spPr>
        </c:majorGridlines>
        <c:title>
          <c:tx>
            <c:rich>
              <a:bodyPr rot="0"/>
              <a:lstStyle/>
              <a:p>
                <a:pPr>
                  <a:defRPr sz="1000"/>
                </a:pPr>
                <a:r>
                  <a:rPr lang="en-US" sz="1000"/>
                  <a:t>%</a:t>
                </a:r>
              </a:p>
            </c:rich>
          </c:tx>
          <c:layout>
            <c:manualLayout>
              <c:xMode val="edge"/>
              <c:yMode val="edge"/>
              <c:x val="7.0696241575441158E-3"/>
              <c:y val="3.1156275781140649E-2"/>
            </c:manualLayout>
          </c:layout>
          <c:spPr>
            <a:noFill/>
            <a:ln w="0">
              <a:noFill/>
            </a:ln>
          </c:spPr>
        </c:title>
        <c:numFmt formatCode="General" sourceLinked="0"/>
        <c:majorTickMark val="in"/>
        <c:tickLblPos val="nextTo"/>
        <c:spPr>
          <a:ln w="9525" cmpd="sng">
            <a:solidFill>
              <a:srgbClr val="000000"/>
            </a:solidFill>
            <a:round/>
          </a:ln>
        </c:spPr>
        <c:crossAx val="32719232"/>
        <c:crossesAt val="1"/>
        <c:crossBetween val="between"/>
      </c:valAx>
      <c:spPr>
        <a:noFill/>
        <a:ln w="0">
          <a:noFill/>
        </a:ln>
      </c:spPr>
    </c:plotArea>
    <c:legend>
      <c:legendPos val="b"/>
      <c:layout>
        <c:manualLayout>
          <c:xMode val="edge"/>
          <c:yMode val="edge"/>
          <c:x val="3.043259254589497E-3"/>
          <c:y val="0.91948755572366458"/>
          <c:w val="0.99391335739265707"/>
          <c:h val="8.0512444276334444E-2"/>
        </c:manualLayout>
      </c:layout>
      <c:spPr>
        <a:noFill/>
        <a:ln w="0">
          <a:noFill/>
        </a:ln>
      </c:spPr>
    </c:legend>
    <c:plotVisOnly val="1"/>
    <c:dispBlanksAs val="gap"/>
    <c:showDLblsOverMax val="1"/>
  </c:chart>
  <c:spPr>
    <a:solidFill>
      <a:srgbClr val="FFFFFF"/>
    </a:solidFill>
    <a:ln w="9360">
      <a:solidFill>
        <a:schemeClr val="tx1"/>
      </a:solidFill>
      <a:round/>
    </a:ln>
  </c:spPr>
  <c:txPr>
    <a:bodyPr/>
    <a:lstStyle/>
    <a:p>
      <a:pPr>
        <a:defRPr sz="1200" b="0">
          <a:latin typeface="Times New Roman" panose="02020603050405020304" pitchFamily="18" charset="0"/>
          <a:cs typeface="Times New Roman" panose="02020603050405020304" pitchFamily="18" charset="0"/>
        </a:defRPr>
      </a:pPr>
      <a:endParaRPr lang="ru-RU"/>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9.8072866376298196E-2"/>
          <c:y val="8.18096789134755E-2"/>
          <c:w val="0.87948498378122986"/>
          <c:h val="0.64008408451206045"/>
        </c:manualLayout>
      </c:layout>
      <c:barChart>
        <c:barDir val="col"/>
        <c:grouping val="clustered"/>
        <c:ser>
          <c:idx val="0"/>
          <c:order val="0"/>
          <c:tx>
            <c:strRef>
              <c:f>'Ост. вар. проліф, %'!$B$93</c:f>
              <c:strCache>
                <c:ptCount val="1"/>
                <c:pt idx="0">
                  <c:v>Добриня</c:v>
                </c:pt>
              </c:strCache>
            </c:strRef>
          </c:tx>
          <c:spPr>
            <a:pattFill prst="ltUpDiag">
              <a:fgClr>
                <a:schemeClr val="tx1"/>
              </a:fgClr>
              <a:bgClr>
                <a:schemeClr val="bg1"/>
              </a:bgClr>
            </a:pattFill>
            <a:ln>
              <a:solidFill>
                <a:schemeClr val="tx1"/>
              </a:solidFill>
            </a:ln>
            <a:effectLst/>
          </c:spPr>
          <c:cat>
            <c:numRef>
              <c:f>'Ост. вар. проліф, %'!$AZ$48:$AZ$59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%'!$B$94:$B$105</c:f>
              <c:numCache>
                <c:formatCode>0.0</c:formatCode>
                <c:ptCount val="12"/>
                <c:pt idx="0">
                  <c:v>12.820512820512819</c:v>
                </c:pt>
                <c:pt idx="1">
                  <c:v>1.8518518518518521</c:v>
                </c:pt>
                <c:pt idx="2">
                  <c:v>1.8518518518518521</c:v>
                </c:pt>
                <c:pt idx="3" formatCode="General">
                  <c:v>0</c:v>
                </c:pt>
                <c:pt idx="4" formatCode="General">
                  <c:v>0</c:v>
                </c:pt>
                <c:pt idx="5" formatCode="General">
                  <c:v>0</c:v>
                </c:pt>
                <c:pt idx="6" formatCode="General">
                  <c:v>0</c:v>
                </c:pt>
                <c:pt idx="7" formatCode="General">
                  <c:v>0</c:v>
                </c:pt>
                <c:pt idx="8" formatCode="General">
                  <c:v>0</c:v>
                </c:pt>
                <c:pt idx="9" formatCode="General">
                  <c:v>0</c:v>
                </c:pt>
                <c:pt idx="10" formatCode="General">
                  <c:v>0</c:v>
                </c:pt>
                <c:pt idx="11" formatCode="General">
                  <c:v>0</c:v>
                </c:pt>
              </c:numCache>
            </c:numRef>
          </c:val>
          <c:extLst xmlns:c16r2="http://schemas.microsoft.com/office/drawing/2015/06/chart">
            <c:ext xmlns:c16="http://schemas.microsoft.com/office/drawing/2014/chart" uri="{C3380CC4-5D6E-409C-BE32-E72D297353CC}">
              <c16:uniqueId val="{00000000-DD75-44A2-9271-6BBD41CD38E1}"/>
            </c:ext>
          </c:extLst>
        </c:ser>
        <c:ser>
          <c:idx val="1"/>
          <c:order val="1"/>
          <c:tx>
            <c:strRef>
              <c:f>'Ост. вар. проліф, %'!$C$93</c:f>
              <c:strCache>
                <c:ptCount val="1"/>
                <c:pt idx="0">
                  <c:v>Гарант</c:v>
                </c:pt>
              </c:strCache>
            </c:strRef>
          </c:tx>
          <c:spPr>
            <a:solidFill>
              <a:schemeClr val="tx1"/>
            </a:solidFill>
            <a:ln>
              <a:solidFill>
                <a:schemeClr val="tx1"/>
              </a:solidFill>
            </a:ln>
            <a:effectLst/>
          </c:spPr>
          <c:cat>
            <c:numRef>
              <c:f>'Ост. вар. проліф, %'!$AZ$48:$AZ$59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%'!$C$94:$C$105</c:f>
              <c:numCache>
                <c:formatCode>0.0</c:formatCode>
                <c:ptCount val="12"/>
                <c:pt idx="0">
                  <c:v>2.2222222222222232</c:v>
                </c:pt>
                <c:pt idx="1">
                  <c:v>3.5087719298245617</c:v>
                </c:pt>
                <c:pt idx="2" formatCode="General">
                  <c:v>0</c:v>
                </c:pt>
                <c:pt idx="3" formatCode="General">
                  <c:v>0</c:v>
                </c:pt>
                <c:pt idx="4" formatCode="General">
                  <c:v>0</c:v>
                </c:pt>
                <c:pt idx="5" formatCode="General">
                  <c:v>0</c:v>
                </c:pt>
                <c:pt idx="6" formatCode="General">
                  <c:v>1.4</c:v>
                </c:pt>
                <c:pt idx="7">
                  <c:v>0.95238095238095244</c:v>
                </c:pt>
                <c:pt idx="8" formatCode="General">
                  <c:v>0</c:v>
                </c:pt>
                <c:pt idx="9" formatCode="General">
                  <c:v>0</c:v>
                </c:pt>
                <c:pt idx="10">
                  <c:v>1.515151515151516</c:v>
                </c:pt>
                <c:pt idx="11" formatCode="General">
                  <c:v>0</c:v>
                </c:pt>
              </c:numCache>
            </c:numRef>
          </c:val>
          <c:extLst xmlns:c16r2="http://schemas.microsoft.com/office/drawing/2015/06/chart">
            <c:ext xmlns:c16="http://schemas.microsoft.com/office/drawing/2014/chart" uri="{C3380CC4-5D6E-409C-BE32-E72D297353CC}">
              <c16:uniqueId val="{00000001-DD75-44A2-9271-6BBD41CD38E1}"/>
            </c:ext>
          </c:extLst>
        </c:ser>
        <c:dLbls/>
        <c:gapWidth val="219"/>
        <c:overlap val="-27"/>
        <c:axId val="80112256"/>
        <c:axId val="80130432"/>
      </c:barChart>
      <c:catAx>
        <c:axId val="80112256"/>
        <c:scaling>
          <c:orientation val="minMax"/>
        </c:scaling>
        <c:axPos val="b"/>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130432"/>
        <c:crosses val="autoZero"/>
        <c:auto val="1"/>
        <c:lblAlgn val="ctr"/>
        <c:lblOffset val="100"/>
      </c:catAx>
      <c:valAx>
        <c:axId val="80130432"/>
        <c:scaling>
          <c:orientation val="minMax"/>
          <c:max val="3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endParaRPr lang="uk-UA" sz="1000"/>
              </a:p>
            </c:rich>
          </c:tx>
          <c:layout>
            <c:manualLayout>
              <c:xMode val="edge"/>
              <c:yMode val="edge"/>
              <c:x val="2.0403999183840078E-3"/>
              <c:y val="6.6685592194713804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112256"/>
        <c:crosses val="autoZero"/>
        <c:crossBetween val="between"/>
        <c:majorUnit val="5"/>
      </c:valAx>
      <c:spPr>
        <a:noFill/>
        <a:ln>
          <a:noFill/>
        </a:ln>
        <a:effectLst/>
      </c:spPr>
    </c:plotArea>
    <c:legend>
      <c:legendPos val="b"/>
      <c:layout>
        <c:manualLayout>
          <c:xMode val="edge"/>
          <c:yMode val="edge"/>
          <c:x val="2.0403999183840078E-3"/>
          <c:y val="0.8565237789299105"/>
          <c:w val="0.99484908136482963"/>
          <c:h val="0.143476221070089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08065202827"/>
          <c:y val="8.93998117408E-2"/>
          <c:w val="0.87675132987482873"/>
          <c:h val="0.59259035694541951"/>
        </c:manualLayout>
      </c:layout>
      <c:barChart>
        <c:barDir val="col"/>
        <c:grouping val="clustered"/>
        <c:ser>
          <c:idx val="0"/>
          <c:order val="0"/>
          <c:tx>
            <c:strRef>
              <c:f>'Ост. вар. проліф, %'!$BD$47</c:f>
              <c:strCache>
                <c:ptCount val="1"/>
                <c:pt idx="0">
                  <c:v>Ярило</c:v>
                </c:pt>
              </c:strCache>
            </c:strRef>
          </c:tx>
          <c:spPr>
            <a:pattFill prst="ltUpDiag">
              <a:fgClr>
                <a:schemeClr val="tx1"/>
              </a:fgClr>
              <a:bgClr>
                <a:schemeClr val="bg1"/>
              </a:bgClr>
            </a:pattFill>
            <a:ln>
              <a:solidFill>
                <a:schemeClr val="tx1"/>
              </a:solidFill>
            </a:ln>
            <a:effectLst/>
          </c:spPr>
          <c:cat>
            <c:numRef>
              <c:f>'Ост. вар. проліф, %'!$BC$48:$BC$59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%'!$BD$48:$BD$59</c:f>
              <c:numCache>
                <c:formatCode>0.0</c:formatCode>
                <c:ptCount val="12"/>
                <c:pt idx="0" formatCode="General">
                  <c:v>0</c:v>
                </c:pt>
                <c:pt idx="1">
                  <c:v>1.3333333333333333</c:v>
                </c:pt>
                <c:pt idx="2" formatCode="General">
                  <c:v>0</c:v>
                </c:pt>
                <c:pt idx="3" formatCode="General">
                  <c:v>0</c:v>
                </c:pt>
                <c:pt idx="4" formatCode="General">
                  <c:v>0</c:v>
                </c:pt>
                <c:pt idx="5" formatCode="General">
                  <c:v>0</c:v>
                </c:pt>
                <c:pt idx="6" formatCode="General">
                  <c:v>0</c:v>
                </c:pt>
                <c:pt idx="7" formatCode="General">
                  <c:v>0</c:v>
                </c:pt>
                <c:pt idx="8" formatCode="General">
                  <c:v>0</c:v>
                </c:pt>
                <c:pt idx="9" formatCode="General">
                  <c:v>0</c:v>
                </c:pt>
                <c:pt idx="10" formatCode="General">
                  <c:v>0</c:v>
                </c:pt>
                <c:pt idx="11" formatCode="General">
                  <c:v>0</c:v>
                </c:pt>
              </c:numCache>
            </c:numRef>
          </c:val>
          <c:extLst xmlns:c16r2="http://schemas.microsoft.com/office/drawing/2015/06/chart">
            <c:ext xmlns:c16="http://schemas.microsoft.com/office/drawing/2014/chart" uri="{C3380CC4-5D6E-409C-BE32-E72D297353CC}">
              <c16:uniqueId val="{00000000-5646-4003-A8D8-2D65B9F8AB7C}"/>
            </c:ext>
          </c:extLst>
        </c:ser>
        <c:ser>
          <c:idx val="1"/>
          <c:order val="1"/>
          <c:tx>
            <c:strRef>
              <c:f>'Ост. вар. проліф, %'!$BE$47</c:f>
              <c:strCache>
                <c:ptCount val="1"/>
                <c:pt idx="0">
                  <c:v>Загрей</c:v>
                </c:pt>
              </c:strCache>
            </c:strRef>
          </c:tx>
          <c:spPr>
            <a:solidFill>
              <a:schemeClr val="tx1"/>
            </a:solidFill>
            <a:ln>
              <a:noFill/>
            </a:ln>
            <a:effectLst/>
          </c:spPr>
          <c:cat>
            <c:numRef>
              <c:f>'Ост. вар. проліф, %'!$BC$48:$BC$59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%'!$BE$48:$BE$59</c:f>
              <c:numCache>
                <c:formatCode>General</c:formatCode>
                <c:ptCount val="12"/>
                <c:pt idx="0">
                  <c:v>0</c:v>
                </c:pt>
                <c:pt idx="1">
                  <c:v>0</c:v>
                </c:pt>
                <c:pt idx="2">
                  <c:v>0</c:v>
                </c:pt>
                <c:pt idx="3">
                  <c:v>0</c:v>
                </c:pt>
                <c:pt idx="4">
                  <c:v>0</c:v>
                </c:pt>
                <c:pt idx="5">
                  <c:v>0</c:v>
                </c:pt>
                <c:pt idx="6">
                  <c:v>0</c:v>
                </c:pt>
                <c:pt idx="7">
                  <c:v>0</c:v>
                </c:pt>
                <c:pt idx="8">
                  <c:v>0</c:v>
                </c:pt>
                <c:pt idx="9">
                  <c:v>0</c:v>
                </c:pt>
                <c:pt idx="10">
                  <c:v>0</c:v>
                </c:pt>
                <c:pt idx="11">
                  <c:v>0</c:v>
                </c:pt>
              </c:numCache>
            </c:numRef>
          </c:val>
          <c:extLst xmlns:c16r2="http://schemas.microsoft.com/office/drawing/2015/06/chart">
            <c:ext xmlns:c16="http://schemas.microsoft.com/office/drawing/2014/chart" uri="{C3380CC4-5D6E-409C-BE32-E72D297353CC}">
              <c16:uniqueId val="{00000001-5646-4003-A8D8-2D65B9F8AB7C}"/>
            </c:ext>
          </c:extLst>
        </c:ser>
        <c:dLbls/>
        <c:gapWidth val="219"/>
        <c:overlap val="-27"/>
        <c:axId val="80046336"/>
        <c:axId val="80056704"/>
      </c:barChart>
      <c:catAx>
        <c:axId val="80046336"/>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404079195501545"/>
              <c:y val="0.81619568908145113"/>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056704"/>
        <c:crosses val="autoZero"/>
        <c:auto val="1"/>
        <c:lblAlgn val="ctr"/>
        <c:lblOffset val="100"/>
      </c:catAx>
      <c:valAx>
        <c:axId val="80056704"/>
        <c:scaling>
          <c:orientation val="minMax"/>
          <c:max val="30"/>
        </c:scaling>
        <c:axPos val="l"/>
        <c:majorGridlines>
          <c:spPr>
            <a:ln w="9525" cap="flat" cmpd="sng" algn="ctr">
              <a:solidFill>
                <a:schemeClr val="tx1">
                  <a:lumMod val="15000"/>
                  <a:lumOff val="85000"/>
                </a:schemeClr>
              </a:solidFill>
              <a:round/>
            </a:ln>
            <a:effectLst/>
          </c:spPr>
        </c:majorGridlines>
        <c:numFmt formatCode="General" sourceLinked="1"/>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046336"/>
        <c:crosses val="autoZero"/>
        <c:crossBetween val="between"/>
        <c:majorUnit val="5"/>
      </c:valAx>
      <c:spPr>
        <a:noFill/>
        <a:ln>
          <a:noFill/>
        </a:ln>
        <a:effectLst/>
      </c:spPr>
    </c:plotArea>
    <c:legend>
      <c:legendPos val="b"/>
      <c:layout>
        <c:manualLayout>
          <c:xMode val="edge"/>
          <c:yMode val="edge"/>
          <c:x val="9.0307779064854204E-4"/>
          <c:y val="0.87866733671071762"/>
          <c:w val="0.998193569553806"/>
          <c:h val="9.8495388919825649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9.768515777633055E-2"/>
          <c:y val="8.9203185465194457E-2"/>
          <c:w val="0.87996166197575232"/>
          <c:h val="0.56338388441482767"/>
        </c:manualLayout>
      </c:layout>
      <c:barChart>
        <c:barDir val="col"/>
        <c:grouping val="clustered"/>
        <c:ser>
          <c:idx val="0"/>
          <c:order val="0"/>
          <c:tx>
            <c:strRef>
              <c:f>'Ост. вар. проліф, %'!$BH$47</c:f>
              <c:strCache>
                <c:ptCount val="1"/>
                <c:pt idx="0">
                  <c:v>Добриня</c:v>
                </c:pt>
              </c:strCache>
            </c:strRef>
          </c:tx>
          <c:spPr>
            <a:pattFill prst="ltUpDiag">
              <a:fgClr>
                <a:schemeClr val="tx1"/>
              </a:fgClr>
              <a:bgClr>
                <a:schemeClr val="bg1"/>
              </a:bgClr>
            </a:pattFill>
            <a:ln>
              <a:solidFill>
                <a:schemeClr val="tx1"/>
              </a:solidFill>
            </a:ln>
            <a:effectLst/>
          </c:spPr>
          <c:cat>
            <c:numRef>
              <c:f>'Ост. вар. проліф, %'!$BG$48:$BG$59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%'!$BH$48:$BH$59</c:f>
              <c:numCache>
                <c:formatCode>0.0</c:formatCode>
                <c:ptCount val="12"/>
                <c:pt idx="0">
                  <c:v>25.18414918414916</c:v>
                </c:pt>
                <c:pt idx="1">
                  <c:v>8.518518518518519</c:v>
                </c:pt>
                <c:pt idx="2">
                  <c:v>7.4074074074074066</c:v>
                </c:pt>
                <c:pt idx="3" formatCode="General">
                  <c:v>0</c:v>
                </c:pt>
                <c:pt idx="4" formatCode="0">
                  <c:v>0</c:v>
                </c:pt>
                <c:pt idx="5">
                  <c:v>1.6666666666666667</c:v>
                </c:pt>
                <c:pt idx="6">
                  <c:v>7.2463768115942031</c:v>
                </c:pt>
                <c:pt idx="7">
                  <c:v>4.7619047619047619</c:v>
                </c:pt>
                <c:pt idx="8">
                  <c:v>8.9169000933706837</c:v>
                </c:pt>
                <c:pt idx="9">
                  <c:v>8.8888888888888893</c:v>
                </c:pt>
                <c:pt idx="10">
                  <c:v>26.984126984126942</c:v>
                </c:pt>
                <c:pt idx="11">
                  <c:v>16.388888888888893</c:v>
                </c:pt>
              </c:numCache>
            </c:numRef>
          </c:val>
          <c:extLst xmlns:c16r2="http://schemas.microsoft.com/office/drawing/2015/06/chart">
            <c:ext xmlns:c16="http://schemas.microsoft.com/office/drawing/2014/chart" uri="{C3380CC4-5D6E-409C-BE32-E72D297353CC}">
              <c16:uniqueId val="{00000000-8D2E-4897-BA52-C605570088AD}"/>
            </c:ext>
          </c:extLst>
        </c:ser>
        <c:ser>
          <c:idx val="1"/>
          <c:order val="1"/>
          <c:tx>
            <c:strRef>
              <c:f>'Ост. вар. проліф, %'!$BI$47</c:f>
              <c:strCache>
                <c:ptCount val="1"/>
                <c:pt idx="0">
                  <c:v>Гарант</c:v>
                </c:pt>
              </c:strCache>
            </c:strRef>
          </c:tx>
          <c:spPr>
            <a:solidFill>
              <a:schemeClr val="tx1"/>
            </a:solidFill>
            <a:ln>
              <a:solidFill>
                <a:schemeClr val="tx1"/>
              </a:solidFill>
            </a:ln>
            <a:effectLst/>
          </c:spPr>
          <c:cat>
            <c:numRef>
              <c:f>'Ост. вар. проліф, %'!$BG$48:$BG$59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%'!$BI$48:$BI$59</c:f>
              <c:numCache>
                <c:formatCode>0.0</c:formatCode>
                <c:ptCount val="12"/>
                <c:pt idx="0">
                  <c:v>21.91919191919192</c:v>
                </c:pt>
                <c:pt idx="1">
                  <c:v>17.145135566188188</c:v>
                </c:pt>
                <c:pt idx="2">
                  <c:v>3.6752136752136737</c:v>
                </c:pt>
                <c:pt idx="3">
                  <c:v>4.7619047619047619</c:v>
                </c:pt>
                <c:pt idx="4">
                  <c:v>5.4626532887402464</c:v>
                </c:pt>
                <c:pt idx="5">
                  <c:v>1.515151515151516</c:v>
                </c:pt>
                <c:pt idx="6">
                  <c:v>11.915873015873016</c:v>
                </c:pt>
                <c:pt idx="7">
                  <c:v>8.2298245614035039</c:v>
                </c:pt>
                <c:pt idx="8">
                  <c:v>2.9012345679012377</c:v>
                </c:pt>
                <c:pt idx="9">
                  <c:v>5.9113300492610854</c:v>
                </c:pt>
                <c:pt idx="10">
                  <c:v>22.222222222222186</c:v>
                </c:pt>
                <c:pt idx="11">
                  <c:v>4.3478260869565215</c:v>
                </c:pt>
              </c:numCache>
            </c:numRef>
          </c:val>
          <c:extLst xmlns:c16r2="http://schemas.microsoft.com/office/drawing/2015/06/chart">
            <c:ext xmlns:c16="http://schemas.microsoft.com/office/drawing/2014/chart" uri="{C3380CC4-5D6E-409C-BE32-E72D297353CC}">
              <c16:uniqueId val="{00000001-8D2E-4897-BA52-C605570088AD}"/>
            </c:ext>
          </c:extLst>
        </c:ser>
        <c:dLbls/>
        <c:gapWidth val="219"/>
        <c:overlap val="-27"/>
        <c:axId val="80226176"/>
        <c:axId val="80227712"/>
      </c:barChart>
      <c:catAx>
        <c:axId val="80226176"/>
        <c:scaling>
          <c:orientation val="minMax"/>
        </c:scaling>
        <c:axPos val="b"/>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227712"/>
        <c:crosses val="autoZero"/>
        <c:auto val="1"/>
        <c:lblAlgn val="ctr"/>
        <c:lblOffset val="100"/>
      </c:catAx>
      <c:valAx>
        <c:axId val="80227712"/>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p>
            </c:rich>
          </c:tx>
          <c:layout>
            <c:manualLayout>
              <c:xMode val="edge"/>
              <c:yMode val="edge"/>
              <c:x val="2.7777777777777861E-3"/>
              <c:y val="6.6684893554972372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226176"/>
        <c:crosses val="autoZero"/>
        <c:crossBetween val="between"/>
      </c:valAx>
      <c:spPr>
        <a:noFill/>
        <a:ln>
          <a:noFill/>
        </a:ln>
        <a:effectLst/>
      </c:spPr>
    </c:plotArea>
    <c:legend>
      <c:legendPos val="b"/>
      <c:layout>
        <c:manualLayout>
          <c:xMode val="edge"/>
          <c:yMode val="edge"/>
          <c:x val="0"/>
          <c:y val="0.87671831343662754"/>
          <c:w val="1"/>
          <c:h val="0.12328168656337321"/>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4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9.5653050481065524E-2"/>
          <c:y val="8.4593828756480319E-2"/>
          <c:w val="0.88199376927101736"/>
          <c:h val="0.58524594873401958"/>
        </c:manualLayout>
      </c:layout>
      <c:barChart>
        <c:barDir val="col"/>
        <c:grouping val="clustered"/>
        <c:ser>
          <c:idx val="0"/>
          <c:order val="0"/>
          <c:tx>
            <c:strRef>
              <c:f>'Ост. вар. проліф, %'!$BK$47</c:f>
              <c:strCache>
                <c:ptCount val="1"/>
                <c:pt idx="0">
                  <c:v>Ярило</c:v>
                </c:pt>
              </c:strCache>
            </c:strRef>
          </c:tx>
          <c:spPr>
            <a:pattFill prst="ltUpDiag">
              <a:fgClr>
                <a:schemeClr val="tx1"/>
              </a:fgClr>
              <a:bgClr>
                <a:schemeClr val="bg1"/>
              </a:bgClr>
            </a:pattFill>
            <a:ln>
              <a:solidFill>
                <a:schemeClr val="tx1"/>
              </a:solidFill>
            </a:ln>
            <a:effectLst/>
          </c:spPr>
          <c:cat>
            <c:numRef>
              <c:f>'Ост. вар. проліф, %'!$BJ$48:$BJ$59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%'!$BK$48:$BK$59</c:f>
              <c:numCache>
                <c:formatCode>0.0</c:formatCode>
                <c:ptCount val="12"/>
                <c:pt idx="0">
                  <c:v>15.384615384615385</c:v>
                </c:pt>
                <c:pt idx="1">
                  <c:v>14.666666666666679</c:v>
                </c:pt>
                <c:pt idx="2">
                  <c:v>2.4691358024691383</c:v>
                </c:pt>
                <c:pt idx="3">
                  <c:v>1.3888888888888904</c:v>
                </c:pt>
                <c:pt idx="4">
                  <c:v>3.8461538461538463</c:v>
                </c:pt>
                <c:pt idx="5">
                  <c:v>4.5454545454545459</c:v>
                </c:pt>
                <c:pt idx="6">
                  <c:v>6.0731538992408574</c:v>
                </c:pt>
                <c:pt idx="7" formatCode="0">
                  <c:v>0</c:v>
                </c:pt>
                <c:pt idx="8">
                  <c:v>2.6262626262626263</c:v>
                </c:pt>
                <c:pt idx="9">
                  <c:v>1.1494252873563218</c:v>
                </c:pt>
                <c:pt idx="10">
                  <c:v>12.481962481962471</c:v>
                </c:pt>
                <c:pt idx="11">
                  <c:v>8.7719298245613988</c:v>
                </c:pt>
              </c:numCache>
            </c:numRef>
          </c:val>
          <c:extLst xmlns:c16r2="http://schemas.microsoft.com/office/drawing/2015/06/chart">
            <c:ext xmlns:c16="http://schemas.microsoft.com/office/drawing/2014/chart" uri="{C3380CC4-5D6E-409C-BE32-E72D297353CC}">
              <c16:uniqueId val="{00000000-6A24-4716-B690-1655F56D425A}"/>
            </c:ext>
          </c:extLst>
        </c:ser>
        <c:ser>
          <c:idx val="1"/>
          <c:order val="1"/>
          <c:tx>
            <c:strRef>
              <c:f>'Ост. вар. проліф, %'!$BL$47</c:f>
              <c:strCache>
                <c:ptCount val="1"/>
                <c:pt idx="0">
                  <c:v>Загрей</c:v>
                </c:pt>
              </c:strCache>
            </c:strRef>
          </c:tx>
          <c:spPr>
            <a:solidFill>
              <a:schemeClr val="tx1"/>
            </a:solidFill>
            <a:ln>
              <a:solidFill>
                <a:schemeClr val="tx1"/>
              </a:solidFill>
            </a:ln>
            <a:effectLst/>
          </c:spPr>
          <c:cat>
            <c:numRef>
              <c:f>'Ост. вар. проліф, %'!$BJ$48:$BJ$59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%'!$BL$48:$BL$59</c:f>
              <c:numCache>
                <c:formatCode>General</c:formatCode>
                <c:ptCount val="12"/>
                <c:pt idx="0">
                  <c:v>13.4</c:v>
                </c:pt>
                <c:pt idx="1">
                  <c:v>11.2</c:v>
                </c:pt>
                <c:pt idx="2">
                  <c:v>1.7</c:v>
                </c:pt>
                <c:pt idx="3">
                  <c:v>0.60000000000000064</c:v>
                </c:pt>
                <c:pt idx="4">
                  <c:v>1.5</c:v>
                </c:pt>
                <c:pt idx="5">
                  <c:v>2.9</c:v>
                </c:pt>
                <c:pt idx="6">
                  <c:v>5.3</c:v>
                </c:pt>
                <c:pt idx="7" formatCode="0">
                  <c:v>0</c:v>
                </c:pt>
                <c:pt idx="8">
                  <c:v>2.1</c:v>
                </c:pt>
                <c:pt idx="9">
                  <c:v>0.9</c:v>
                </c:pt>
                <c:pt idx="10">
                  <c:v>10.7</c:v>
                </c:pt>
                <c:pt idx="11">
                  <c:v>4.3</c:v>
                </c:pt>
              </c:numCache>
            </c:numRef>
          </c:val>
          <c:extLst xmlns:c16r2="http://schemas.microsoft.com/office/drawing/2015/06/chart">
            <c:ext xmlns:c16="http://schemas.microsoft.com/office/drawing/2014/chart" uri="{C3380CC4-5D6E-409C-BE32-E72D297353CC}">
              <c16:uniqueId val="{00000001-6A24-4716-B690-1655F56D425A}"/>
            </c:ext>
          </c:extLst>
        </c:ser>
        <c:dLbls/>
        <c:gapWidth val="219"/>
        <c:overlap val="-27"/>
        <c:axId val="80270848"/>
        <c:axId val="80272768"/>
      </c:barChart>
      <c:catAx>
        <c:axId val="8027084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72701707741078"/>
              <c:y val="0.80196558327787371"/>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272768"/>
        <c:crosses val="autoZero"/>
        <c:auto val="1"/>
        <c:lblAlgn val="ctr"/>
        <c:lblOffset val="100"/>
      </c:catAx>
      <c:valAx>
        <c:axId val="80272768"/>
        <c:scaling>
          <c:orientation val="minMax"/>
          <c:max val="30"/>
        </c:scaling>
        <c:axPos val="l"/>
        <c:majorGridlines>
          <c:spPr>
            <a:ln w="9525" cap="flat" cmpd="sng" algn="ctr">
              <a:solidFill>
                <a:schemeClr val="tx1">
                  <a:lumMod val="15000"/>
                  <a:lumOff val="85000"/>
                </a:schemeClr>
              </a:solidFill>
              <a:round/>
            </a:ln>
            <a:effectLst/>
          </c:spPr>
        </c:majorGridlines>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270848"/>
        <c:crosses val="autoZero"/>
        <c:crossBetween val="between"/>
      </c:valAx>
      <c:spPr>
        <a:noFill/>
        <a:ln>
          <a:noFill/>
        </a:ln>
        <a:effectLst/>
      </c:spPr>
    </c:plotArea>
    <c:legend>
      <c:legendPos val="b"/>
      <c:layout>
        <c:manualLayout>
          <c:xMode val="edge"/>
          <c:yMode val="edge"/>
          <c:x val="2.1126421697287658E-3"/>
          <c:y val="0.89385022524358448"/>
          <c:w val="0.99299671916010501"/>
          <c:h val="9.6890606065546225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9.5472079161434201E-2"/>
          <c:y val="6.5201022700258585E-2"/>
          <c:w val="0.87397233401777463"/>
          <c:h val="0.62567132897666899"/>
        </c:manualLayout>
      </c:layout>
      <c:barChart>
        <c:barDir val="col"/>
        <c:grouping val="clustered"/>
        <c:ser>
          <c:idx val="0"/>
          <c:order val="0"/>
          <c:tx>
            <c:strRef>
              <c:f>'Ост. вар. проліф, %'!$BO$47</c:f>
              <c:strCache>
                <c:ptCount val="1"/>
                <c:pt idx="0">
                  <c:v>Добриня</c:v>
                </c:pt>
              </c:strCache>
            </c:strRef>
          </c:tx>
          <c:spPr>
            <a:pattFill prst="ltUpDiag">
              <a:fgClr>
                <a:schemeClr val="tx1"/>
              </a:fgClr>
              <a:bgClr>
                <a:schemeClr val="bg1"/>
              </a:bgClr>
            </a:pattFill>
            <a:ln>
              <a:solidFill>
                <a:schemeClr val="tx1"/>
              </a:solidFill>
            </a:ln>
            <a:effectLst/>
          </c:spPr>
          <c:cat>
            <c:numRef>
              <c:f>'Ост. вар. проліф, %'!$BN$48:$BN$59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%'!$BO$48:$BO$59</c:f>
              <c:numCache>
                <c:formatCode>0.0</c:formatCode>
                <c:ptCount val="12"/>
                <c:pt idx="0">
                  <c:v>71.348096348096249</c:v>
                </c:pt>
                <c:pt idx="1">
                  <c:v>65.319088319088138</c:v>
                </c:pt>
                <c:pt idx="2">
                  <c:v>42.138271604938303</c:v>
                </c:pt>
                <c:pt idx="3">
                  <c:v>39.847619047619048</c:v>
                </c:pt>
                <c:pt idx="4">
                  <c:v>37.666666666666622</c:v>
                </c:pt>
                <c:pt idx="5">
                  <c:v>36.666666666666622</c:v>
                </c:pt>
                <c:pt idx="6">
                  <c:v>70.724637681159393</c:v>
                </c:pt>
                <c:pt idx="7">
                  <c:v>62.475166410650296</c:v>
                </c:pt>
                <c:pt idx="8">
                  <c:v>40.157430151547757</c:v>
                </c:pt>
                <c:pt idx="9">
                  <c:v>38.0555555555556</c:v>
                </c:pt>
                <c:pt idx="10">
                  <c:v>39.2330447330447</c:v>
                </c:pt>
                <c:pt idx="11">
                  <c:v>39.752991452991495</c:v>
                </c:pt>
              </c:numCache>
            </c:numRef>
          </c:val>
          <c:extLst xmlns:c16r2="http://schemas.microsoft.com/office/drawing/2015/06/chart">
            <c:ext xmlns:c16="http://schemas.microsoft.com/office/drawing/2014/chart" uri="{C3380CC4-5D6E-409C-BE32-E72D297353CC}">
              <c16:uniqueId val="{00000000-D84F-4BB1-8C20-DA62896EE6EF}"/>
            </c:ext>
          </c:extLst>
        </c:ser>
        <c:ser>
          <c:idx val="1"/>
          <c:order val="1"/>
          <c:tx>
            <c:strRef>
              <c:f>'Ост. вар. проліф, %'!$BP$47</c:f>
              <c:strCache>
                <c:ptCount val="1"/>
                <c:pt idx="0">
                  <c:v>Гарант</c:v>
                </c:pt>
              </c:strCache>
            </c:strRef>
          </c:tx>
          <c:spPr>
            <a:solidFill>
              <a:schemeClr val="tx1"/>
            </a:solidFill>
            <a:ln>
              <a:solidFill>
                <a:schemeClr val="tx1"/>
              </a:solidFill>
            </a:ln>
            <a:effectLst/>
          </c:spPr>
          <c:cat>
            <c:numRef>
              <c:f>'Ост. вар. проліф, %'!$BN$48:$BN$59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%'!$BP$48:$BP$59</c:f>
              <c:numCache>
                <c:formatCode>0.0</c:formatCode>
                <c:ptCount val="12"/>
                <c:pt idx="0">
                  <c:v>68.53535353535348</c:v>
                </c:pt>
                <c:pt idx="1">
                  <c:v>61.785793154214197</c:v>
                </c:pt>
                <c:pt idx="2">
                  <c:v>40.271995977878312</c:v>
                </c:pt>
                <c:pt idx="3">
                  <c:v>37.666666666666622</c:v>
                </c:pt>
                <c:pt idx="4">
                  <c:v>35.899993442192901</c:v>
                </c:pt>
                <c:pt idx="5">
                  <c:v>35.945454545454496</c:v>
                </c:pt>
                <c:pt idx="6">
                  <c:v>70.753968253968281</c:v>
                </c:pt>
                <c:pt idx="7">
                  <c:v>63.218045112782001</c:v>
                </c:pt>
                <c:pt idx="8">
                  <c:v>38.740740740740698</c:v>
                </c:pt>
                <c:pt idx="9">
                  <c:v>35.212506841817202</c:v>
                </c:pt>
                <c:pt idx="10">
                  <c:v>39.690209790209813</c:v>
                </c:pt>
                <c:pt idx="11">
                  <c:v>40.071386101820899</c:v>
                </c:pt>
              </c:numCache>
            </c:numRef>
          </c:val>
          <c:extLst xmlns:c16r2="http://schemas.microsoft.com/office/drawing/2015/06/chart">
            <c:ext xmlns:c16="http://schemas.microsoft.com/office/drawing/2014/chart" uri="{C3380CC4-5D6E-409C-BE32-E72D297353CC}">
              <c16:uniqueId val="{00000001-D84F-4BB1-8C20-DA62896EE6EF}"/>
            </c:ext>
          </c:extLst>
        </c:ser>
        <c:dLbls/>
        <c:gapWidth val="219"/>
        <c:overlap val="-27"/>
        <c:axId val="80188544"/>
        <c:axId val="80190080"/>
      </c:barChart>
      <c:catAx>
        <c:axId val="80188544"/>
        <c:scaling>
          <c:orientation val="minMax"/>
        </c:scaling>
        <c:axPos val="b"/>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190080"/>
        <c:crosses val="autoZero"/>
        <c:auto val="1"/>
        <c:lblAlgn val="ctr"/>
        <c:lblOffset val="100"/>
      </c:catAx>
      <c:valAx>
        <c:axId val="80190080"/>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1.2221848825972521E-3"/>
              <c:y val="5.06983761965059E-4"/>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188544"/>
        <c:crosses val="autoZero"/>
        <c:crossBetween val="between"/>
        <c:majorUnit val="20"/>
      </c:valAx>
      <c:spPr>
        <a:noFill/>
        <a:ln>
          <a:noFill/>
        </a:ln>
        <a:effectLst/>
      </c:spPr>
    </c:plotArea>
    <c:legend>
      <c:legendPos val="b"/>
      <c:layout>
        <c:manualLayout>
          <c:xMode val="edge"/>
          <c:yMode val="edge"/>
          <c:x val="7.0181539807524116E-3"/>
          <c:y val="0.90115777194517355"/>
          <c:w val="0.98596347331583567"/>
          <c:h val="9.8842228054826564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9.3430012590064102E-2"/>
          <c:y val="5.9039442986293413E-2"/>
          <c:w val="0.87601440058914515"/>
          <c:h val="0.65035104986876635"/>
        </c:manualLayout>
      </c:layout>
      <c:barChart>
        <c:barDir val="col"/>
        <c:grouping val="clustered"/>
        <c:ser>
          <c:idx val="0"/>
          <c:order val="0"/>
          <c:tx>
            <c:strRef>
              <c:f>'Ост. вар. проліф, %'!$BR$47</c:f>
              <c:strCache>
                <c:ptCount val="1"/>
                <c:pt idx="0">
                  <c:v>Ярило</c:v>
                </c:pt>
              </c:strCache>
            </c:strRef>
          </c:tx>
          <c:spPr>
            <a:pattFill prst="ltUpDiag">
              <a:fgClr>
                <a:schemeClr val="tx1"/>
              </a:fgClr>
              <a:bgClr>
                <a:schemeClr val="bg1"/>
              </a:bgClr>
            </a:pattFill>
            <a:ln>
              <a:solidFill>
                <a:schemeClr val="tx1"/>
              </a:solidFill>
            </a:ln>
            <a:effectLst/>
          </c:spPr>
          <c:cat>
            <c:numRef>
              <c:f>'Ост. вар. проліф, %'!$BQ$48:$BQ$59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%'!$BR$48:$BR$59</c:f>
              <c:numCache>
                <c:formatCode>0.0</c:formatCode>
                <c:ptCount val="12"/>
                <c:pt idx="0">
                  <c:v>58.684537684537702</c:v>
                </c:pt>
                <c:pt idx="1">
                  <c:v>58.172839506172842</c:v>
                </c:pt>
                <c:pt idx="2">
                  <c:v>37.283950617283999</c:v>
                </c:pt>
                <c:pt idx="3">
                  <c:v>25.589743589743552</c:v>
                </c:pt>
                <c:pt idx="4">
                  <c:v>34.460030165912457</c:v>
                </c:pt>
                <c:pt idx="5">
                  <c:v>23.390749601275864</c:v>
                </c:pt>
                <c:pt idx="6">
                  <c:v>57.653660349312425</c:v>
                </c:pt>
                <c:pt idx="7">
                  <c:v>50.868347338935642</c:v>
                </c:pt>
                <c:pt idx="8">
                  <c:v>37.010101010101003</c:v>
                </c:pt>
                <c:pt idx="9">
                  <c:v>35.34942528735624</c:v>
                </c:pt>
                <c:pt idx="10">
                  <c:v>38.780663780663744</c:v>
                </c:pt>
                <c:pt idx="11">
                  <c:v>38.549453343503743</c:v>
                </c:pt>
              </c:numCache>
            </c:numRef>
          </c:val>
          <c:extLst xmlns:c16r2="http://schemas.microsoft.com/office/drawing/2015/06/chart">
            <c:ext xmlns:c16="http://schemas.microsoft.com/office/drawing/2014/chart" uri="{C3380CC4-5D6E-409C-BE32-E72D297353CC}">
              <c16:uniqueId val="{00000000-FD5A-4A05-B9B2-0378726F421E}"/>
            </c:ext>
          </c:extLst>
        </c:ser>
        <c:ser>
          <c:idx val="1"/>
          <c:order val="1"/>
          <c:tx>
            <c:strRef>
              <c:f>'Ост. вар. проліф, %'!$BS$47</c:f>
              <c:strCache>
                <c:ptCount val="1"/>
                <c:pt idx="0">
                  <c:v>Загрей</c:v>
                </c:pt>
              </c:strCache>
            </c:strRef>
          </c:tx>
          <c:spPr>
            <a:solidFill>
              <a:schemeClr val="tx1"/>
            </a:solidFill>
            <a:ln>
              <a:solidFill>
                <a:schemeClr val="tx1"/>
              </a:solidFill>
            </a:ln>
            <a:effectLst/>
          </c:spPr>
          <c:cat>
            <c:numRef>
              <c:f>'Ост. вар. проліф, %'!$BQ$48:$BQ$59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проліф, %'!$BS$48:$BS$59</c:f>
              <c:numCache>
                <c:formatCode>0.0</c:formatCode>
                <c:ptCount val="12"/>
                <c:pt idx="0">
                  <c:v>49.8</c:v>
                </c:pt>
                <c:pt idx="1">
                  <c:v>40.1</c:v>
                </c:pt>
                <c:pt idx="2">
                  <c:v>31.6</c:v>
                </c:pt>
                <c:pt idx="3">
                  <c:v>22.7</c:v>
                </c:pt>
                <c:pt idx="4">
                  <c:v>30.1</c:v>
                </c:pt>
                <c:pt idx="5">
                  <c:v>20.399999999999999</c:v>
                </c:pt>
                <c:pt idx="6">
                  <c:v>49.7</c:v>
                </c:pt>
                <c:pt idx="7">
                  <c:v>45.6</c:v>
                </c:pt>
                <c:pt idx="8">
                  <c:v>33.800000000000004</c:v>
                </c:pt>
                <c:pt idx="9">
                  <c:v>33.9</c:v>
                </c:pt>
                <c:pt idx="10">
                  <c:v>35.4</c:v>
                </c:pt>
                <c:pt idx="11">
                  <c:v>34.200000000000003</c:v>
                </c:pt>
              </c:numCache>
            </c:numRef>
          </c:val>
          <c:extLst xmlns:c16r2="http://schemas.microsoft.com/office/drawing/2015/06/chart">
            <c:ext xmlns:c16="http://schemas.microsoft.com/office/drawing/2014/chart" uri="{C3380CC4-5D6E-409C-BE32-E72D297353CC}">
              <c16:uniqueId val="{00000001-FD5A-4A05-B9B2-0378726F421E}"/>
            </c:ext>
          </c:extLst>
        </c:ser>
        <c:dLbls/>
        <c:gapWidth val="219"/>
        <c:overlap val="-27"/>
        <c:axId val="80577280"/>
        <c:axId val="80579200"/>
      </c:barChart>
      <c:catAx>
        <c:axId val="80577280"/>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734619337631343"/>
              <c:y val="0.84340676008719973"/>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579200"/>
        <c:crosses val="autoZero"/>
        <c:auto val="1"/>
        <c:lblAlgn val="ctr"/>
        <c:lblOffset val="100"/>
      </c:catAx>
      <c:valAx>
        <c:axId val="80579200"/>
        <c:scaling>
          <c:orientation val="minMax"/>
          <c:max val="100"/>
        </c:scaling>
        <c:axPos val="l"/>
        <c:majorGridlines>
          <c:spPr>
            <a:ln w="9525" cap="flat" cmpd="sng" algn="ctr">
              <a:solidFill>
                <a:schemeClr val="tx1">
                  <a:lumMod val="15000"/>
                  <a:lumOff val="85000"/>
                </a:schemeClr>
              </a:solidFill>
              <a:round/>
            </a:ln>
            <a:effectLst/>
          </c:spPr>
        </c:majorGridlines>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0577280"/>
        <c:crosses val="autoZero"/>
        <c:crossBetween val="between"/>
        <c:majorUnit val="20"/>
      </c:valAx>
      <c:spPr>
        <a:noFill/>
        <a:ln>
          <a:noFill/>
        </a:ln>
        <a:effectLst/>
      </c:spPr>
    </c:plotArea>
    <c:legend>
      <c:legendPos val="b"/>
      <c:layout>
        <c:manualLayout>
          <c:xMode val="edge"/>
          <c:yMode val="edge"/>
          <c:x val="4.8904199475065455E-3"/>
          <c:y val="0.89189851268591513"/>
          <c:w val="0.99021894138232625"/>
          <c:h val="9.8842228054826564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258970284253163"/>
          <c:y val="5.6805070097945082E-2"/>
          <c:w val="0.87515435380896067"/>
          <c:h val="0.64623353178413678"/>
        </c:manualLayout>
      </c:layout>
      <c:barChart>
        <c:barDir val="col"/>
        <c:grouping val="clustered"/>
        <c:ser>
          <c:idx val="0"/>
          <c:order val="0"/>
          <c:tx>
            <c:strRef>
              <c:f>Остаточно!$B$70</c:f>
              <c:strCache>
                <c:ptCount val="1"/>
                <c:pt idx="0">
                  <c:v>Добриня</c:v>
                </c:pt>
              </c:strCache>
            </c:strRef>
          </c:tx>
          <c:spPr>
            <a:solidFill>
              <a:schemeClr val="bg1"/>
            </a:solidFill>
            <a:ln>
              <a:solidFill>
                <a:schemeClr val="tx1"/>
              </a:solidFill>
            </a:ln>
            <a:effectLst/>
          </c:spPr>
          <c:cat>
            <c:numRef>
              <c:f>Остаточно!$A$71:$A$75</c:f>
              <c:numCache>
                <c:formatCode>General</c:formatCode>
                <c:ptCount val="5"/>
                <c:pt idx="0">
                  <c:v>1</c:v>
                </c:pt>
                <c:pt idx="1">
                  <c:v>2</c:v>
                </c:pt>
                <c:pt idx="2">
                  <c:v>3</c:v>
                </c:pt>
                <c:pt idx="3">
                  <c:v>4</c:v>
                </c:pt>
                <c:pt idx="4">
                  <c:v>5</c:v>
                </c:pt>
              </c:numCache>
            </c:numRef>
          </c:cat>
          <c:val>
            <c:numRef>
              <c:f>Остаточно!$B$71:$B$75</c:f>
              <c:numCache>
                <c:formatCode>0.0</c:formatCode>
                <c:ptCount val="5"/>
                <c:pt idx="0">
                  <c:v>11.36907536907537</c:v>
                </c:pt>
                <c:pt idx="1">
                  <c:v>3.7037037037037042</c:v>
                </c:pt>
                <c:pt idx="2">
                  <c:v>15</c:v>
                </c:pt>
                <c:pt idx="3">
                  <c:v>7.5</c:v>
                </c:pt>
                <c:pt idx="4">
                  <c:v>5</c:v>
                </c:pt>
              </c:numCache>
            </c:numRef>
          </c:val>
          <c:extLst xmlns:c16r2="http://schemas.microsoft.com/office/drawing/2015/06/chart">
            <c:ext xmlns:c16="http://schemas.microsoft.com/office/drawing/2014/chart" uri="{C3380CC4-5D6E-409C-BE32-E72D297353CC}">
              <c16:uniqueId val="{00000000-293D-45FD-B8E8-1A5D2DE9BB63}"/>
            </c:ext>
          </c:extLst>
        </c:ser>
        <c:ser>
          <c:idx val="1"/>
          <c:order val="1"/>
          <c:tx>
            <c:strRef>
              <c:f>Остаточно!$C$70</c:f>
              <c:strCache>
                <c:ptCount val="1"/>
                <c:pt idx="0">
                  <c:v>Гарант</c:v>
                </c:pt>
              </c:strCache>
            </c:strRef>
          </c:tx>
          <c:spPr>
            <a:solidFill>
              <a:schemeClr val="tx1"/>
            </a:solidFill>
            <a:ln>
              <a:solidFill>
                <a:schemeClr val="tx1"/>
              </a:solidFill>
            </a:ln>
            <a:effectLst/>
          </c:spPr>
          <c:cat>
            <c:numRef>
              <c:f>Остаточно!$A$71:$A$75</c:f>
              <c:numCache>
                <c:formatCode>General</c:formatCode>
                <c:ptCount val="5"/>
                <c:pt idx="0">
                  <c:v>1</c:v>
                </c:pt>
                <c:pt idx="1">
                  <c:v>2</c:v>
                </c:pt>
                <c:pt idx="2">
                  <c:v>3</c:v>
                </c:pt>
                <c:pt idx="3">
                  <c:v>4</c:v>
                </c:pt>
                <c:pt idx="4">
                  <c:v>5</c:v>
                </c:pt>
              </c:numCache>
            </c:numRef>
          </c:cat>
          <c:val>
            <c:numRef>
              <c:f>Остаточно!$C$71:$C$75</c:f>
              <c:numCache>
                <c:formatCode>0.0</c:formatCode>
                <c:ptCount val="5"/>
                <c:pt idx="0">
                  <c:v>1.515151515151516</c:v>
                </c:pt>
                <c:pt idx="1">
                  <c:v>12.041467304625199</c:v>
                </c:pt>
                <c:pt idx="2">
                  <c:v>30</c:v>
                </c:pt>
                <c:pt idx="3">
                  <c:v>5</c:v>
                </c:pt>
                <c:pt idx="4">
                  <c:v>7.5</c:v>
                </c:pt>
              </c:numCache>
            </c:numRef>
          </c:val>
          <c:extLst xmlns:c16r2="http://schemas.microsoft.com/office/drawing/2015/06/chart">
            <c:ext xmlns:c16="http://schemas.microsoft.com/office/drawing/2014/chart" uri="{C3380CC4-5D6E-409C-BE32-E72D297353CC}">
              <c16:uniqueId val="{00000001-293D-45FD-B8E8-1A5D2DE9BB63}"/>
            </c:ext>
          </c:extLst>
        </c:ser>
        <c:ser>
          <c:idx val="2"/>
          <c:order val="2"/>
          <c:tx>
            <c:strRef>
              <c:f>Остаточно!$D$70</c:f>
              <c:strCache>
                <c:ptCount val="1"/>
                <c:pt idx="0">
                  <c:v>Ярило</c:v>
                </c:pt>
              </c:strCache>
            </c:strRef>
          </c:tx>
          <c:spPr>
            <a:pattFill prst="dkDnDiag">
              <a:fgClr>
                <a:schemeClr val="tx1"/>
              </a:fgClr>
              <a:bgClr>
                <a:schemeClr val="bg1"/>
              </a:bgClr>
            </a:pattFill>
            <a:ln>
              <a:solidFill>
                <a:schemeClr val="tx1"/>
              </a:solidFill>
            </a:ln>
            <a:effectLst/>
          </c:spPr>
          <c:cat>
            <c:numRef>
              <c:f>Остаточно!$A$71:$A$75</c:f>
              <c:numCache>
                <c:formatCode>General</c:formatCode>
                <c:ptCount val="5"/>
                <c:pt idx="0">
                  <c:v>1</c:v>
                </c:pt>
                <c:pt idx="1">
                  <c:v>2</c:v>
                </c:pt>
                <c:pt idx="2">
                  <c:v>3</c:v>
                </c:pt>
                <c:pt idx="3">
                  <c:v>4</c:v>
                </c:pt>
                <c:pt idx="4">
                  <c:v>5</c:v>
                </c:pt>
              </c:numCache>
            </c:numRef>
          </c:cat>
          <c:val>
            <c:numRef>
              <c:f>Остаточно!$D$71:$D$75</c:f>
              <c:numCache>
                <c:formatCode>0.0</c:formatCode>
                <c:ptCount val="5"/>
                <c:pt idx="0">
                  <c:v>3.8461538461538463</c:v>
                </c:pt>
                <c:pt idx="1">
                  <c:v>0</c:v>
                </c:pt>
                <c:pt idx="2">
                  <c:v>25.5</c:v>
                </c:pt>
                <c:pt idx="3">
                  <c:v>2.5</c:v>
                </c:pt>
                <c:pt idx="4">
                  <c:v>12.5</c:v>
                </c:pt>
              </c:numCache>
            </c:numRef>
          </c:val>
          <c:extLst xmlns:c16r2="http://schemas.microsoft.com/office/drawing/2015/06/chart">
            <c:ext xmlns:c16="http://schemas.microsoft.com/office/drawing/2014/chart" uri="{C3380CC4-5D6E-409C-BE32-E72D297353CC}">
              <c16:uniqueId val="{00000002-293D-45FD-B8E8-1A5D2DE9BB63}"/>
            </c:ext>
          </c:extLst>
        </c:ser>
        <c:ser>
          <c:idx val="3"/>
          <c:order val="3"/>
          <c:tx>
            <c:strRef>
              <c:f>Остаточно!$E$70</c:f>
              <c:strCache>
                <c:ptCount val="1"/>
                <c:pt idx="0">
                  <c:v>Загрей</c:v>
                </c:pt>
              </c:strCache>
            </c:strRef>
          </c:tx>
          <c:spPr>
            <a:pattFill prst="pct60">
              <a:fgClr>
                <a:schemeClr val="tx1"/>
              </a:fgClr>
              <a:bgClr>
                <a:schemeClr val="bg1"/>
              </a:bgClr>
            </a:pattFill>
            <a:ln>
              <a:solidFill>
                <a:schemeClr val="tx1"/>
              </a:solidFill>
            </a:ln>
            <a:effectLst/>
          </c:spPr>
          <c:cat>
            <c:numRef>
              <c:f>Остаточно!$A$71:$A$75</c:f>
              <c:numCache>
                <c:formatCode>General</c:formatCode>
                <c:ptCount val="5"/>
                <c:pt idx="0">
                  <c:v>1</c:v>
                </c:pt>
                <c:pt idx="1">
                  <c:v>2</c:v>
                </c:pt>
                <c:pt idx="2">
                  <c:v>3</c:v>
                </c:pt>
                <c:pt idx="3">
                  <c:v>4</c:v>
                </c:pt>
                <c:pt idx="4">
                  <c:v>5</c:v>
                </c:pt>
              </c:numCache>
            </c:numRef>
          </c:cat>
          <c:val>
            <c:numRef>
              <c:f>Остаточно!$E$71:$E$75</c:f>
              <c:numCache>
                <c:formatCode>0.0</c:formatCode>
                <c:ptCount val="5"/>
                <c:pt idx="0">
                  <c:v>2.5</c:v>
                </c:pt>
                <c:pt idx="1">
                  <c:v>0</c:v>
                </c:pt>
                <c:pt idx="2">
                  <c:v>7.5</c:v>
                </c:pt>
                <c:pt idx="3">
                  <c:v>0</c:v>
                </c:pt>
                <c:pt idx="4">
                  <c:v>0</c:v>
                </c:pt>
              </c:numCache>
            </c:numRef>
          </c:val>
          <c:extLst xmlns:c16r2="http://schemas.microsoft.com/office/drawing/2015/06/chart">
            <c:ext xmlns:c16="http://schemas.microsoft.com/office/drawing/2014/chart" uri="{C3380CC4-5D6E-409C-BE32-E72D297353CC}">
              <c16:uniqueId val="{00000003-293D-45FD-B8E8-1A5D2DE9BB63}"/>
            </c:ext>
          </c:extLst>
        </c:ser>
        <c:dLbls/>
        <c:gapWidth val="219"/>
        <c:overlap val="-27"/>
        <c:axId val="82804736"/>
        <c:axId val="82806656"/>
      </c:barChart>
      <c:catAx>
        <c:axId val="82804736"/>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859889704798162"/>
              <c:y val="0.78187169983282245"/>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2806656"/>
        <c:crosses val="autoZero"/>
        <c:auto val="1"/>
        <c:lblAlgn val="ctr"/>
        <c:lblOffset val="100"/>
      </c:catAx>
      <c:valAx>
        <c:axId val="82806656"/>
        <c:scaling>
          <c:orientation val="minMax"/>
          <c:max val="5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0"/>
              <c:y val="3.1510897784116998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2804736"/>
        <c:crosses val="autoZero"/>
        <c:crossBetween val="between"/>
      </c:valAx>
      <c:spPr>
        <a:noFill/>
        <a:ln>
          <a:noFill/>
        </a:ln>
        <a:effectLst/>
      </c:spPr>
    </c:plotArea>
    <c:legend>
      <c:legendPos val="b"/>
      <c:layout>
        <c:manualLayout>
          <c:xMode val="edge"/>
          <c:yMode val="edge"/>
          <c:x val="2.4664878137848931E-3"/>
          <c:y val="0.91966815536082369"/>
          <c:w val="0.99667068972005057"/>
          <c:h val="7.1819914364619597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715193226036425"/>
          <c:y val="5.5531953371013895E-2"/>
          <c:w val="0.86862254509536851"/>
          <c:h val="0.624325885062469"/>
        </c:manualLayout>
      </c:layout>
      <c:barChart>
        <c:barDir val="col"/>
        <c:grouping val="clustered"/>
        <c:ser>
          <c:idx val="0"/>
          <c:order val="0"/>
          <c:tx>
            <c:strRef>
              <c:f>Лист2!$B$2</c:f>
              <c:strCache>
                <c:ptCount val="1"/>
                <c:pt idx="0">
                  <c:v>Добриня</c:v>
                </c:pt>
              </c:strCache>
            </c:strRef>
          </c:tx>
          <c:spPr>
            <a:solidFill>
              <a:schemeClr val="bg1"/>
            </a:solidFill>
            <a:ln w="0">
              <a:solidFill>
                <a:srgbClr val="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Лист2!$A$3:$A$7</c:f>
              <c:numCache>
                <c:formatCode>General</c:formatCode>
                <c:ptCount val="5"/>
                <c:pt idx="0">
                  <c:v>1</c:v>
                </c:pt>
                <c:pt idx="1">
                  <c:v>2</c:v>
                </c:pt>
                <c:pt idx="2">
                  <c:v>3</c:v>
                </c:pt>
                <c:pt idx="3">
                  <c:v>4</c:v>
                </c:pt>
                <c:pt idx="4">
                  <c:v>5</c:v>
                </c:pt>
              </c:numCache>
            </c:numRef>
          </c:cat>
          <c:val>
            <c:numRef>
              <c:f>Лист2!$B$3:$B$7</c:f>
              <c:numCache>
                <c:formatCode>0.0</c:formatCode>
                <c:ptCount val="5"/>
                <c:pt idx="0">
                  <c:v>72.014763014763005</c:v>
                </c:pt>
                <c:pt idx="1">
                  <c:v>63.652421652421594</c:v>
                </c:pt>
                <c:pt idx="2">
                  <c:v>43.3333333333333</c:v>
                </c:pt>
                <c:pt idx="3">
                  <c:v>36.666666666666622</c:v>
                </c:pt>
                <c:pt idx="4">
                  <c:v>43.3333333333333</c:v>
                </c:pt>
              </c:numCache>
            </c:numRef>
          </c:val>
          <c:extLst xmlns:c16r2="http://schemas.microsoft.com/office/drawing/2015/06/chart">
            <c:ext xmlns:c16="http://schemas.microsoft.com/office/drawing/2014/chart" uri="{C3380CC4-5D6E-409C-BE32-E72D297353CC}">
              <c16:uniqueId val="{00000000-46F1-40A5-AF7D-4724E01131AA}"/>
            </c:ext>
          </c:extLst>
        </c:ser>
        <c:ser>
          <c:idx val="1"/>
          <c:order val="1"/>
          <c:tx>
            <c:strRef>
              <c:f>Лист2!$C$2</c:f>
              <c:strCache>
                <c:ptCount val="1"/>
                <c:pt idx="0">
                  <c:v>Гарант</c:v>
                </c:pt>
              </c:strCache>
            </c:strRef>
          </c:tx>
          <c:spPr>
            <a:solidFill>
              <a:schemeClr val="tx1"/>
            </a:solidFill>
            <a:ln w="0">
              <a:solidFill>
                <a:srgbClr val="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Лист2!$A$3:$A$7</c:f>
              <c:numCache>
                <c:formatCode>General</c:formatCode>
                <c:ptCount val="5"/>
                <c:pt idx="0">
                  <c:v>1</c:v>
                </c:pt>
                <c:pt idx="1">
                  <c:v>2</c:v>
                </c:pt>
                <c:pt idx="2">
                  <c:v>3</c:v>
                </c:pt>
                <c:pt idx="3">
                  <c:v>4</c:v>
                </c:pt>
                <c:pt idx="4">
                  <c:v>5</c:v>
                </c:pt>
              </c:numCache>
            </c:numRef>
          </c:cat>
          <c:val>
            <c:numRef>
              <c:f>Лист2!$C$3:$C$7</c:f>
              <c:numCache>
                <c:formatCode>0.0</c:formatCode>
                <c:ptCount val="5"/>
                <c:pt idx="0">
                  <c:v>70.868686868686737</c:v>
                </c:pt>
                <c:pt idx="1">
                  <c:v>61.11912648754744</c:v>
                </c:pt>
                <c:pt idx="2">
                  <c:v>55</c:v>
                </c:pt>
                <c:pt idx="3">
                  <c:v>38.3333333333333</c:v>
                </c:pt>
                <c:pt idx="4">
                  <c:v>46.666666666666622</c:v>
                </c:pt>
              </c:numCache>
            </c:numRef>
          </c:val>
          <c:extLst xmlns:c16r2="http://schemas.microsoft.com/office/drawing/2015/06/chart">
            <c:ext xmlns:c16="http://schemas.microsoft.com/office/drawing/2014/chart" uri="{C3380CC4-5D6E-409C-BE32-E72D297353CC}">
              <c16:uniqueId val="{00000001-46F1-40A5-AF7D-4724E01131AA}"/>
            </c:ext>
          </c:extLst>
        </c:ser>
        <c:ser>
          <c:idx val="2"/>
          <c:order val="2"/>
          <c:tx>
            <c:strRef>
              <c:f>Лист2!$D$2</c:f>
              <c:strCache>
                <c:ptCount val="1"/>
                <c:pt idx="0">
                  <c:v>Ярило</c:v>
                </c:pt>
              </c:strCache>
            </c:strRef>
          </c:tx>
          <c:spPr>
            <a:pattFill prst="dkDnDiag">
              <a:fgClr>
                <a:schemeClr val="tx1"/>
              </a:fgClr>
              <a:bgClr>
                <a:schemeClr val="bg1"/>
              </a:bgClr>
            </a:pattFill>
            <a:ln w="0">
              <a:solidFill>
                <a:srgbClr val="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Лист2!$A$3:$A$7</c:f>
              <c:numCache>
                <c:formatCode>General</c:formatCode>
                <c:ptCount val="5"/>
                <c:pt idx="0">
                  <c:v>1</c:v>
                </c:pt>
                <c:pt idx="1">
                  <c:v>2</c:v>
                </c:pt>
                <c:pt idx="2">
                  <c:v>3</c:v>
                </c:pt>
                <c:pt idx="3">
                  <c:v>4</c:v>
                </c:pt>
                <c:pt idx="4">
                  <c:v>5</c:v>
                </c:pt>
              </c:numCache>
            </c:numRef>
          </c:cat>
          <c:val>
            <c:numRef>
              <c:f>Лист2!$D$3:$D$7</c:f>
              <c:numCache>
                <c:formatCode>0.0</c:formatCode>
                <c:ptCount val="5"/>
                <c:pt idx="0">
                  <c:v>57.684537684537702</c:v>
                </c:pt>
                <c:pt idx="1">
                  <c:v>56.506172839506213</c:v>
                </c:pt>
                <c:pt idx="2">
                  <c:v>46.666666666666622</c:v>
                </c:pt>
                <c:pt idx="3">
                  <c:v>36.666666666666622</c:v>
                </c:pt>
                <c:pt idx="4">
                  <c:v>55</c:v>
                </c:pt>
              </c:numCache>
            </c:numRef>
          </c:val>
          <c:extLst xmlns:c16r2="http://schemas.microsoft.com/office/drawing/2015/06/chart">
            <c:ext xmlns:c16="http://schemas.microsoft.com/office/drawing/2014/chart" uri="{C3380CC4-5D6E-409C-BE32-E72D297353CC}">
              <c16:uniqueId val="{00000002-46F1-40A5-AF7D-4724E01131AA}"/>
            </c:ext>
          </c:extLst>
        </c:ser>
        <c:ser>
          <c:idx val="3"/>
          <c:order val="3"/>
          <c:tx>
            <c:strRef>
              <c:f>Лист2!$E$2</c:f>
              <c:strCache>
                <c:ptCount val="1"/>
                <c:pt idx="0">
                  <c:v>Загрей</c:v>
                </c:pt>
              </c:strCache>
            </c:strRef>
          </c:tx>
          <c:spPr>
            <a:pattFill prst="pct60">
              <a:fgClr>
                <a:schemeClr val="tx1"/>
              </a:fgClr>
              <a:bgClr>
                <a:schemeClr val="bg1"/>
              </a:bgClr>
            </a:pattFill>
            <a:ln w="0">
              <a:solidFill>
                <a:srgbClr val="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Лист2!$A$3:$A$7</c:f>
              <c:numCache>
                <c:formatCode>General</c:formatCode>
                <c:ptCount val="5"/>
                <c:pt idx="0">
                  <c:v>1</c:v>
                </c:pt>
                <c:pt idx="1">
                  <c:v>2</c:v>
                </c:pt>
                <c:pt idx="2">
                  <c:v>3</c:v>
                </c:pt>
                <c:pt idx="3">
                  <c:v>4</c:v>
                </c:pt>
                <c:pt idx="4">
                  <c:v>5</c:v>
                </c:pt>
              </c:numCache>
            </c:numRef>
          </c:cat>
          <c:val>
            <c:numRef>
              <c:f>Лист2!$E$3:$E$7</c:f>
              <c:numCache>
                <c:formatCode>General</c:formatCode>
                <c:ptCount val="5"/>
                <c:pt idx="0">
                  <c:v>55.3</c:v>
                </c:pt>
                <c:pt idx="1">
                  <c:v>53.7</c:v>
                </c:pt>
                <c:pt idx="2" formatCode="0.0">
                  <c:v>45</c:v>
                </c:pt>
                <c:pt idx="3" formatCode="0.0">
                  <c:v>35</c:v>
                </c:pt>
                <c:pt idx="4" formatCode="0.0">
                  <c:v>45</c:v>
                </c:pt>
              </c:numCache>
            </c:numRef>
          </c:val>
          <c:extLst xmlns:c16r2="http://schemas.microsoft.com/office/drawing/2015/06/chart">
            <c:ext xmlns:c16="http://schemas.microsoft.com/office/drawing/2014/chart" uri="{C3380CC4-5D6E-409C-BE32-E72D297353CC}">
              <c16:uniqueId val="{00000003-46F1-40A5-AF7D-4724E01131AA}"/>
            </c:ext>
          </c:extLst>
        </c:ser>
        <c:dLbls/>
        <c:gapWidth val="219"/>
        <c:overlap val="-27"/>
        <c:axId val="82857344"/>
        <c:axId val="82871808"/>
      </c:barChart>
      <c:catAx>
        <c:axId val="82857344"/>
        <c:scaling>
          <c:orientation val="minMax"/>
        </c:scaling>
        <c:axPos val="b"/>
        <c:title>
          <c:tx>
            <c:rich>
              <a:bodyPr rot="0"/>
              <a:lstStyle/>
              <a:p>
                <a:pPr>
                  <a:defRPr sz="1000"/>
                </a:pPr>
                <a:r>
                  <a:rPr lang="uk-UA" sz="1000"/>
                  <a:t>Варіанти досліду</a:t>
                </a:r>
              </a:p>
            </c:rich>
          </c:tx>
          <c:layout>
            <c:manualLayout>
              <c:xMode val="edge"/>
              <c:yMode val="edge"/>
              <c:x val="0.8292084006462036"/>
              <c:y val="0.75610502723472761"/>
            </c:manualLayout>
          </c:layout>
          <c:spPr>
            <a:noFill/>
            <a:ln w="0">
              <a:noFill/>
            </a:ln>
          </c:spPr>
        </c:title>
        <c:numFmt formatCode="General" sourceLinked="0"/>
        <c:majorTickMark val="in"/>
        <c:tickLblPos val="nextTo"/>
        <c:spPr>
          <a:ln w="9360">
            <a:solidFill>
              <a:schemeClr val="tx1"/>
            </a:solidFill>
            <a:round/>
          </a:ln>
        </c:spPr>
        <c:crossAx val="82871808"/>
        <c:crosses val="autoZero"/>
        <c:auto val="1"/>
        <c:lblAlgn val="ctr"/>
        <c:lblOffset val="100"/>
      </c:catAx>
      <c:valAx>
        <c:axId val="82871808"/>
        <c:scaling>
          <c:orientation val="minMax"/>
          <c:max val="100"/>
        </c:scaling>
        <c:axPos val="l"/>
        <c:majorGridlines>
          <c:spPr>
            <a:ln w="9360">
              <a:solidFill>
                <a:srgbClr val="D9D9D9"/>
              </a:solidFill>
              <a:round/>
            </a:ln>
          </c:spPr>
        </c:majorGridlines>
        <c:title>
          <c:tx>
            <c:rich>
              <a:bodyPr rot="0"/>
              <a:lstStyle/>
              <a:p>
                <a:pPr>
                  <a:defRPr sz="1000"/>
                </a:pPr>
                <a:r>
                  <a:rPr lang="uk-UA" sz="1000"/>
                  <a:t>%</a:t>
                </a:r>
              </a:p>
            </c:rich>
          </c:tx>
          <c:layout>
            <c:manualLayout>
              <c:xMode val="edge"/>
              <c:yMode val="edge"/>
              <c:x val="1.0807753734880274E-3"/>
              <c:y val="4.5443586652645692E-3"/>
            </c:manualLayout>
          </c:layout>
          <c:spPr>
            <a:noFill/>
            <a:ln w="0">
              <a:noFill/>
            </a:ln>
          </c:spPr>
        </c:title>
        <c:numFmt formatCode="0" sourceLinked="0"/>
        <c:majorTickMark val="in"/>
        <c:tickLblPos val="nextTo"/>
        <c:spPr>
          <a:ln w="6480">
            <a:solidFill>
              <a:schemeClr val="tx1"/>
            </a:solidFill>
          </a:ln>
        </c:spPr>
        <c:crossAx val="82857344"/>
        <c:crossesAt val="1"/>
        <c:crossBetween val="between"/>
      </c:valAx>
      <c:spPr>
        <a:noFill/>
        <a:ln w="0">
          <a:noFill/>
        </a:ln>
      </c:spPr>
    </c:plotArea>
    <c:legend>
      <c:legendPos val="b"/>
      <c:layout>
        <c:manualLayout>
          <c:xMode val="edge"/>
          <c:yMode val="edge"/>
          <c:x val="1.0090134082076949E-3"/>
          <c:y val="0.9004571143935477"/>
          <c:w val="0.9979819791176785"/>
          <c:h val="9.0533801518053611E-2"/>
        </c:manualLayout>
      </c:layout>
      <c:spPr>
        <a:noFill/>
        <a:ln w="0">
          <a:noFill/>
        </a:ln>
      </c:spPr>
    </c:legend>
    <c:plotVisOnly val="1"/>
    <c:dispBlanksAs val="gap"/>
    <c:showDLblsOverMax val="1"/>
  </c:chart>
  <c:spPr>
    <a:solidFill>
      <a:srgbClr val="FFFFFF"/>
    </a:solidFill>
    <a:ln w="9360">
      <a:solidFill>
        <a:schemeClr val="tx1"/>
      </a:solidFill>
      <a:round/>
    </a:ln>
  </c:spPr>
  <c:txPr>
    <a:bodyPr/>
    <a:lstStyle/>
    <a:p>
      <a:pPr>
        <a:defRPr sz="1100" b="0">
          <a:latin typeface="Times New Roman" panose="02020603050405020304" pitchFamily="18" charset="0"/>
          <a:cs typeface="Times New Roman" panose="02020603050405020304" pitchFamily="18" charset="0"/>
        </a:defRPr>
      </a:pPr>
      <a:endParaRPr lang="ru-RU"/>
    </a:p>
  </c:tx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069700344528909"/>
          <c:y val="5.1911124587442188E-2"/>
          <c:w val="0.85878304448916654"/>
          <c:h val="0.6254753544801217"/>
        </c:manualLayout>
      </c:layout>
      <c:barChart>
        <c:barDir val="col"/>
        <c:grouping val="clustered"/>
        <c:ser>
          <c:idx val="0"/>
          <c:order val="0"/>
          <c:tx>
            <c:strRef>
              <c:f>'Ост. вар. ризогенез за 3 роки %'!$I$100</c:f>
              <c:strCache>
                <c:ptCount val="1"/>
                <c:pt idx="0">
                  <c:v>Добриня</c:v>
                </c:pt>
              </c:strCache>
            </c:strRef>
          </c:tx>
          <c:spPr>
            <a:pattFill prst="pct90">
              <a:fgClr>
                <a:schemeClr val="tx1"/>
              </a:fgClr>
              <a:bgClr>
                <a:schemeClr val="bg1"/>
              </a:bgClr>
            </a:pattFill>
            <a:ln>
              <a:noFill/>
            </a:ln>
            <a:effectLst/>
          </c:spPr>
          <c:cat>
            <c:numRef>
              <c:f>'Ост. вар. ризогенез за 3 роки %'!$H$101:$H$112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%'!$I$101:$I$112</c:f>
              <c:numCache>
                <c:formatCode>0.0</c:formatCode>
                <c:ptCount val="12"/>
                <c:pt idx="0">
                  <c:v>0</c:v>
                </c:pt>
                <c:pt idx="1">
                  <c:v>0</c:v>
                </c:pt>
                <c:pt idx="2">
                  <c:v>0</c:v>
                </c:pt>
                <c:pt idx="3">
                  <c:v>0</c:v>
                </c:pt>
                <c:pt idx="4">
                  <c:v>2.5641025641025652</c:v>
                </c:pt>
                <c:pt idx="5">
                  <c:v>0</c:v>
                </c:pt>
                <c:pt idx="6">
                  <c:v>0</c:v>
                </c:pt>
                <c:pt idx="7">
                  <c:v>0</c:v>
                </c:pt>
                <c:pt idx="8">
                  <c:v>0</c:v>
                </c:pt>
                <c:pt idx="9">
                  <c:v>0</c:v>
                </c:pt>
                <c:pt idx="10">
                  <c:v>1.515151515151516</c:v>
                </c:pt>
                <c:pt idx="11">
                  <c:v>5.5555555555555465</c:v>
                </c:pt>
              </c:numCache>
            </c:numRef>
          </c:val>
          <c:extLst xmlns:c16r2="http://schemas.microsoft.com/office/drawing/2015/06/chart">
            <c:ext xmlns:c16="http://schemas.microsoft.com/office/drawing/2014/chart" uri="{C3380CC4-5D6E-409C-BE32-E72D297353CC}">
              <c16:uniqueId val="{00000000-B910-483B-8E21-61390B285922}"/>
            </c:ext>
          </c:extLst>
        </c:ser>
        <c:ser>
          <c:idx val="1"/>
          <c:order val="1"/>
          <c:tx>
            <c:strRef>
              <c:f>'Ост. вар. ризогенез за 3 роки %'!$J$100</c:f>
              <c:strCache>
                <c:ptCount val="1"/>
                <c:pt idx="0">
                  <c:v>Гарант</c:v>
                </c:pt>
              </c:strCache>
            </c:strRef>
          </c:tx>
          <c:spPr>
            <a:pattFill prst="pct30">
              <a:fgClr>
                <a:schemeClr val="tx1"/>
              </a:fgClr>
              <a:bgClr>
                <a:schemeClr val="bg1"/>
              </a:bgClr>
            </a:pattFill>
            <a:ln>
              <a:solidFill>
                <a:schemeClr val="tx1"/>
              </a:solidFill>
            </a:ln>
            <a:effectLst/>
          </c:spPr>
          <c:cat>
            <c:numRef>
              <c:f>'Ост. вар. ризогенез за 3 роки %'!$H$101:$H$112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%'!$J$101:$J$112</c:f>
              <c:numCache>
                <c:formatCode>0.0</c:formatCode>
                <c:ptCount val="12"/>
                <c:pt idx="0">
                  <c:v>0</c:v>
                </c:pt>
                <c:pt idx="1">
                  <c:v>5.2631578947368416</c:v>
                </c:pt>
                <c:pt idx="2">
                  <c:v>0</c:v>
                </c:pt>
                <c:pt idx="3">
                  <c:v>0</c:v>
                </c:pt>
                <c:pt idx="4">
                  <c:v>0</c:v>
                </c:pt>
                <c:pt idx="5">
                  <c:v>0</c:v>
                </c:pt>
                <c:pt idx="6">
                  <c:v>0</c:v>
                </c:pt>
                <c:pt idx="7">
                  <c:v>0</c:v>
                </c:pt>
                <c:pt idx="8">
                  <c:v>0</c:v>
                </c:pt>
                <c:pt idx="9">
                  <c:v>0</c:v>
                </c:pt>
                <c:pt idx="10">
                  <c:v>3.0303030303030307</c:v>
                </c:pt>
                <c:pt idx="11">
                  <c:v>13.043478260869565</c:v>
                </c:pt>
              </c:numCache>
            </c:numRef>
          </c:val>
          <c:extLst xmlns:c16r2="http://schemas.microsoft.com/office/drawing/2015/06/chart">
            <c:ext xmlns:c16="http://schemas.microsoft.com/office/drawing/2014/chart" uri="{C3380CC4-5D6E-409C-BE32-E72D297353CC}">
              <c16:uniqueId val="{00000001-B910-483B-8E21-61390B285922}"/>
            </c:ext>
          </c:extLst>
        </c:ser>
        <c:ser>
          <c:idx val="2"/>
          <c:order val="2"/>
          <c:tx>
            <c:strRef>
              <c:f>'Ост. вар. ризогенез за 3 роки %'!$L$100</c:f>
              <c:strCache>
                <c:ptCount val="1"/>
                <c:pt idx="0">
                  <c:v>Ярило</c:v>
                </c:pt>
              </c:strCache>
            </c:strRef>
          </c:tx>
          <c:spPr>
            <a:pattFill prst="narHorz">
              <a:fgClr>
                <a:schemeClr val="tx1"/>
              </a:fgClr>
              <a:bgClr>
                <a:schemeClr val="bg1"/>
              </a:bgClr>
            </a:pattFill>
            <a:ln>
              <a:solidFill>
                <a:schemeClr val="tx1"/>
              </a:solidFill>
            </a:ln>
            <a:effectLst/>
          </c:spPr>
          <c:cat>
            <c:numRef>
              <c:f>'Ост. вар. ризогенез за 3 роки %'!$H$101:$H$112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%'!$L$101:$L$112</c:f>
              <c:numCache>
                <c:formatCode>0.0</c:formatCode>
                <c:ptCount val="12"/>
                <c:pt idx="0">
                  <c:v>0</c:v>
                </c:pt>
                <c:pt idx="1">
                  <c:v>0</c:v>
                </c:pt>
                <c:pt idx="2">
                  <c:v>0</c:v>
                </c:pt>
                <c:pt idx="3">
                  <c:v>0</c:v>
                </c:pt>
                <c:pt idx="4">
                  <c:v>9.8039215686274517</c:v>
                </c:pt>
                <c:pt idx="5">
                  <c:v>9.5238095238095237</c:v>
                </c:pt>
                <c:pt idx="6">
                  <c:v>0</c:v>
                </c:pt>
                <c:pt idx="7">
                  <c:v>0</c:v>
                </c:pt>
                <c:pt idx="8">
                  <c:v>0</c:v>
                </c:pt>
                <c:pt idx="9">
                  <c:v>0</c:v>
                </c:pt>
                <c:pt idx="10">
                  <c:v>0</c:v>
                </c:pt>
                <c:pt idx="11">
                  <c:v>0</c:v>
                </c:pt>
              </c:numCache>
            </c:numRef>
          </c:val>
          <c:extLst xmlns:c16r2="http://schemas.microsoft.com/office/drawing/2015/06/chart">
            <c:ext xmlns:c16="http://schemas.microsoft.com/office/drawing/2014/chart" uri="{C3380CC4-5D6E-409C-BE32-E72D297353CC}">
              <c16:uniqueId val="{00000002-B910-483B-8E21-61390B285922}"/>
            </c:ext>
          </c:extLst>
        </c:ser>
        <c:ser>
          <c:idx val="3"/>
          <c:order val="3"/>
          <c:tx>
            <c:strRef>
              <c:f>'Ост. вар. ризогенез за 3 роки %'!$M$100</c:f>
              <c:strCache>
                <c:ptCount val="1"/>
                <c:pt idx="0">
                  <c:v>Загрей</c:v>
                </c:pt>
              </c:strCache>
            </c:strRef>
          </c:tx>
          <c:spPr>
            <a:pattFill prst="horzBrick">
              <a:fgClr>
                <a:schemeClr val="tx1"/>
              </a:fgClr>
              <a:bgClr>
                <a:schemeClr val="bg1"/>
              </a:bgClr>
            </a:pattFill>
            <a:ln>
              <a:solidFill>
                <a:schemeClr val="tx1"/>
              </a:solidFill>
            </a:ln>
            <a:effectLst/>
          </c:spPr>
          <c:cat>
            <c:numRef>
              <c:f>'Ост. вар. ризогенез за 3 роки %'!$H$101:$H$112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%'!$M$101:$M$112</c:f>
              <c:numCache>
                <c:formatCode>General</c:formatCode>
                <c:ptCount val="12"/>
                <c:pt idx="0">
                  <c:v>0</c:v>
                </c:pt>
                <c:pt idx="1">
                  <c:v>0</c:v>
                </c:pt>
                <c:pt idx="2">
                  <c:v>0</c:v>
                </c:pt>
                <c:pt idx="3">
                  <c:v>0</c:v>
                </c:pt>
                <c:pt idx="4">
                  <c:v>5.4</c:v>
                </c:pt>
                <c:pt idx="5">
                  <c:v>6.2</c:v>
                </c:pt>
                <c:pt idx="6">
                  <c:v>0</c:v>
                </c:pt>
                <c:pt idx="7">
                  <c:v>0</c:v>
                </c:pt>
                <c:pt idx="8">
                  <c:v>0</c:v>
                </c:pt>
                <c:pt idx="9">
                  <c:v>0</c:v>
                </c:pt>
                <c:pt idx="10">
                  <c:v>0</c:v>
                </c:pt>
                <c:pt idx="11">
                  <c:v>0</c:v>
                </c:pt>
              </c:numCache>
            </c:numRef>
          </c:val>
          <c:extLst xmlns:c16r2="http://schemas.microsoft.com/office/drawing/2015/06/chart">
            <c:ext xmlns:c16="http://schemas.microsoft.com/office/drawing/2014/chart" uri="{C3380CC4-5D6E-409C-BE32-E72D297353CC}">
              <c16:uniqueId val="{00000003-B910-483B-8E21-61390B285922}"/>
            </c:ext>
          </c:extLst>
        </c:ser>
        <c:dLbls/>
        <c:gapWidth val="219"/>
        <c:overlap val="-27"/>
        <c:axId val="83033472"/>
        <c:axId val="82912768"/>
      </c:barChart>
      <c:catAx>
        <c:axId val="8303347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1548800880745342"/>
              <c:y val="0.84474488703524719"/>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2912768"/>
        <c:crosses val="autoZero"/>
        <c:auto val="1"/>
        <c:lblAlgn val="ctr"/>
        <c:lblOffset val="100"/>
      </c:catAx>
      <c:valAx>
        <c:axId val="82912768"/>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1.6153637918406101E-3"/>
              <c:y val="6.8178016209512315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3033472"/>
        <c:crosses val="autoZero"/>
        <c:crossBetween val="between"/>
        <c:majorUnit val="20"/>
      </c:valAx>
      <c:spPr>
        <a:noFill/>
        <a:ln>
          <a:noFill/>
        </a:ln>
        <a:effectLst/>
      </c:spPr>
    </c:plotArea>
    <c:legend>
      <c:legendPos val="b"/>
      <c:layout>
        <c:manualLayout>
          <c:xMode val="edge"/>
          <c:yMode val="edge"/>
          <c:x val="2.6687312900451439E-3"/>
          <c:y val="0.87388715388854765"/>
          <c:w val="0.77619633523732967"/>
          <c:h val="0.11181735830889188"/>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143132542675342"/>
          <c:y val="5.3121344118136189E-2"/>
          <c:w val="0.85810636108451688"/>
          <c:h val="0.64056036133391359"/>
        </c:manualLayout>
      </c:layout>
      <c:barChart>
        <c:barDir val="col"/>
        <c:grouping val="clustered"/>
        <c:ser>
          <c:idx val="0"/>
          <c:order val="0"/>
          <c:tx>
            <c:strRef>
              <c:f>'Ост. вар. ризогенез за 3 роки %'!$P$100</c:f>
              <c:strCache>
                <c:ptCount val="1"/>
                <c:pt idx="0">
                  <c:v>Добриня</c:v>
                </c:pt>
              </c:strCache>
            </c:strRef>
          </c:tx>
          <c:spPr>
            <a:pattFill prst="pct90">
              <a:fgClr>
                <a:schemeClr val="tx1"/>
              </a:fgClr>
              <a:bgClr>
                <a:schemeClr val="bg1"/>
              </a:bgClr>
            </a:pattFill>
            <a:ln>
              <a:noFill/>
            </a:ln>
            <a:effectLst/>
          </c:spPr>
          <c:cat>
            <c:numRef>
              <c:f>'Ост. вар. ризогенез за 3 роки %'!$O$101:$O$112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%'!$P$101:$P$112</c:f>
              <c:numCache>
                <c:formatCode>0.0</c:formatCode>
                <c:ptCount val="12"/>
                <c:pt idx="0">
                  <c:v>11.36907536907537</c:v>
                </c:pt>
                <c:pt idx="1">
                  <c:v>3.7037037037037042</c:v>
                </c:pt>
                <c:pt idx="2">
                  <c:v>25.308641975308618</c:v>
                </c:pt>
                <c:pt idx="3">
                  <c:v>11.111111111111095</c:v>
                </c:pt>
                <c:pt idx="4">
                  <c:v>16.341880341880344</c:v>
                </c:pt>
                <c:pt idx="5">
                  <c:v>5</c:v>
                </c:pt>
                <c:pt idx="6">
                  <c:v>28.309178743961333</c:v>
                </c:pt>
                <c:pt idx="7">
                  <c:v>24.126984126984151</c:v>
                </c:pt>
                <c:pt idx="8">
                  <c:v>17.460317460317459</c:v>
                </c:pt>
                <c:pt idx="9">
                  <c:v>5</c:v>
                </c:pt>
                <c:pt idx="10">
                  <c:v>32.972582972583012</c:v>
                </c:pt>
                <c:pt idx="11">
                  <c:v>16.944444444444443</c:v>
                </c:pt>
              </c:numCache>
            </c:numRef>
          </c:val>
          <c:extLst xmlns:c16r2="http://schemas.microsoft.com/office/drawing/2015/06/chart">
            <c:ext xmlns:c16="http://schemas.microsoft.com/office/drawing/2014/chart" uri="{C3380CC4-5D6E-409C-BE32-E72D297353CC}">
              <c16:uniqueId val="{00000000-3E7D-4667-98CB-81C14479CC1F}"/>
            </c:ext>
          </c:extLst>
        </c:ser>
        <c:ser>
          <c:idx val="1"/>
          <c:order val="1"/>
          <c:tx>
            <c:strRef>
              <c:f>'Ост. вар. ризогенез за 3 роки %'!$Q$100</c:f>
              <c:strCache>
                <c:ptCount val="1"/>
                <c:pt idx="0">
                  <c:v>Гарант</c:v>
                </c:pt>
              </c:strCache>
            </c:strRef>
          </c:tx>
          <c:spPr>
            <a:pattFill prst="pct30">
              <a:fgClr>
                <a:schemeClr val="tx1"/>
              </a:fgClr>
              <a:bgClr>
                <a:schemeClr val="bg1"/>
              </a:bgClr>
            </a:pattFill>
            <a:ln>
              <a:solidFill>
                <a:schemeClr val="tx1"/>
              </a:solidFill>
            </a:ln>
            <a:effectLst/>
          </c:spPr>
          <c:cat>
            <c:numRef>
              <c:f>'Ост. вар. ризогенез за 3 роки %'!$O$101:$O$112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%'!$Q$101:$Q$112</c:f>
              <c:numCache>
                <c:formatCode>0.0</c:formatCode>
                <c:ptCount val="12"/>
                <c:pt idx="0">
                  <c:v>1.515151515151516</c:v>
                </c:pt>
                <c:pt idx="1">
                  <c:v>12.041467304625199</c:v>
                </c:pt>
                <c:pt idx="2">
                  <c:v>7.1644042232277396</c:v>
                </c:pt>
                <c:pt idx="3">
                  <c:v>2.7777777777777835</c:v>
                </c:pt>
                <c:pt idx="4">
                  <c:v>14.420617745425929</c:v>
                </c:pt>
                <c:pt idx="5">
                  <c:v>1.515151515151516</c:v>
                </c:pt>
                <c:pt idx="6">
                  <c:v>34.722222222222264</c:v>
                </c:pt>
                <c:pt idx="7">
                  <c:v>15.939849624060152</c:v>
                </c:pt>
                <c:pt idx="8">
                  <c:v>16.666666666666668</c:v>
                </c:pt>
                <c:pt idx="9">
                  <c:v>15.435139573070622</c:v>
                </c:pt>
                <c:pt idx="10">
                  <c:v>33.189033189033175</c:v>
                </c:pt>
                <c:pt idx="11">
                  <c:v>13.043478260869565</c:v>
                </c:pt>
              </c:numCache>
            </c:numRef>
          </c:val>
          <c:extLst xmlns:c16r2="http://schemas.microsoft.com/office/drawing/2015/06/chart">
            <c:ext xmlns:c16="http://schemas.microsoft.com/office/drawing/2014/chart" uri="{C3380CC4-5D6E-409C-BE32-E72D297353CC}">
              <c16:uniqueId val="{00000001-3E7D-4667-98CB-81C14479CC1F}"/>
            </c:ext>
          </c:extLst>
        </c:ser>
        <c:ser>
          <c:idx val="2"/>
          <c:order val="2"/>
          <c:tx>
            <c:strRef>
              <c:f>'Ост. вар. ризогенез за 3 роки %'!$S$100</c:f>
              <c:strCache>
                <c:ptCount val="1"/>
                <c:pt idx="0">
                  <c:v>Ярило</c:v>
                </c:pt>
              </c:strCache>
            </c:strRef>
          </c:tx>
          <c:spPr>
            <a:pattFill prst="narHorz">
              <a:fgClr>
                <a:schemeClr val="tx1"/>
              </a:fgClr>
              <a:bgClr>
                <a:schemeClr val="bg1"/>
              </a:bgClr>
            </a:pattFill>
            <a:ln>
              <a:solidFill>
                <a:schemeClr val="tx1"/>
              </a:solidFill>
            </a:ln>
            <a:effectLst/>
          </c:spPr>
          <c:cat>
            <c:numRef>
              <c:f>'Ост. вар. ризогенез за 3 роки %'!$O$101:$O$112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%'!$S$101:$S$112</c:f>
              <c:numCache>
                <c:formatCode>0.0</c:formatCode>
                <c:ptCount val="12"/>
                <c:pt idx="0">
                  <c:v>3.8461538461538463</c:v>
                </c:pt>
                <c:pt idx="1">
                  <c:v>0</c:v>
                </c:pt>
                <c:pt idx="2">
                  <c:v>7.1604938271604848</c:v>
                </c:pt>
                <c:pt idx="3">
                  <c:v>4.166666666666667</c:v>
                </c:pt>
                <c:pt idx="4">
                  <c:v>22.096530920060307</c:v>
                </c:pt>
                <c:pt idx="5">
                  <c:v>9.5238095238095237</c:v>
                </c:pt>
                <c:pt idx="6">
                  <c:v>13.319530710835071</c:v>
                </c:pt>
                <c:pt idx="7">
                  <c:v>9.8039215686274517</c:v>
                </c:pt>
                <c:pt idx="8">
                  <c:v>9.0909090909091006</c:v>
                </c:pt>
                <c:pt idx="9">
                  <c:v>8.3333333333333357</c:v>
                </c:pt>
                <c:pt idx="10">
                  <c:v>17.31601731601733</c:v>
                </c:pt>
                <c:pt idx="11">
                  <c:v>0</c:v>
                </c:pt>
              </c:numCache>
            </c:numRef>
          </c:val>
          <c:extLst xmlns:c16r2="http://schemas.microsoft.com/office/drawing/2015/06/chart">
            <c:ext xmlns:c16="http://schemas.microsoft.com/office/drawing/2014/chart" uri="{C3380CC4-5D6E-409C-BE32-E72D297353CC}">
              <c16:uniqueId val="{00000002-3E7D-4667-98CB-81C14479CC1F}"/>
            </c:ext>
          </c:extLst>
        </c:ser>
        <c:ser>
          <c:idx val="3"/>
          <c:order val="3"/>
          <c:tx>
            <c:strRef>
              <c:f>'Ост. вар. ризогенез за 3 роки %'!$T$100</c:f>
              <c:strCache>
                <c:ptCount val="1"/>
                <c:pt idx="0">
                  <c:v>Загрей</c:v>
                </c:pt>
              </c:strCache>
            </c:strRef>
          </c:tx>
          <c:spPr>
            <a:pattFill prst="horzBrick">
              <a:fgClr>
                <a:schemeClr val="tx1"/>
              </a:fgClr>
              <a:bgClr>
                <a:schemeClr val="bg1"/>
              </a:bgClr>
            </a:pattFill>
            <a:ln>
              <a:solidFill>
                <a:schemeClr val="tx1"/>
              </a:solidFill>
            </a:ln>
            <a:effectLst/>
          </c:spPr>
          <c:cat>
            <c:numRef>
              <c:f>'Ост. вар. ризогенез за 3 роки %'!$O$101:$O$112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%'!$T$101:$T$112</c:f>
              <c:numCache>
                <c:formatCode>General</c:formatCode>
                <c:ptCount val="12"/>
                <c:pt idx="0">
                  <c:v>2.5</c:v>
                </c:pt>
                <c:pt idx="1">
                  <c:v>0</c:v>
                </c:pt>
                <c:pt idx="2">
                  <c:v>5.3</c:v>
                </c:pt>
                <c:pt idx="3">
                  <c:v>3.7</c:v>
                </c:pt>
                <c:pt idx="4">
                  <c:v>19.2</c:v>
                </c:pt>
                <c:pt idx="5">
                  <c:v>8.9</c:v>
                </c:pt>
                <c:pt idx="6">
                  <c:v>11.5</c:v>
                </c:pt>
                <c:pt idx="7">
                  <c:v>7.3</c:v>
                </c:pt>
                <c:pt idx="8">
                  <c:v>8.6</c:v>
                </c:pt>
                <c:pt idx="9">
                  <c:v>5.4</c:v>
                </c:pt>
                <c:pt idx="10">
                  <c:v>14.2</c:v>
                </c:pt>
                <c:pt idx="11">
                  <c:v>0</c:v>
                </c:pt>
              </c:numCache>
            </c:numRef>
          </c:val>
          <c:extLst xmlns:c16r2="http://schemas.microsoft.com/office/drawing/2015/06/chart">
            <c:ext xmlns:c16="http://schemas.microsoft.com/office/drawing/2014/chart" uri="{C3380CC4-5D6E-409C-BE32-E72D297353CC}">
              <c16:uniqueId val="{00000003-3E7D-4667-98CB-81C14479CC1F}"/>
            </c:ext>
          </c:extLst>
        </c:ser>
        <c:dLbls/>
        <c:gapWidth val="219"/>
        <c:overlap val="-27"/>
        <c:axId val="82951168"/>
        <c:axId val="84092032"/>
      </c:barChart>
      <c:catAx>
        <c:axId val="8295116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ru-RU" sz="1000"/>
                  <a:t>Варіанти досліду</a:t>
                </a:r>
              </a:p>
            </c:rich>
          </c:tx>
          <c:layout>
            <c:manualLayout>
              <c:xMode val="edge"/>
              <c:yMode val="edge"/>
              <c:x val="0.81557283215704235"/>
              <c:y val="0.83641561137259579"/>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4092032"/>
        <c:crosses val="autoZero"/>
        <c:auto val="1"/>
        <c:lblAlgn val="ctr"/>
        <c:lblOffset val="100"/>
      </c:catAx>
      <c:valAx>
        <c:axId val="84092032"/>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ru-RU" sz="1000"/>
                  <a:t>%</a:t>
                </a:r>
              </a:p>
            </c:rich>
          </c:tx>
          <c:layout>
            <c:manualLayout>
              <c:xMode val="edge"/>
              <c:yMode val="edge"/>
              <c:x val="1.4441276095516231E-3"/>
              <c:y val="5.2703488455357991E-4"/>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2951168"/>
        <c:crosses val="autoZero"/>
        <c:crossBetween val="between"/>
        <c:majorUnit val="20"/>
        <c:minorUnit val="2"/>
      </c:valAx>
      <c:spPr>
        <a:noFill/>
        <a:ln>
          <a:noFill/>
        </a:ln>
        <a:effectLst/>
      </c:spPr>
    </c:plotArea>
    <c:legend>
      <c:legendPos val="b"/>
      <c:layout>
        <c:manualLayout>
          <c:xMode val="edge"/>
          <c:yMode val="edge"/>
          <c:x val="6.4363077444103817E-4"/>
          <c:y val="0.88173009792434387"/>
          <c:w val="0.77345096545152292"/>
          <c:h val="0.11822983383823367"/>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602432065768552"/>
          <c:y val="5.3050611011807795E-2"/>
          <c:w val="0.8535265404360225"/>
          <c:h val="0.67184790044168297"/>
        </c:manualLayout>
      </c:layout>
      <c:barChart>
        <c:barDir val="col"/>
        <c:grouping val="clustered"/>
        <c:ser>
          <c:idx val="0"/>
          <c:order val="0"/>
          <c:tx>
            <c:strRef>
              <c:f>'Ост. вар. ризогенез за 3 роки %'!$W$100</c:f>
              <c:strCache>
                <c:ptCount val="1"/>
                <c:pt idx="0">
                  <c:v>Добриня</c:v>
                </c:pt>
              </c:strCache>
            </c:strRef>
          </c:tx>
          <c:spPr>
            <a:pattFill prst="pct90">
              <a:fgClr>
                <a:schemeClr val="tx1"/>
              </a:fgClr>
              <a:bgClr>
                <a:schemeClr val="bg1"/>
              </a:bgClr>
            </a:pattFill>
            <a:ln>
              <a:solidFill>
                <a:schemeClr val="tx1"/>
              </a:solidFill>
            </a:ln>
            <a:effectLst/>
          </c:spPr>
          <c:cat>
            <c:numRef>
              <c:f>'Ост. вар. ризогенез за 3 роки %'!$V$101:$V$112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%'!$W$101:$W$112</c:f>
              <c:numCache>
                <c:formatCode>0.0</c:formatCode>
                <c:ptCount val="12"/>
                <c:pt idx="0">
                  <c:v>29</c:v>
                </c:pt>
                <c:pt idx="1">
                  <c:v>12.962962962962973</c:v>
                </c:pt>
                <c:pt idx="2">
                  <c:v>40.4</c:v>
                </c:pt>
                <c:pt idx="3">
                  <c:v>11.111111111111095</c:v>
                </c:pt>
                <c:pt idx="4">
                  <c:v>58.6</c:v>
                </c:pt>
                <c:pt idx="5">
                  <c:v>37.592592592592588</c:v>
                </c:pt>
                <c:pt idx="6">
                  <c:v>56.5</c:v>
                </c:pt>
                <c:pt idx="7">
                  <c:v>40.6</c:v>
                </c:pt>
                <c:pt idx="8">
                  <c:v>47.6</c:v>
                </c:pt>
                <c:pt idx="9">
                  <c:v>26.805555555555554</c:v>
                </c:pt>
                <c:pt idx="10">
                  <c:v>51.226551226551329</c:v>
                </c:pt>
                <c:pt idx="11">
                  <c:v>25.277777777777754</c:v>
                </c:pt>
              </c:numCache>
            </c:numRef>
          </c:val>
          <c:extLst xmlns:c16r2="http://schemas.microsoft.com/office/drawing/2015/06/chart">
            <c:ext xmlns:c16="http://schemas.microsoft.com/office/drawing/2014/chart" uri="{C3380CC4-5D6E-409C-BE32-E72D297353CC}">
              <c16:uniqueId val="{00000000-DC55-4DA3-908D-7F3290B502E0}"/>
            </c:ext>
          </c:extLst>
        </c:ser>
        <c:ser>
          <c:idx val="1"/>
          <c:order val="1"/>
          <c:tx>
            <c:strRef>
              <c:f>'Ост. вар. ризогенез за 3 роки %'!$X$100</c:f>
              <c:strCache>
                <c:ptCount val="1"/>
                <c:pt idx="0">
                  <c:v>Гарант</c:v>
                </c:pt>
              </c:strCache>
            </c:strRef>
          </c:tx>
          <c:spPr>
            <a:pattFill prst="pct30">
              <a:fgClr>
                <a:schemeClr val="tx1"/>
              </a:fgClr>
              <a:bgClr>
                <a:schemeClr val="bg1"/>
              </a:bgClr>
            </a:pattFill>
            <a:ln>
              <a:solidFill>
                <a:schemeClr val="tx1"/>
              </a:solidFill>
            </a:ln>
            <a:effectLst/>
          </c:spPr>
          <c:cat>
            <c:numRef>
              <c:f>'Ост. вар. ризогенез за 3 роки %'!$V$101:$V$112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%'!$X$101:$X$112</c:f>
              <c:numCache>
                <c:formatCode>0.0</c:formatCode>
                <c:ptCount val="12"/>
                <c:pt idx="0">
                  <c:v>28</c:v>
                </c:pt>
                <c:pt idx="1">
                  <c:v>15.550239234449782</c:v>
                </c:pt>
                <c:pt idx="2">
                  <c:v>37</c:v>
                </c:pt>
                <c:pt idx="3">
                  <c:v>18.650793650793652</c:v>
                </c:pt>
                <c:pt idx="4">
                  <c:v>58.5</c:v>
                </c:pt>
                <c:pt idx="5">
                  <c:v>33.1</c:v>
                </c:pt>
                <c:pt idx="6">
                  <c:v>55</c:v>
                </c:pt>
                <c:pt idx="7">
                  <c:v>42.3</c:v>
                </c:pt>
                <c:pt idx="8">
                  <c:v>39.891975308641982</c:v>
                </c:pt>
                <c:pt idx="9">
                  <c:v>37.229748221127579</c:v>
                </c:pt>
                <c:pt idx="10">
                  <c:v>44.2</c:v>
                </c:pt>
                <c:pt idx="11">
                  <c:v>24.154589371980677</c:v>
                </c:pt>
              </c:numCache>
            </c:numRef>
          </c:val>
          <c:extLst xmlns:c16r2="http://schemas.microsoft.com/office/drawing/2015/06/chart">
            <c:ext xmlns:c16="http://schemas.microsoft.com/office/drawing/2014/chart" uri="{C3380CC4-5D6E-409C-BE32-E72D297353CC}">
              <c16:uniqueId val="{00000001-DC55-4DA3-908D-7F3290B502E0}"/>
            </c:ext>
          </c:extLst>
        </c:ser>
        <c:ser>
          <c:idx val="2"/>
          <c:order val="2"/>
          <c:tx>
            <c:strRef>
              <c:f>'Ост. вар. ризогенез за 3 роки %'!$Z$100</c:f>
              <c:strCache>
                <c:ptCount val="1"/>
                <c:pt idx="0">
                  <c:v>Ярило</c:v>
                </c:pt>
              </c:strCache>
            </c:strRef>
          </c:tx>
          <c:spPr>
            <a:pattFill prst="narHorz">
              <a:fgClr>
                <a:schemeClr val="tx1"/>
              </a:fgClr>
              <a:bgClr>
                <a:schemeClr val="bg1"/>
              </a:bgClr>
            </a:pattFill>
            <a:ln>
              <a:solidFill>
                <a:schemeClr val="tx1"/>
              </a:solidFill>
            </a:ln>
            <a:effectLst/>
          </c:spPr>
          <c:cat>
            <c:numRef>
              <c:f>'Ост. вар. ризогенез за 3 роки %'!$V$101:$V$112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%'!$Z$101:$Z$112</c:f>
              <c:numCache>
                <c:formatCode>0.0</c:formatCode>
                <c:ptCount val="12"/>
                <c:pt idx="0">
                  <c:v>16</c:v>
                </c:pt>
                <c:pt idx="1">
                  <c:v>10.666666666666679</c:v>
                </c:pt>
                <c:pt idx="2">
                  <c:v>30.5</c:v>
                </c:pt>
                <c:pt idx="3">
                  <c:v>8.7820512820512651</c:v>
                </c:pt>
                <c:pt idx="4">
                  <c:v>50</c:v>
                </c:pt>
                <c:pt idx="5">
                  <c:v>27</c:v>
                </c:pt>
                <c:pt idx="6">
                  <c:v>45.2</c:v>
                </c:pt>
                <c:pt idx="7">
                  <c:v>24.836601307189543</c:v>
                </c:pt>
                <c:pt idx="8">
                  <c:v>39.747474747474762</c:v>
                </c:pt>
                <c:pt idx="9">
                  <c:v>12.222222222222221</c:v>
                </c:pt>
                <c:pt idx="10">
                  <c:v>30.3</c:v>
                </c:pt>
                <c:pt idx="11">
                  <c:v>1.7543859649122835</c:v>
                </c:pt>
              </c:numCache>
            </c:numRef>
          </c:val>
          <c:extLst xmlns:c16r2="http://schemas.microsoft.com/office/drawing/2015/06/chart">
            <c:ext xmlns:c16="http://schemas.microsoft.com/office/drawing/2014/chart" uri="{C3380CC4-5D6E-409C-BE32-E72D297353CC}">
              <c16:uniqueId val="{00000002-DC55-4DA3-908D-7F3290B502E0}"/>
            </c:ext>
          </c:extLst>
        </c:ser>
        <c:ser>
          <c:idx val="3"/>
          <c:order val="3"/>
          <c:tx>
            <c:strRef>
              <c:f>'Ост. вар. ризогенез за 3 роки %'!$AA$100</c:f>
              <c:strCache>
                <c:ptCount val="1"/>
                <c:pt idx="0">
                  <c:v>Загрей</c:v>
                </c:pt>
              </c:strCache>
            </c:strRef>
          </c:tx>
          <c:spPr>
            <a:pattFill prst="horzBrick">
              <a:fgClr>
                <a:schemeClr val="tx1"/>
              </a:fgClr>
              <a:bgClr>
                <a:schemeClr val="bg1"/>
              </a:bgClr>
            </a:pattFill>
            <a:ln>
              <a:solidFill>
                <a:schemeClr val="tx1"/>
              </a:solidFill>
            </a:ln>
            <a:effectLst/>
          </c:spPr>
          <c:cat>
            <c:numRef>
              <c:f>'Ост. вар. ризогенез за 3 роки %'!$V$101:$V$112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%'!$AA$101:$AA$112</c:f>
              <c:numCache>
                <c:formatCode>General</c:formatCode>
                <c:ptCount val="12"/>
                <c:pt idx="0">
                  <c:v>14</c:v>
                </c:pt>
                <c:pt idx="1">
                  <c:v>8.6</c:v>
                </c:pt>
                <c:pt idx="2">
                  <c:v>28.4</c:v>
                </c:pt>
                <c:pt idx="3">
                  <c:v>5.6</c:v>
                </c:pt>
                <c:pt idx="4">
                  <c:v>48.7</c:v>
                </c:pt>
                <c:pt idx="5">
                  <c:v>21.2</c:v>
                </c:pt>
                <c:pt idx="6">
                  <c:v>42.8</c:v>
                </c:pt>
                <c:pt idx="7">
                  <c:v>21.3</c:v>
                </c:pt>
                <c:pt idx="8">
                  <c:v>34.5</c:v>
                </c:pt>
                <c:pt idx="9">
                  <c:v>10.9</c:v>
                </c:pt>
                <c:pt idx="10">
                  <c:v>28.7</c:v>
                </c:pt>
                <c:pt idx="11">
                  <c:v>0.70000000000000062</c:v>
                </c:pt>
              </c:numCache>
            </c:numRef>
          </c:val>
          <c:extLst xmlns:c16r2="http://schemas.microsoft.com/office/drawing/2015/06/chart">
            <c:ext xmlns:c16="http://schemas.microsoft.com/office/drawing/2014/chart" uri="{C3380CC4-5D6E-409C-BE32-E72D297353CC}">
              <c16:uniqueId val="{00000003-DC55-4DA3-908D-7F3290B502E0}"/>
            </c:ext>
          </c:extLst>
        </c:ser>
        <c:dLbls/>
        <c:gapWidth val="219"/>
        <c:overlap val="-27"/>
        <c:axId val="84143488"/>
        <c:axId val="84149760"/>
      </c:barChart>
      <c:catAx>
        <c:axId val="8414348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ru-RU" sz="1000"/>
                  <a:t>Варіанти досліду</a:t>
                </a:r>
              </a:p>
            </c:rich>
          </c:tx>
          <c:layout>
            <c:manualLayout>
              <c:xMode val="edge"/>
              <c:yMode val="edge"/>
              <c:x val="0.81628908814724443"/>
              <c:y val="0.85639424926090213"/>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4149760"/>
        <c:crosses val="autoZero"/>
        <c:auto val="1"/>
        <c:lblAlgn val="ctr"/>
        <c:lblOffset val="100"/>
      </c:catAx>
      <c:valAx>
        <c:axId val="84149760"/>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ru-RU" sz="1000"/>
                  <a:t>%</a:t>
                </a:r>
              </a:p>
            </c:rich>
          </c:tx>
          <c:layout>
            <c:manualLayout>
              <c:xMode val="edge"/>
              <c:yMode val="edge"/>
              <c:x val="5.6555895596049899E-4"/>
              <c:y val="3.8189118662299544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4143488"/>
        <c:crosses val="autoZero"/>
        <c:crossBetween val="between"/>
        <c:majorUnit val="20"/>
      </c:valAx>
      <c:spPr>
        <a:noFill/>
        <a:ln>
          <a:noFill/>
        </a:ln>
        <a:effectLst/>
      </c:spPr>
    </c:plotArea>
    <c:legend>
      <c:legendPos val="b"/>
      <c:layout>
        <c:manualLayout>
          <c:xMode val="edge"/>
          <c:yMode val="edge"/>
          <c:x val="6.3975672156502223E-3"/>
          <c:y val="0.88193779060372768"/>
          <c:w val="0.77932617896145928"/>
          <c:h val="0.10895065170339586"/>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614981095899264"/>
          <c:y val="5.3050611011807795E-2"/>
          <c:w val="0.8533880169903526"/>
          <c:h val="0.61657453813544105"/>
        </c:manualLayout>
      </c:layout>
      <c:barChart>
        <c:barDir val="col"/>
        <c:grouping val="clustered"/>
        <c:ser>
          <c:idx val="0"/>
          <c:order val="0"/>
          <c:tx>
            <c:strRef>
              <c:f>'Ост. вар. ризогенез за 3 роки %'!$AD$100</c:f>
              <c:strCache>
                <c:ptCount val="1"/>
                <c:pt idx="0">
                  <c:v>Добриня</c:v>
                </c:pt>
              </c:strCache>
            </c:strRef>
          </c:tx>
          <c:spPr>
            <a:pattFill prst="pct90">
              <a:fgClr>
                <a:schemeClr val="tx1"/>
              </a:fgClr>
              <a:bgClr>
                <a:schemeClr val="bg1"/>
              </a:bgClr>
            </a:pattFill>
            <a:ln>
              <a:solidFill>
                <a:schemeClr val="tx1"/>
              </a:solidFill>
            </a:ln>
            <a:effectLst/>
          </c:spPr>
          <c:cat>
            <c:numRef>
              <c:f>'Ост. вар. ризогенез за 3 роки %'!$AC$101:$AC$112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%'!$AD$101:$AD$112</c:f>
              <c:numCache>
                <c:formatCode>0.0</c:formatCode>
                <c:ptCount val="12"/>
                <c:pt idx="0">
                  <c:v>53.2</c:v>
                </c:pt>
                <c:pt idx="1">
                  <c:v>19.851851851851883</c:v>
                </c:pt>
                <c:pt idx="2">
                  <c:v>60</c:v>
                </c:pt>
                <c:pt idx="3">
                  <c:v>38.214285714285715</c:v>
                </c:pt>
                <c:pt idx="4">
                  <c:v>78.3</c:v>
                </c:pt>
                <c:pt idx="5">
                  <c:v>62</c:v>
                </c:pt>
                <c:pt idx="6">
                  <c:v>71.900000000000006</c:v>
                </c:pt>
                <c:pt idx="7">
                  <c:v>62.5</c:v>
                </c:pt>
                <c:pt idx="8">
                  <c:v>58.292034762623011</c:v>
                </c:pt>
                <c:pt idx="9">
                  <c:v>35.138888888888935</c:v>
                </c:pt>
                <c:pt idx="10">
                  <c:v>60.7</c:v>
                </c:pt>
                <c:pt idx="11">
                  <c:v>43.034188034188062</c:v>
                </c:pt>
              </c:numCache>
            </c:numRef>
          </c:val>
          <c:extLst xmlns:c16r2="http://schemas.microsoft.com/office/drawing/2015/06/chart">
            <c:ext xmlns:c16="http://schemas.microsoft.com/office/drawing/2014/chart" uri="{C3380CC4-5D6E-409C-BE32-E72D297353CC}">
              <c16:uniqueId val="{00000000-4777-49EF-AA47-7B8EFF61CC33}"/>
            </c:ext>
          </c:extLst>
        </c:ser>
        <c:ser>
          <c:idx val="1"/>
          <c:order val="1"/>
          <c:tx>
            <c:strRef>
              <c:f>'Ост. вар. ризогенез за 3 роки %'!$AE$100</c:f>
              <c:strCache>
                <c:ptCount val="1"/>
                <c:pt idx="0">
                  <c:v>Гарант</c:v>
                </c:pt>
              </c:strCache>
            </c:strRef>
          </c:tx>
          <c:spPr>
            <a:pattFill prst="pct30">
              <a:fgClr>
                <a:schemeClr val="tx1"/>
              </a:fgClr>
              <a:bgClr>
                <a:schemeClr val="bg1"/>
              </a:bgClr>
            </a:pattFill>
            <a:ln>
              <a:solidFill>
                <a:schemeClr val="tx1"/>
              </a:solidFill>
            </a:ln>
            <a:effectLst/>
          </c:spPr>
          <c:cat>
            <c:numRef>
              <c:f>'Ост. вар. ризогенез за 3 роки %'!$AC$101:$AC$112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%'!$AE$101:$AE$112</c:f>
              <c:numCache>
                <c:formatCode>0.0</c:formatCode>
                <c:ptCount val="12"/>
                <c:pt idx="0">
                  <c:v>44.646464646464644</c:v>
                </c:pt>
                <c:pt idx="1">
                  <c:v>19</c:v>
                </c:pt>
                <c:pt idx="2">
                  <c:v>56.5</c:v>
                </c:pt>
                <c:pt idx="3">
                  <c:v>40.357142857142797</c:v>
                </c:pt>
                <c:pt idx="4">
                  <c:v>80</c:v>
                </c:pt>
                <c:pt idx="5">
                  <c:v>60.2</c:v>
                </c:pt>
                <c:pt idx="6">
                  <c:v>73</c:v>
                </c:pt>
                <c:pt idx="7">
                  <c:v>64</c:v>
                </c:pt>
                <c:pt idx="8">
                  <c:v>49.768518518518576</c:v>
                </c:pt>
                <c:pt idx="9">
                  <c:v>39.528598795840182</c:v>
                </c:pt>
                <c:pt idx="10">
                  <c:v>60.2</c:v>
                </c:pt>
                <c:pt idx="11">
                  <c:v>42.084726867335505</c:v>
                </c:pt>
              </c:numCache>
            </c:numRef>
          </c:val>
          <c:extLst xmlns:c16r2="http://schemas.microsoft.com/office/drawing/2015/06/chart">
            <c:ext xmlns:c16="http://schemas.microsoft.com/office/drawing/2014/chart" uri="{C3380CC4-5D6E-409C-BE32-E72D297353CC}">
              <c16:uniqueId val="{00000001-4777-49EF-AA47-7B8EFF61CC33}"/>
            </c:ext>
          </c:extLst>
        </c:ser>
        <c:ser>
          <c:idx val="2"/>
          <c:order val="2"/>
          <c:tx>
            <c:strRef>
              <c:f>'Ост. вар. ризогенез за 3 роки %'!$AG$100</c:f>
              <c:strCache>
                <c:ptCount val="1"/>
                <c:pt idx="0">
                  <c:v>Ярило</c:v>
                </c:pt>
              </c:strCache>
            </c:strRef>
          </c:tx>
          <c:spPr>
            <a:pattFill prst="narHorz">
              <a:fgClr>
                <a:schemeClr val="tx1"/>
              </a:fgClr>
              <a:bgClr>
                <a:schemeClr val="bg1"/>
              </a:bgClr>
            </a:pattFill>
            <a:ln>
              <a:solidFill>
                <a:schemeClr val="tx1"/>
              </a:solidFill>
            </a:ln>
            <a:effectLst/>
          </c:spPr>
          <c:cat>
            <c:numRef>
              <c:f>'Ост. вар. ризогенез за 3 роки %'!$AC$101:$AC$112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%'!$AG$101:$AG$112</c:f>
              <c:numCache>
                <c:formatCode>0.0</c:formatCode>
                <c:ptCount val="12"/>
                <c:pt idx="0">
                  <c:v>41.375291375291319</c:v>
                </c:pt>
                <c:pt idx="1">
                  <c:v>18.901234567901209</c:v>
                </c:pt>
                <c:pt idx="2">
                  <c:v>51.2</c:v>
                </c:pt>
                <c:pt idx="3">
                  <c:v>30.07381507381508</c:v>
                </c:pt>
                <c:pt idx="4">
                  <c:v>64.177978883861059</c:v>
                </c:pt>
                <c:pt idx="5">
                  <c:v>47.6</c:v>
                </c:pt>
                <c:pt idx="6">
                  <c:v>59.5</c:v>
                </c:pt>
                <c:pt idx="7">
                  <c:v>43</c:v>
                </c:pt>
                <c:pt idx="8">
                  <c:v>47.828282828282823</c:v>
                </c:pt>
                <c:pt idx="9">
                  <c:v>22.777777777777754</c:v>
                </c:pt>
                <c:pt idx="10">
                  <c:v>53.2</c:v>
                </c:pt>
                <c:pt idx="11">
                  <c:v>25.80091533180779</c:v>
                </c:pt>
              </c:numCache>
            </c:numRef>
          </c:val>
          <c:extLst xmlns:c16r2="http://schemas.microsoft.com/office/drawing/2015/06/chart">
            <c:ext xmlns:c16="http://schemas.microsoft.com/office/drawing/2014/chart" uri="{C3380CC4-5D6E-409C-BE32-E72D297353CC}">
              <c16:uniqueId val="{00000002-4777-49EF-AA47-7B8EFF61CC33}"/>
            </c:ext>
          </c:extLst>
        </c:ser>
        <c:ser>
          <c:idx val="3"/>
          <c:order val="3"/>
          <c:tx>
            <c:strRef>
              <c:f>'Ост. вар. ризогенез за 3 роки %'!$AH$100</c:f>
              <c:strCache>
                <c:ptCount val="1"/>
                <c:pt idx="0">
                  <c:v>Загрей</c:v>
                </c:pt>
              </c:strCache>
            </c:strRef>
          </c:tx>
          <c:spPr>
            <a:pattFill prst="horzBrick">
              <a:fgClr>
                <a:schemeClr val="tx1"/>
              </a:fgClr>
              <a:bgClr>
                <a:schemeClr val="bg1"/>
              </a:bgClr>
            </a:pattFill>
            <a:ln>
              <a:solidFill>
                <a:schemeClr val="tx1"/>
              </a:solidFill>
            </a:ln>
            <a:effectLst/>
          </c:spPr>
          <c:cat>
            <c:numRef>
              <c:f>'Ост. вар. ризогенез за 3 роки %'!$AC$101:$AC$112</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 вар. ризогенез за 3 роки %'!$AH$101:$AH$112</c:f>
              <c:numCache>
                <c:formatCode>General</c:formatCode>
                <c:ptCount val="12"/>
                <c:pt idx="0">
                  <c:v>40.700000000000003</c:v>
                </c:pt>
                <c:pt idx="1">
                  <c:v>16.2</c:v>
                </c:pt>
                <c:pt idx="2">
                  <c:v>46.6</c:v>
                </c:pt>
                <c:pt idx="3">
                  <c:v>27.9</c:v>
                </c:pt>
                <c:pt idx="4">
                  <c:v>58.3</c:v>
                </c:pt>
                <c:pt idx="5">
                  <c:v>44.8</c:v>
                </c:pt>
                <c:pt idx="6">
                  <c:v>51.3</c:v>
                </c:pt>
                <c:pt idx="7">
                  <c:v>38.700000000000003</c:v>
                </c:pt>
                <c:pt idx="8">
                  <c:v>43.5</c:v>
                </c:pt>
                <c:pt idx="9">
                  <c:v>18.600000000000001</c:v>
                </c:pt>
                <c:pt idx="10">
                  <c:v>51.1</c:v>
                </c:pt>
                <c:pt idx="11">
                  <c:v>22.3</c:v>
                </c:pt>
              </c:numCache>
            </c:numRef>
          </c:val>
          <c:extLst xmlns:c16r2="http://schemas.microsoft.com/office/drawing/2015/06/chart">
            <c:ext xmlns:c16="http://schemas.microsoft.com/office/drawing/2014/chart" uri="{C3380CC4-5D6E-409C-BE32-E72D297353CC}">
              <c16:uniqueId val="{00000003-4777-49EF-AA47-7B8EFF61CC33}"/>
            </c:ext>
          </c:extLst>
        </c:ser>
        <c:dLbls/>
        <c:gapWidth val="219"/>
        <c:overlap val="-27"/>
        <c:axId val="84220928"/>
        <c:axId val="84235392"/>
      </c:barChart>
      <c:catAx>
        <c:axId val="8422092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ru-RU" sz="1000"/>
                  <a:t>Варіанти досліду</a:t>
                </a:r>
              </a:p>
            </c:rich>
          </c:tx>
          <c:layout>
            <c:manualLayout>
              <c:xMode val="edge"/>
              <c:yMode val="edge"/>
              <c:x val="0.8192379323127077"/>
              <c:y val="0.8550075345769067"/>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4235392"/>
        <c:crosses val="autoZero"/>
        <c:auto val="1"/>
        <c:lblAlgn val="ctr"/>
        <c:lblOffset val="100"/>
      </c:catAx>
      <c:valAx>
        <c:axId val="84235392"/>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ru-RU" sz="1000"/>
                  <a:t>%</a:t>
                </a:r>
              </a:p>
            </c:rich>
          </c:tx>
          <c:layout>
            <c:manualLayout>
              <c:xMode val="edge"/>
              <c:yMode val="edge"/>
              <c:x val="2.8371160457000095E-3"/>
              <c:y val="3.5494536280653299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4220928"/>
        <c:crosses val="autoZero"/>
        <c:crossBetween val="between"/>
        <c:majorUnit val="20"/>
      </c:valAx>
      <c:spPr>
        <a:noFill/>
        <a:ln>
          <a:noFill/>
        </a:ln>
        <a:effectLst/>
      </c:spPr>
    </c:plotArea>
    <c:legend>
      <c:legendPos val="b"/>
      <c:layout>
        <c:manualLayout>
          <c:xMode val="edge"/>
          <c:yMode val="edge"/>
          <c:x val="6.436989137580761E-4"/>
          <c:y val="0.86329998569048738"/>
          <c:w val="0.78162478322220652"/>
          <c:h val="0.13214452490355783"/>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258970284253163"/>
          <c:y val="6.7002528021166533E-2"/>
          <c:w val="0.87515435380896067"/>
          <c:h val="0.58848028777760508"/>
        </c:manualLayout>
      </c:layout>
      <c:barChart>
        <c:barDir val="col"/>
        <c:grouping val="clustered"/>
        <c:ser>
          <c:idx val="1"/>
          <c:order val="0"/>
          <c:tx>
            <c:strRef>
              <c:f>Остаточно!$G$101</c:f>
              <c:strCache>
                <c:ptCount val="1"/>
                <c:pt idx="0">
                  <c:v>Добриня</c:v>
                </c:pt>
              </c:strCache>
            </c:strRef>
          </c:tx>
          <c:spPr>
            <a:pattFill prst="pct90">
              <a:fgClr>
                <a:schemeClr val="tx1"/>
              </a:fgClr>
              <a:bgClr>
                <a:schemeClr val="bg1"/>
              </a:bgClr>
            </a:pattFill>
            <a:ln>
              <a:solidFill>
                <a:schemeClr val="tx1"/>
              </a:solidFill>
            </a:ln>
            <a:effectLst/>
          </c:spPr>
          <c:val>
            <c:numRef>
              <c:f>Остаточно!$G$102:$G$106</c:f>
              <c:numCache>
                <c:formatCode>0.0</c:formatCode>
                <c:ptCount val="5"/>
                <c:pt idx="0">
                  <c:v>29</c:v>
                </c:pt>
                <c:pt idx="1">
                  <c:v>12.962962962962973</c:v>
                </c:pt>
                <c:pt idx="2">
                  <c:v>6</c:v>
                </c:pt>
                <c:pt idx="3">
                  <c:v>5.0999999999999996</c:v>
                </c:pt>
                <c:pt idx="4">
                  <c:v>6.4</c:v>
                </c:pt>
              </c:numCache>
            </c:numRef>
          </c:val>
          <c:extLst xmlns:c16r2="http://schemas.microsoft.com/office/drawing/2015/06/chart">
            <c:ext xmlns:c16="http://schemas.microsoft.com/office/drawing/2014/chart" uri="{C3380CC4-5D6E-409C-BE32-E72D297353CC}">
              <c16:uniqueId val="{00000000-FCA0-4208-B286-EC75FFD11835}"/>
            </c:ext>
          </c:extLst>
        </c:ser>
        <c:ser>
          <c:idx val="2"/>
          <c:order val="1"/>
          <c:tx>
            <c:strRef>
              <c:f>Остаточно!$H$101</c:f>
              <c:strCache>
                <c:ptCount val="1"/>
                <c:pt idx="0">
                  <c:v>Гарант</c:v>
                </c:pt>
              </c:strCache>
            </c:strRef>
          </c:tx>
          <c:spPr>
            <a:pattFill prst="pct30">
              <a:fgClr>
                <a:schemeClr val="tx1"/>
              </a:fgClr>
              <a:bgClr>
                <a:schemeClr val="bg1"/>
              </a:bgClr>
            </a:pattFill>
            <a:ln>
              <a:solidFill>
                <a:schemeClr val="tx1"/>
              </a:solidFill>
            </a:ln>
            <a:effectLst/>
          </c:spPr>
          <c:val>
            <c:numRef>
              <c:f>Остаточно!$H$102:$H$106</c:f>
              <c:numCache>
                <c:formatCode>0.0</c:formatCode>
                <c:ptCount val="5"/>
                <c:pt idx="0">
                  <c:v>28</c:v>
                </c:pt>
                <c:pt idx="1">
                  <c:v>15.550239234449782</c:v>
                </c:pt>
                <c:pt idx="2">
                  <c:v>5.5</c:v>
                </c:pt>
                <c:pt idx="3">
                  <c:v>5.5</c:v>
                </c:pt>
                <c:pt idx="4">
                  <c:v>7.6</c:v>
                </c:pt>
              </c:numCache>
            </c:numRef>
          </c:val>
          <c:extLst xmlns:c16r2="http://schemas.microsoft.com/office/drawing/2015/06/chart">
            <c:ext xmlns:c16="http://schemas.microsoft.com/office/drawing/2014/chart" uri="{C3380CC4-5D6E-409C-BE32-E72D297353CC}">
              <c16:uniqueId val="{00000001-FCA0-4208-B286-EC75FFD11835}"/>
            </c:ext>
          </c:extLst>
        </c:ser>
        <c:ser>
          <c:idx val="3"/>
          <c:order val="2"/>
          <c:tx>
            <c:strRef>
              <c:f>Остаточно!$I$101</c:f>
              <c:strCache>
                <c:ptCount val="1"/>
                <c:pt idx="0">
                  <c:v>Ярило</c:v>
                </c:pt>
              </c:strCache>
            </c:strRef>
          </c:tx>
          <c:spPr>
            <a:pattFill prst="narHorz">
              <a:fgClr>
                <a:schemeClr val="tx1"/>
              </a:fgClr>
              <a:bgClr>
                <a:schemeClr val="bg1"/>
              </a:bgClr>
            </a:pattFill>
            <a:ln>
              <a:solidFill>
                <a:schemeClr val="tx1"/>
              </a:solidFill>
            </a:ln>
            <a:effectLst/>
          </c:spPr>
          <c:val>
            <c:numRef>
              <c:f>Остаточно!$I$102:$I$106</c:f>
              <c:numCache>
                <c:formatCode>0.0</c:formatCode>
                <c:ptCount val="5"/>
                <c:pt idx="0">
                  <c:v>16</c:v>
                </c:pt>
                <c:pt idx="1">
                  <c:v>10.666666666666679</c:v>
                </c:pt>
                <c:pt idx="2">
                  <c:v>4.9000000000000004</c:v>
                </c:pt>
                <c:pt idx="3">
                  <c:v>4.7</c:v>
                </c:pt>
                <c:pt idx="4">
                  <c:v>6.2</c:v>
                </c:pt>
              </c:numCache>
            </c:numRef>
          </c:val>
          <c:extLst xmlns:c16r2="http://schemas.microsoft.com/office/drawing/2015/06/chart">
            <c:ext xmlns:c16="http://schemas.microsoft.com/office/drawing/2014/chart" uri="{C3380CC4-5D6E-409C-BE32-E72D297353CC}">
              <c16:uniqueId val="{00000002-FCA0-4208-B286-EC75FFD11835}"/>
            </c:ext>
          </c:extLst>
        </c:ser>
        <c:ser>
          <c:idx val="4"/>
          <c:order val="3"/>
          <c:tx>
            <c:strRef>
              <c:f>Остаточно!$J$101</c:f>
              <c:strCache>
                <c:ptCount val="1"/>
                <c:pt idx="0">
                  <c:v>Загрей</c:v>
                </c:pt>
              </c:strCache>
            </c:strRef>
          </c:tx>
          <c:spPr>
            <a:pattFill prst="horzBrick">
              <a:fgClr>
                <a:schemeClr val="tx1"/>
              </a:fgClr>
              <a:bgClr>
                <a:schemeClr val="bg1"/>
              </a:bgClr>
            </a:pattFill>
            <a:ln>
              <a:solidFill>
                <a:schemeClr val="tx1"/>
              </a:solidFill>
            </a:ln>
            <a:effectLst/>
          </c:spPr>
          <c:val>
            <c:numRef>
              <c:f>Остаточно!$J$102:$J$106</c:f>
              <c:numCache>
                <c:formatCode>0.0</c:formatCode>
                <c:ptCount val="5"/>
                <c:pt idx="0">
                  <c:v>14</c:v>
                </c:pt>
                <c:pt idx="1">
                  <c:v>8.6</c:v>
                </c:pt>
                <c:pt idx="2">
                  <c:v>4.5999999999999996</c:v>
                </c:pt>
                <c:pt idx="3">
                  <c:v>4.5</c:v>
                </c:pt>
                <c:pt idx="4">
                  <c:v>5.8</c:v>
                </c:pt>
              </c:numCache>
            </c:numRef>
          </c:val>
          <c:extLst xmlns:c16r2="http://schemas.microsoft.com/office/drawing/2015/06/chart">
            <c:ext xmlns:c16="http://schemas.microsoft.com/office/drawing/2014/chart" uri="{C3380CC4-5D6E-409C-BE32-E72D297353CC}">
              <c16:uniqueId val="{00000003-FCA0-4208-B286-EC75FFD11835}"/>
            </c:ext>
          </c:extLst>
        </c:ser>
        <c:dLbls/>
        <c:gapWidth val="219"/>
        <c:overlap val="-27"/>
        <c:axId val="84302464"/>
        <c:axId val="84312832"/>
        <c:extLst xmlns:c16r2="http://schemas.microsoft.com/office/drawing/2015/06/chart">
          <c:ext xmlns:c15="http://schemas.microsoft.com/office/drawing/2012/chart" uri="{02D57815-91ED-43cb-92C2-25804820EDAC}">
            <c15:filteredBarSeries>
              <c15:ser>
                <c:idx val="0"/>
                <c:order val="0"/>
                <c:tx>
                  <c:strRef>
                    <c:extLst>
                      <c:ext uri="{02D57815-91ED-43cb-92C2-25804820EDAC}">
                        <c15:formulaRef>
                          <c15:sqref>Остаточно!$F$101</c15:sqref>
                        </c15:formulaRef>
                      </c:ext>
                    </c:extLst>
                    <c:strCache>
                      <c:ptCount val="1"/>
                    </c:strCache>
                  </c:strRef>
                </c:tx>
                <c:spPr>
                  <a:solidFill>
                    <a:schemeClr val="bg1"/>
                  </a:solidFill>
                  <a:ln>
                    <a:solidFill>
                      <a:schemeClr val="tx1"/>
                    </a:solidFill>
                  </a:ln>
                  <a:effectLst/>
                </c:spPr>
                <c:invertIfNegative val="0"/>
                <c:val>
                  <c:numRef>
                    <c:extLst>
                      <c:ext uri="{02D57815-91ED-43cb-92C2-25804820EDAC}">
                        <c15:formulaRef>
                          <c15:sqref>Остаточно!$F$102:$F$106</c15:sqref>
                        </c15:formulaRef>
                      </c:ext>
                    </c:extLst>
                    <c:numCache>
                      <c:formatCode>General</c:formatCode>
                      <c:ptCount val="5"/>
                      <c:pt idx="0">
                        <c:v>1</c:v>
                      </c:pt>
                      <c:pt idx="1">
                        <c:v>2</c:v>
                      </c:pt>
                      <c:pt idx="2">
                        <c:v>3</c:v>
                      </c:pt>
                      <c:pt idx="3">
                        <c:v>4</c:v>
                      </c:pt>
                      <c:pt idx="4">
                        <c:v>5</c:v>
                      </c:pt>
                    </c:numCache>
                  </c:numRef>
                </c:val>
                <c:extLst>
                  <c:ext xmlns:c16="http://schemas.microsoft.com/office/drawing/2014/chart" uri="{C3380CC4-5D6E-409C-BE32-E72D297353CC}">
                    <c16:uniqueId val="{00000004-FCA0-4208-B286-EC75FFD11835}"/>
                  </c:ext>
                </c:extLst>
              </c15:ser>
            </c15:filteredBarSeries>
          </c:ext>
        </c:extLst>
      </c:barChart>
      <c:catAx>
        <c:axId val="84302464"/>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862985374416664"/>
              <c:y val="0.77609298837645291"/>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4312832"/>
        <c:crosses val="autoZero"/>
        <c:auto val="1"/>
        <c:lblAlgn val="ctr"/>
        <c:lblOffset val="100"/>
      </c:catAx>
      <c:valAx>
        <c:axId val="84312832"/>
        <c:scaling>
          <c:orientation val="minMax"/>
          <c:max val="4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0"/>
              <c:y val="3.1511061117360296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4302464"/>
        <c:crosses val="autoZero"/>
        <c:crossBetween val="between"/>
      </c:valAx>
      <c:spPr>
        <a:noFill/>
        <a:ln>
          <a:noFill/>
        </a:ln>
        <a:effectLst/>
      </c:spPr>
    </c:plotArea>
    <c:legend>
      <c:legendPos val="b"/>
      <c:layout>
        <c:manualLayout>
          <c:xMode val="edge"/>
          <c:yMode val="edge"/>
          <c:x val="2.0165966010280342E-4"/>
          <c:y val="0.86204262928672382"/>
          <c:w val="0.99680226967782426"/>
          <c:h val="0.11412073490813654"/>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17.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472930830535408"/>
          <c:y val="6.7002528021166533E-2"/>
          <c:w val="0.86301474834613812"/>
          <c:h val="0.59423402770856149"/>
        </c:manualLayout>
      </c:layout>
      <c:barChart>
        <c:barDir val="col"/>
        <c:grouping val="clustered"/>
        <c:ser>
          <c:idx val="1"/>
          <c:order val="0"/>
          <c:tx>
            <c:strRef>
              <c:f>Остаточно!$G$109</c:f>
              <c:strCache>
                <c:ptCount val="1"/>
                <c:pt idx="0">
                  <c:v>Добриня</c:v>
                </c:pt>
              </c:strCache>
            </c:strRef>
          </c:tx>
          <c:spPr>
            <a:pattFill prst="pct90">
              <a:fgClr>
                <a:schemeClr val="tx1"/>
              </a:fgClr>
              <a:bgClr>
                <a:schemeClr val="bg1"/>
              </a:bgClr>
            </a:pattFill>
            <a:ln>
              <a:solidFill>
                <a:schemeClr val="tx1"/>
              </a:solidFill>
            </a:ln>
            <a:effectLst/>
          </c:spPr>
          <c:val>
            <c:numRef>
              <c:f>Остаточно!$G$110:$G$114</c:f>
              <c:numCache>
                <c:formatCode>0.0</c:formatCode>
                <c:ptCount val="5"/>
                <c:pt idx="0">
                  <c:v>53.2</c:v>
                </c:pt>
                <c:pt idx="1">
                  <c:v>19.851851851851883</c:v>
                </c:pt>
                <c:pt idx="2">
                  <c:v>66</c:v>
                </c:pt>
                <c:pt idx="3">
                  <c:v>57</c:v>
                </c:pt>
                <c:pt idx="4">
                  <c:v>71.5</c:v>
                </c:pt>
              </c:numCache>
            </c:numRef>
          </c:val>
          <c:extLst xmlns:c16r2="http://schemas.microsoft.com/office/drawing/2015/06/chart">
            <c:ext xmlns:c16="http://schemas.microsoft.com/office/drawing/2014/chart" uri="{C3380CC4-5D6E-409C-BE32-E72D297353CC}">
              <c16:uniqueId val="{00000000-391F-4226-80B3-0FF4055E12E9}"/>
            </c:ext>
          </c:extLst>
        </c:ser>
        <c:ser>
          <c:idx val="2"/>
          <c:order val="1"/>
          <c:tx>
            <c:strRef>
              <c:f>Остаточно!$H$109</c:f>
              <c:strCache>
                <c:ptCount val="1"/>
                <c:pt idx="0">
                  <c:v>Гарант</c:v>
                </c:pt>
              </c:strCache>
            </c:strRef>
          </c:tx>
          <c:spPr>
            <a:pattFill prst="pct30">
              <a:fgClr>
                <a:schemeClr val="tx1"/>
              </a:fgClr>
              <a:bgClr>
                <a:schemeClr val="bg1"/>
              </a:bgClr>
            </a:pattFill>
            <a:ln>
              <a:solidFill>
                <a:schemeClr val="tx1"/>
              </a:solidFill>
            </a:ln>
            <a:effectLst/>
          </c:spPr>
          <c:val>
            <c:numRef>
              <c:f>Остаточно!$H$110:$H$114</c:f>
              <c:numCache>
                <c:formatCode>0.0</c:formatCode>
                <c:ptCount val="5"/>
                <c:pt idx="0">
                  <c:v>44.646464646464644</c:v>
                </c:pt>
                <c:pt idx="1">
                  <c:v>19</c:v>
                </c:pt>
                <c:pt idx="2">
                  <c:v>71</c:v>
                </c:pt>
                <c:pt idx="3">
                  <c:v>50</c:v>
                </c:pt>
                <c:pt idx="4">
                  <c:v>73.5</c:v>
                </c:pt>
              </c:numCache>
            </c:numRef>
          </c:val>
          <c:extLst xmlns:c16r2="http://schemas.microsoft.com/office/drawing/2015/06/chart">
            <c:ext xmlns:c16="http://schemas.microsoft.com/office/drawing/2014/chart" uri="{C3380CC4-5D6E-409C-BE32-E72D297353CC}">
              <c16:uniqueId val="{00000001-391F-4226-80B3-0FF4055E12E9}"/>
            </c:ext>
          </c:extLst>
        </c:ser>
        <c:ser>
          <c:idx val="3"/>
          <c:order val="2"/>
          <c:tx>
            <c:strRef>
              <c:f>Остаточно!$I$109</c:f>
              <c:strCache>
                <c:ptCount val="1"/>
                <c:pt idx="0">
                  <c:v>Ярило</c:v>
                </c:pt>
              </c:strCache>
            </c:strRef>
          </c:tx>
          <c:spPr>
            <a:pattFill prst="narHorz">
              <a:fgClr>
                <a:schemeClr val="tx1"/>
              </a:fgClr>
              <a:bgClr>
                <a:schemeClr val="bg1"/>
              </a:bgClr>
            </a:pattFill>
            <a:ln>
              <a:solidFill>
                <a:schemeClr val="tx1"/>
              </a:solidFill>
            </a:ln>
            <a:effectLst/>
          </c:spPr>
          <c:val>
            <c:numRef>
              <c:f>Остаточно!$I$110:$I$114</c:f>
              <c:numCache>
                <c:formatCode>0.0</c:formatCode>
                <c:ptCount val="5"/>
                <c:pt idx="0">
                  <c:v>41.375291375291319</c:v>
                </c:pt>
                <c:pt idx="1">
                  <c:v>18.901234567901209</c:v>
                </c:pt>
                <c:pt idx="2">
                  <c:v>63.5</c:v>
                </c:pt>
                <c:pt idx="3">
                  <c:v>56.5</c:v>
                </c:pt>
                <c:pt idx="4">
                  <c:v>65.5</c:v>
                </c:pt>
              </c:numCache>
            </c:numRef>
          </c:val>
          <c:extLst xmlns:c16r2="http://schemas.microsoft.com/office/drawing/2015/06/chart">
            <c:ext xmlns:c16="http://schemas.microsoft.com/office/drawing/2014/chart" uri="{C3380CC4-5D6E-409C-BE32-E72D297353CC}">
              <c16:uniqueId val="{00000002-391F-4226-80B3-0FF4055E12E9}"/>
            </c:ext>
          </c:extLst>
        </c:ser>
        <c:ser>
          <c:idx val="4"/>
          <c:order val="3"/>
          <c:tx>
            <c:strRef>
              <c:f>Остаточно!$J$109</c:f>
              <c:strCache>
                <c:ptCount val="1"/>
                <c:pt idx="0">
                  <c:v>Загрей</c:v>
                </c:pt>
              </c:strCache>
            </c:strRef>
          </c:tx>
          <c:spPr>
            <a:pattFill prst="horzBrick">
              <a:fgClr>
                <a:schemeClr val="tx1"/>
              </a:fgClr>
              <a:bgClr>
                <a:schemeClr val="bg1"/>
              </a:bgClr>
            </a:pattFill>
            <a:ln>
              <a:solidFill>
                <a:schemeClr val="tx1"/>
              </a:solidFill>
            </a:ln>
            <a:effectLst/>
          </c:spPr>
          <c:val>
            <c:numRef>
              <c:f>Остаточно!$J$110:$J$114</c:f>
              <c:numCache>
                <c:formatCode>0.0</c:formatCode>
                <c:ptCount val="5"/>
                <c:pt idx="0">
                  <c:v>40.700000000000003</c:v>
                </c:pt>
                <c:pt idx="1">
                  <c:v>16.2</c:v>
                </c:pt>
                <c:pt idx="2">
                  <c:v>60.5</c:v>
                </c:pt>
                <c:pt idx="3">
                  <c:v>54</c:v>
                </c:pt>
                <c:pt idx="4">
                  <c:v>69</c:v>
                </c:pt>
              </c:numCache>
            </c:numRef>
          </c:val>
          <c:extLst xmlns:c16r2="http://schemas.microsoft.com/office/drawing/2015/06/chart">
            <c:ext xmlns:c16="http://schemas.microsoft.com/office/drawing/2014/chart" uri="{C3380CC4-5D6E-409C-BE32-E72D297353CC}">
              <c16:uniqueId val="{00000003-391F-4226-80B3-0FF4055E12E9}"/>
            </c:ext>
          </c:extLst>
        </c:ser>
        <c:dLbls/>
        <c:gapWidth val="219"/>
        <c:overlap val="-27"/>
        <c:axId val="84707584"/>
        <c:axId val="84722048"/>
        <c:extLst xmlns:c16r2="http://schemas.microsoft.com/office/drawing/2015/06/chart">
          <c:ext xmlns:c15="http://schemas.microsoft.com/office/drawing/2012/chart" uri="{02D57815-91ED-43cb-92C2-25804820EDAC}">
            <c15:filteredBarSeries>
              <c15:ser>
                <c:idx val="0"/>
                <c:order val="0"/>
                <c:tx>
                  <c:strRef>
                    <c:extLst>
                      <c:ext uri="{02D57815-91ED-43cb-92C2-25804820EDAC}">
                        <c15:formulaRef>
                          <c15:sqref>Остаточно!$F$109</c15:sqref>
                        </c15:formulaRef>
                      </c:ext>
                    </c:extLst>
                    <c:strCache>
                      <c:ptCount val="1"/>
                    </c:strCache>
                  </c:strRef>
                </c:tx>
                <c:spPr>
                  <a:solidFill>
                    <a:schemeClr val="bg1"/>
                  </a:solidFill>
                  <a:ln>
                    <a:solidFill>
                      <a:schemeClr val="tx1"/>
                    </a:solidFill>
                  </a:ln>
                  <a:effectLst/>
                </c:spPr>
                <c:invertIfNegative val="0"/>
                <c:val>
                  <c:numRef>
                    <c:extLst>
                      <c:ext uri="{02D57815-91ED-43cb-92C2-25804820EDAC}">
                        <c15:formulaRef>
                          <c15:sqref>Остаточно!$F$110:$F$114</c15:sqref>
                        </c15:formulaRef>
                      </c:ext>
                    </c:extLst>
                    <c:numCache>
                      <c:formatCode>General</c:formatCode>
                      <c:ptCount val="5"/>
                      <c:pt idx="0">
                        <c:v>1</c:v>
                      </c:pt>
                      <c:pt idx="1">
                        <c:v>2</c:v>
                      </c:pt>
                      <c:pt idx="2">
                        <c:v>3</c:v>
                      </c:pt>
                      <c:pt idx="3">
                        <c:v>4</c:v>
                      </c:pt>
                      <c:pt idx="4">
                        <c:v>5</c:v>
                      </c:pt>
                    </c:numCache>
                  </c:numRef>
                </c:val>
                <c:extLst>
                  <c:ext xmlns:c16="http://schemas.microsoft.com/office/drawing/2014/chart" uri="{C3380CC4-5D6E-409C-BE32-E72D297353CC}">
                    <c16:uniqueId val="{00000004-391F-4226-80B3-0FF4055E12E9}"/>
                  </c:ext>
                </c:extLst>
              </c15:ser>
            </c15:filteredBarSeries>
          </c:ext>
        </c:extLst>
      </c:barChart>
      <c:catAx>
        <c:axId val="84707584"/>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920125306917325"/>
              <c:y val="0.77725448381452344"/>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4722048"/>
        <c:crosses val="autoZero"/>
        <c:auto val="1"/>
        <c:lblAlgn val="ctr"/>
        <c:lblOffset val="100"/>
      </c:catAx>
      <c:valAx>
        <c:axId val="84722048"/>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0"/>
              <c:y val="3.1511061117360296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4707584"/>
        <c:crosses val="autoZero"/>
        <c:crossBetween val="between"/>
      </c:valAx>
      <c:spPr>
        <a:noFill/>
        <a:ln>
          <a:noFill/>
        </a:ln>
        <a:effectLst/>
      </c:spPr>
    </c:plotArea>
    <c:legend>
      <c:legendPos val="b"/>
      <c:layout>
        <c:manualLayout>
          <c:xMode val="edge"/>
          <c:yMode val="edge"/>
          <c:x val="0"/>
          <c:y val="0.87051345144356962"/>
          <c:w val="0.99959668067979435"/>
          <c:h val="0.10565015310586175"/>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18.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251399825021873"/>
          <c:y val="0.11666703120443278"/>
          <c:w val="0.83693044619422574"/>
          <c:h val="0.48345194192498098"/>
        </c:manualLayout>
      </c:layout>
      <c:barChart>
        <c:barDir val="col"/>
        <c:grouping val="clustered"/>
        <c:ser>
          <c:idx val="0"/>
          <c:order val="0"/>
          <c:tx>
            <c:strRef>
              <c:f>'Вода+сухі речовини вегет'!$T$2</c:f>
              <c:strCache>
                <c:ptCount val="1"/>
                <c:pt idx="0">
                  <c:v>Вода</c:v>
                </c:pt>
              </c:strCache>
            </c:strRef>
          </c:tx>
          <c:spPr>
            <a:solidFill>
              <a:schemeClr val="tx1">
                <a:lumMod val="75000"/>
                <a:lumOff val="25000"/>
              </a:schemeClr>
            </a:solidFill>
            <a:ln w="12700">
              <a:solidFill>
                <a:schemeClr val="tx1"/>
              </a:solidFill>
              <a:prstDash val="solid"/>
            </a:ln>
          </c:spPr>
          <c:cat>
            <c:numRef>
              <c:f>'Вода+сухі речовини вегет'!$S$3:$S$14</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'Вода+сухі речовини вегет'!$T$3:$T$14</c:f>
              <c:numCache>
                <c:formatCode>0.0</c:formatCode>
                <c:ptCount val="12"/>
                <c:pt idx="0">
                  <c:v>92.941135050976499</c:v>
                </c:pt>
                <c:pt idx="1">
                  <c:v>93.624135052038014</c:v>
                </c:pt>
                <c:pt idx="2">
                  <c:v>91.482420803653554</c:v>
                </c:pt>
                <c:pt idx="3">
                  <c:v>92.386305659056347</c:v>
                </c:pt>
                <c:pt idx="4">
                  <c:v>92.328991281120736</c:v>
                </c:pt>
                <c:pt idx="5">
                  <c:v>93.200979981100659</c:v>
                </c:pt>
                <c:pt idx="6">
                  <c:v>84.849068639314154</c:v>
                </c:pt>
                <c:pt idx="7">
                  <c:v>86.226863972186422</c:v>
                </c:pt>
                <c:pt idx="8">
                  <c:v>85.222333646376555</c:v>
                </c:pt>
                <c:pt idx="9">
                  <c:v>86.848313476655974</c:v>
                </c:pt>
                <c:pt idx="10">
                  <c:v>84.150677821299553</c:v>
                </c:pt>
                <c:pt idx="11">
                  <c:v>85.479408586738529</c:v>
                </c:pt>
              </c:numCache>
            </c:numRef>
          </c:val>
        </c:ser>
        <c:ser>
          <c:idx val="1"/>
          <c:order val="1"/>
          <c:tx>
            <c:strRef>
              <c:f>'Вода+сухі речовини вегет'!$U$2</c:f>
              <c:strCache>
                <c:ptCount val="1"/>
                <c:pt idx="0">
                  <c:v>Сухі речовини</c:v>
                </c:pt>
              </c:strCache>
            </c:strRef>
          </c:tx>
          <c:spPr>
            <a:blipFill dpi="0" rotWithShape="0">
              <a:blip xmlns:r="http://schemas.openxmlformats.org/officeDocument/2006/relationships" r:embed="rId1"/>
              <a:srcRect/>
              <a:tile tx="0" ty="0" sx="100000" sy="100000" flip="none" algn="tl"/>
            </a:blipFill>
            <a:ln w="12700">
              <a:solidFill>
                <a:srgbClr val="000000"/>
              </a:solidFill>
              <a:prstDash val="solid"/>
            </a:ln>
          </c:spPr>
          <c:cat>
            <c:numRef>
              <c:f>'Вода+сухі речовини вегет'!$S$3:$S$14</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'Вода+сухі речовини вегет'!$U$3:$U$14</c:f>
              <c:numCache>
                <c:formatCode>0.0</c:formatCode>
                <c:ptCount val="12"/>
                <c:pt idx="0">
                  <c:v>7.0588649490234658</c:v>
                </c:pt>
                <c:pt idx="1">
                  <c:v>6.3758649479619836</c:v>
                </c:pt>
                <c:pt idx="2">
                  <c:v>8.5175791963464373</c:v>
                </c:pt>
                <c:pt idx="3">
                  <c:v>7.6136943409436562</c:v>
                </c:pt>
                <c:pt idx="4">
                  <c:v>7.6710087188792668</c:v>
                </c:pt>
                <c:pt idx="5">
                  <c:v>6.7990200188993457</c:v>
                </c:pt>
                <c:pt idx="6">
                  <c:v>15.15093136068584</c:v>
                </c:pt>
                <c:pt idx="7">
                  <c:v>13.773136027813573</c:v>
                </c:pt>
                <c:pt idx="8">
                  <c:v>14.777666353623447</c:v>
                </c:pt>
                <c:pt idx="9">
                  <c:v>13.151686523344006</c:v>
                </c:pt>
                <c:pt idx="10">
                  <c:v>15.849322178700447</c:v>
                </c:pt>
                <c:pt idx="11">
                  <c:v>14.520591413261462</c:v>
                </c:pt>
              </c:numCache>
            </c:numRef>
          </c:val>
        </c:ser>
        <c:gapWidth val="219"/>
        <c:overlap val="-27"/>
        <c:axId val="81673216"/>
        <c:axId val="81740928"/>
      </c:barChart>
      <c:catAx>
        <c:axId val="81673216"/>
        <c:scaling>
          <c:orientation val="minMax"/>
        </c:scaling>
        <c:axPos val="b"/>
        <c:title>
          <c:tx>
            <c:rich>
              <a:bodyPr/>
              <a:lstStyle/>
              <a:p>
                <a:pPr>
                  <a:defRPr sz="1000"/>
                </a:pPr>
                <a:r>
                  <a:rPr lang="uk-UA" sz="1000"/>
                  <a:t>Варіанти досліду</a:t>
                </a:r>
              </a:p>
            </c:rich>
          </c:tx>
          <c:layout>
            <c:manualLayout>
              <c:xMode val="edge"/>
              <c:yMode val="edge"/>
              <c:x val="0.79980539692606178"/>
              <c:y val="0.7744602810724609"/>
            </c:manualLayout>
          </c:layout>
        </c:title>
        <c:numFmt formatCode="General" sourceLinked="1"/>
        <c:majorTickMark val="none"/>
        <c:minorTickMark val="in"/>
        <c:tickLblPos val="nextTo"/>
        <c:spPr>
          <a:noFill/>
          <a:ln w="9525" cap="flat" cmpd="sng" algn="ctr">
            <a:solidFill>
              <a:schemeClr val="tx1"/>
            </a:solidFill>
            <a:round/>
          </a:ln>
          <a:effectLst/>
        </c:spPr>
        <c:txPr>
          <a:bodyPr rot="-60000000" vert="horz"/>
          <a:lstStyle/>
          <a:p>
            <a:pPr>
              <a:defRPr/>
            </a:pPr>
            <a:endParaRPr lang="ru-RU"/>
          </a:p>
        </c:txPr>
        <c:crossAx val="81740928"/>
        <c:crosses val="autoZero"/>
        <c:auto val="1"/>
        <c:lblAlgn val="ctr"/>
        <c:lblOffset val="100"/>
      </c:catAx>
      <c:valAx>
        <c:axId val="81740928"/>
        <c:scaling>
          <c:orientation val="minMax"/>
        </c:scaling>
        <c:axPos val="l"/>
        <c:majorGridlines>
          <c:spPr>
            <a:ln w="9525" cap="flat" cmpd="sng" algn="ctr">
              <a:solidFill>
                <a:schemeClr val="tx1">
                  <a:lumMod val="50000"/>
                  <a:lumOff val="50000"/>
                </a:schemeClr>
              </a:solidFill>
              <a:round/>
            </a:ln>
            <a:effectLst/>
          </c:spPr>
        </c:majorGridlines>
        <c:title>
          <c:tx>
            <c:rich>
              <a:bodyPr rot="0" vert="horz"/>
              <a:lstStyle/>
              <a:p>
                <a:pPr>
                  <a:defRPr sz="1000"/>
                </a:pPr>
                <a:r>
                  <a:rPr lang="uk-UA" sz="1000"/>
                  <a:t>%</a:t>
                </a:r>
              </a:p>
            </c:rich>
          </c:tx>
          <c:layout>
            <c:manualLayout>
              <c:xMode val="edge"/>
              <c:yMode val="edge"/>
              <c:x val="0"/>
              <c:y val="4.279211933951298E-3"/>
            </c:manualLayout>
          </c:layout>
        </c:title>
        <c:numFmt formatCode="General" sourceLinked="0"/>
        <c:majorTickMark val="none"/>
        <c:tickLblPos val="nextTo"/>
        <c:spPr>
          <a:noFill/>
          <a:ln>
            <a:solidFill>
              <a:schemeClr val="tx1"/>
            </a:solidFill>
          </a:ln>
          <a:effectLst/>
        </c:spPr>
        <c:txPr>
          <a:bodyPr rot="-60000000" vert="horz"/>
          <a:lstStyle/>
          <a:p>
            <a:pPr>
              <a:defRPr/>
            </a:pPr>
            <a:endParaRPr lang="ru-RU"/>
          </a:p>
        </c:txPr>
        <c:crossAx val="81673216"/>
        <c:crosses val="autoZero"/>
        <c:crossBetween val="between"/>
      </c:valAx>
      <c:spPr>
        <a:noFill/>
        <a:ln w="25400">
          <a:noFill/>
        </a:ln>
      </c:spPr>
    </c:plotArea>
    <c:legend>
      <c:legendPos val="b"/>
      <c:layout>
        <c:manualLayout>
          <c:xMode val="edge"/>
          <c:yMode val="edge"/>
          <c:x val="0.18965483917020842"/>
          <c:y val="0.86067643443303765"/>
          <c:w val="0.62069032165958415"/>
          <c:h val="0.13932356556696235"/>
        </c:manualLayout>
      </c:layout>
      <c:spPr>
        <a:noFill/>
        <a:ln w="25400">
          <a:noFill/>
        </a:ln>
      </c:spPr>
      <c:txPr>
        <a:bodyPr rot="0" vert="horz"/>
        <a:lstStyle/>
        <a:p>
          <a:pPr>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b="0">
          <a:latin typeface="Times New Roman" panose="02020603050405020304" pitchFamily="18" charset="0"/>
          <a:cs typeface="Times New Roman" panose="02020603050405020304" pitchFamily="18" charset="0"/>
        </a:defRPr>
      </a:pPr>
      <a:endParaRPr lang="ru-RU"/>
    </a:p>
  </c:txPr>
  <c:externalData r:id="rId2"/>
</c:chartSpace>
</file>

<file path=word/charts/chart19.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251399825021873"/>
          <c:y val="0.11203740157480309"/>
          <c:w val="0.82859711286089288"/>
          <c:h val="0.54658154217209343"/>
        </c:manualLayout>
      </c:layout>
      <c:barChart>
        <c:barDir val="col"/>
        <c:grouping val="clustered"/>
        <c:ser>
          <c:idx val="0"/>
          <c:order val="0"/>
          <c:tx>
            <c:strRef>
              <c:f>'Вода+сухі речовини вегет'!$T$15</c:f>
              <c:strCache>
                <c:ptCount val="1"/>
                <c:pt idx="0">
                  <c:v>Вода</c:v>
                </c:pt>
              </c:strCache>
            </c:strRef>
          </c:tx>
          <c:spPr>
            <a:solidFill>
              <a:schemeClr val="tx1">
                <a:lumMod val="75000"/>
                <a:lumOff val="25000"/>
              </a:schemeClr>
            </a:solidFill>
            <a:ln w="12700">
              <a:solidFill>
                <a:srgbClr val="000000"/>
              </a:solidFill>
              <a:prstDash val="solid"/>
            </a:ln>
          </c:spPr>
          <c:cat>
            <c:numRef>
              <c:f>'Вода+сухі речовини вегет'!$S$16:$S$27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'Вода+сухі речовини вегет'!$T$16:$T$27</c:f>
              <c:numCache>
                <c:formatCode>0.0</c:formatCode>
                <c:ptCount val="12"/>
                <c:pt idx="0">
                  <c:v>92.147014516656853</c:v>
                </c:pt>
                <c:pt idx="1">
                  <c:v>93.018906586433559</c:v>
                </c:pt>
                <c:pt idx="2">
                  <c:v>91.345797997224622</c:v>
                </c:pt>
                <c:pt idx="3">
                  <c:v>91.705375173780752</c:v>
                </c:pt>
                <c:pt idx="4">
                  <c:v>91.2247066614338</c:v>
                </c:pt>
                <c:pt idx="5">
                  <c:v>91.921059760312247</c:v>
                </c:pt>
                <c:pt idx="6">
                  <c:v>86.601551313210805</c:v>
                </c:pt>
                <c:pt idx="7">
                  <c:v>88.187498865244322</c:v>
                </c:pt>
                <c:pt idx="8">
                  <c:v>86.749138842481173</c:v>
                </c:pt>
                <c:pt idx="9">
                  <c:v>87.926994149844447</c:v>
                </c:pt>
                <c:pt idx="10">
                  <c:v>85.511501807733495</c:v>
                </c:pt>
                <c:pt idx="11">
                  <c:v>86.969351902811241</c:v>
                </c:pt>
              </c:numCache>
            </c:numRef>
          </c:val>
        </c:ser>
        <c:ser>
          <c:idx val="1"/>
          <c:order val="1"/>
          <c:tx>
            <c:strRef>
              <c:f>'Вода+сухі речовини вегет'!$U$15</c:f>
              <c:strCache>
                <c:ptCount val="1"/>
                <c:pt idx="0">
                  <c:v>Сухі речовини</c:v>
                </c:pt>
              </c:strCache>
            </c:strRef>
          </c:tx>
          <c:spPr>
            <a:blipFill dpi="0" rotWithShape="0">
              <a:blip xmlns:r="http://schemas.openxmlformats.org/officeDocument/2006/relationships" r:embed="rId1"/>
              <a:srcRect/>
              <a:tile tx="0" ty="0" sx="100000" sy="100000" flip="none" algn="tl"/>
            </a:blipFill>
            <a:ln w="12700">
              <a:solidFill>
                <a:srgbClr val="000000"/>
              </a:solidFill>
              <a:prstDash val="solid"/>
            </a:ln>
          </c:spPr>
          <c:cat>
            <c:numRef>
              <c:f>'Вода+сухі речовини вегет'!$S$16:$S$27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'Вода+сухі речовини вегет'!$U$16:$U$27</c:f>
              <c:numCache>
                <c:formatCode>0.0</c:formatCode>
                <c:ptCount val="12"/>
                <c:pt idx="0">
                  <c:v>7.8986747623507787</c:v>
                </c:pt>
                <c:pt idx="1">
                  <c:v>7.1556205328135176</c:v>
                </c:pt>
                <c:pt idx="2">
                  <c:v>8.7948165396352458</c:v>
                </c:pt>
                <c:pt idx="3">
                  <c:v>8.3629410472732921</c:v>
                </c:pt>
                <c:pt idx="4">
                  <c:v>8.5406205891200173</c:v>
                </c:pt>
                <c:pt idx="5">
                  <c:v>7.8243461964392189</c:v>
                </c:pt>
                <c:pt idx="6">
                  <c:v>13.398953117888029</c:v>
                </c:pt>
                <c:pt idx="7">
                  <c:v>12.034848637232221</c:v>
                </c:pt>
                <c:pt idx="8">
                  <c:v>13.357567238103606</c:v>
                </c:pt>
                <c:pt idx="9">
                  <c:v>12.10188495287618</c:v>
                </c:pt>
                <c:pt idx="10">
                  <c:v>14.522459151944291</c:v>
                </c:pt>
                <c:pt idx="11">
                  <c:v>12.974133404893308</c:v>
                </c:pt>
              </c:numCache>
            </c:numRef>
          </c:val>
        </c:ser>
        <c:gapWidth val="219"/>
        <c:overlap val="-27"/>
        <c:axId val="48666112"/>
        <c:axId val="81445248"/>
      </c:barChart>
      <c:catAx>
        <c:axId val="48666112"/>
        <c:scaling>
          <c:orientation val="minMax"/>
        </c:scaling>
        <c:axPos val="b"/>
        <c:title>
          <c:tx>
            <c:rich>
              <a:bodyPr/>
              <a:lstStyle/>
              <a:p>
                <a:pPr>
                  <a:defRPr sz="1000"/>
                </a:pPr>
                <a:r>
                  <a:rPr lang="uk-UA" sz="1000"/>
                  <a:t>Варіанти досліду</a:t>
                </a:r>
              </a:p>
            </c:rich>
          </c:tx>
          <c:layout>
            <c:manualLayout>
              <c:xMode val="edge"/>
              <c:yMode val="edge"/>
              <c:x val="0.80214597629444795"/>
              <c:y val="0.86936936936936937"/>
            </c:manualLayout>
          </c:layout>
        </c:title>
        <c:numFmt formatCode="General" sourceLinked="1"/>
        <c:majorTickMark val="none"/>
        <c:minorTickMark val="in"/>
        <c:tickLblPos val="nextTo"/>
        <c:spPr>
          <a:noFill/>
          <a:ln w="9525" cap="flat" cmpd="sng" algn="ctr">
            <a:solidFill>
              <a:schemeClr val="tx1"/>
            </a:solidFill>
            <a:round/>
          </a:ln>
          <a:effectLst/>
        </c:spPr>
        <c:txPr>
          <a:bodyPr rot="-60000000" vert="horz"/>
          <a:lstStyle/>
          <a:p>
            <a:pPr>
              <a:defRPr/>
            </a:pPr>
            <a:endParaRPr lang="ru-RU"/>
          </a:p>
        </c:txPr>
        <c:crossAx val="81445248"/>
        <c:crosses val="autoZero"/>
        <c:auto val="1"/>
        <c:lblAlgn val="ctr"/>
        <c:lblOffset val="100"/>
      </c:catAx>
      <c:valAx>
        <c:axId val="81445248"/>
        <c:scaling>
          <c:orientation val="minMax"/>
        </c:scaling>
        <c:axPos val="l"/>
        <c:majorGridlines>
          <c:spPr>
            <a:ln w="9525" cap="flat" cmpd="sng" algn="ctr">
              <a:solidFill>
                <a:schemeClr val="tx1">
                  <a:lumMod val="50000"/>
                  <a:lumOff val="50000"/>
                </a:schemeClr>
              </a:solidFill>
              <a:round/>
            </a:ln>
            <a:effectLst/>
          </c:spPr>
        </c:majorGridlines>
        <c:title>
          <c:tx>
            <c:rich>
              <a:bodyPr rot="0" vert="horz"/>
              <a:lstStyle/>
              <a:p>
                <a:pPr>
                  <a:defRPr sz="1000"/>
                </a:pPr>
                <a:r>
                  <a:rPr lang="en-US" sz="1000"/>
                  <a:t>%</a:t>
                </a:r>
              </a:p>
            </c:rich>
          </c:tx>
          <c:layout>
            <c:manualLayout>
              <c:xMode val="edge"/>
              <c:yMode val="edge"/>
              <c:x val="0"/>
              <c:y val="8.4762715471376881E-3"/>
            </c:manualLayout>
          </c:layout>
        </c:title>
        <c:numFmt formatCode="General" sourceLinked="0"/>
        <c:majorTickMark val="none"/>
        <c:tickLblPos val="nextTo"/>
        <c:spPr>
          <a:noFill/>
          <a:ln>
            <a:solidFill>
              <a:schemeClr val="tx1"/>
            </a:solidFill>
          </a:ln>
          <a:effectLst/>
        </c:spPr>
        <c:txPr>
          <a:bodyPr rot="-60000000" vert="horz"/>
          <a:lstStyle/>
          <a:p>
            <a:pPr>
              <a:defRPr/>
            </a:pPr>
            <a:endParaRPr lang="ru-RU"/>
          </a:p>
        </c:txPr>
        <c:crossAx val="48666112"/>
        <c:crosses val="autoZero"/>
        <c:crossBetween val="between"/>
      </c:valAx>
      <c:spPr>
        <a:noFill/>
        <a:ln w="25400">
          <a:noFill/>
        </a:ln>
      </c:spPr>
    </c:plotArea>
    <c:legend>
      <c:legendPos val="b"/>
      <c:layout>
        <c:manualLayout>
          <c:xMode val="edge"/>
          <c:yMode val="edge"/>
          <c:x val="0.21631330434840695"/>
          <c:y val="0.83923742640278076"/>
          <c:w val="0.48694678211586601"/>
          <c:h val="0.15488118039299142"/>
        </c:manualLayout>
      </c:layout>
      <c:spPr>
        <a:noFill/>
        <a:ln w="25400">
          <a:noFill/>
        </a:ln>
      </c:spPr>
      <c:txPr>
        <a:bodyPr rot="0" vert="horz"/>
        <a:lstStyle/>
        <a:p>
          <a:pPr>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b="0">
          <a:latin typeface="Times New Roman" panose="02020603050405020304" pitchFamily="18" charset="0"/>
          <a:cs typeface="Times New Roman" panose="02020603050405020304" pitchFamily="18" charset="0"/>
        </a:defRPr>
      </a:pPr>
      <a:endParaRPr lang="ru-RU"/>
    </a:p>
  </c:txPr>
  <c:externalData r:id="rId2"/>
</c:chartSpace>
</file>

<file path=word/charts/chart20.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529177602799661"/>
          <c:y val="0.11666703120443278"/>
          <c:w val="0.83415266841644797"/>
          <c:h val="0.54119760029996256"/>
        </c:manualLayout>
      </c:layout>
      <c:barChart>
        <c:barDir val="col"/>
        <c:grouping val="clustered"/>
        <c:ser>
          <c:idx val="0"/>
          <c:order val="0"/>
          <c:tx>
            <c:strRef>
              <c:f>'Вода+сухі речовини вегет'!$X$2</c:f>
              <c:strCache>
                <c:ptCount val="1"/>
                <c:pt idx="0">
                  <c:v>Вода</c:v>
                </c:pt>
              </c:strCache>
            </c:strRef>
          </c:tx>
          <c:spPr>
            <a:blipFill dpi="0" rotWithShape="0">
              <a:blip xmlns:r="http://schemas.openxmlformats.org/officeDocument/2006/relationships" r:embed="rId1"/>
              <a:srcRect/>
              <a:tile tx="0" ty="0" sx="100000" sy="100000" flip="none" algn="tl"/>
            </a:blipFill>
            <a:ln w="12700">
              <a:solidFill>
                <a:srgbClr val="000000"/>
              </a:solidFill>
              <a:prstDash val="solid"/>
            </a:ln>
          </c:spPr>
          <c:cat>
            <c:numRef>
              <c:f>'Вода+сухі речовини вегет'!$W$3:$W$14</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'Вода+сухі речовини вегет'!$X$3:$X$14</c:f>
              <c:numCache>
                <c:formatCode>0.0</c:formatCode>
                <c:ptCount val="12"/>
                <c:pt idx="0">
                  <c:v>93.429091583319206</c:v>
                </c:pt>
                <c:pt idx="1">
                  <c:v>93.967532571651716</c:v>
                </c:pt>
                <c:pt idx="2">
                  <c:v>91.810295568855238</c:v>
                </c:pt>
                <c:pt idx="3">
                  <c:v>92.829242115269651</c:v>
                </c:pt>
                <c:pt idx="4">
                  <c:v>93.033354313932094</c:v>
                </c:pt>
                <c:pt idx="5">
                  <c:v>93.822543502596702</c:v>
                </c:pt>
                <c:pt idx="6">
                  <c:v>87.68352999074709</c:v>
                </c:pt>
                <c:pt idx="7">
                  <c:v>89.079164932036477</c:v>
                </c:pt>
                <c:pt idx="8">
                  <c:v>87.732847982198379</c:v>
                </c:pt>
                <c:pt idx="9">
                  <c:v>88.830204750067082</c:v>
                </c:pt>
                <c:pt idx="10">
                  <c:v>86.635038356561836</c:v>
                </c:pt>
                <c:pt idx="11">
                  <c:v>87.949894613225538</c:v>
                </c:pt>
              </c:numCache>
            </c:numRef>
          </c:val>
        </c:ser>
        <c:ser>
          <c:idx val="1"/>
          <c:order val="1"/>
          <c:tx>
            <c:strRef>
              <c:f>'Вода+сухі речовини вегет'!$Y$2</c:f>
              <c:strCache>
                <c:ptCount val="1"/>
                <c:pt idx="0">
                  <c:v>Сухі речовини</c:v>
                </c:pt>
              </c:strCache>
            </c:strRef>
          </c:tx>
          <c:spPr>
            <a:blipFill dpi="0" rotWithShape="0">
              <a:blip xmlns:r="http://schemas.openxmlformats.org/officeDocument/2006/relationships" r:embed="rId2"/>
              <a:srcRect/>
              <a:tile tx="0" ty="0" sx="100000" sy="100000" flip="none" algn="tl"/>
            </a:blipFill>
            <a:ln w="12700">
              <a:solidFill>
                <a:srgbClr val="000000"/>
              </a:solidFill>
              <a:prstDash val="solid"/>
            </a:ln>
          </c:spPr>
          <c:cat>
            <c:numRef>
              <c:f>'Вода+сухі речовини вегет'!$W$3:$W$14</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'Вода+сухі речовини вегет'!$Y$3:$Y$14</c:f>
              <c:numCache>
                <c:formatCode>0.0</c:formatCode>
                <c:ptCount val="12"/>
                <c:pt idx="0">
                  <c:v>6.636339943611258</c:v>
                </c:pt>
                <c:pt idx="1">
                  <c:v>5.9225547670472052</c:v>
                </c:pt>
                <c:pt idx="2">
                  <c:v>7.9695919134539235</c:v>
                </c:pt>
                <c:pt idx="3">
                  <c:v>7.1681902192916622</c:v>
                </c:pt>
                <c:pt idx="4">
                  <c:v>7.0501174281029968</c:v>
                </c:pt>
                <c:pt idx="5">
                  <c:v>6.0999960847264481</c:v>
                </c:pt>
                <c:pt idx="6">
                  <c:v>12.123028084610151</c:v>
                </c:pt>
                <c:pt idx="7">
                  <c:v>10.987569848329358</c:v>
                </c:pt>
                <c:pt idx="8">
                  <c:v>12.260419835716444</c:v>
                </c:pt>
                <c:pt idx="9">
                  <c:v>11.163391456776438</c:v>
                </c:pt>
                <c:pt idx="10">
                  <c:v>13.316207530337383</c:v>
                </c:pt>
                <c:pt idx="11">
                  <c:v>12.003343510260736</c:v>
                </c:pt>
              </c:numCache>
            </c:numRef>
          </c:val>
        </c:ser>
        <c:gapWidth val="219"/>
        <c:overlap val="-27"/>
        <c:axId val="49100288"/>
        <c:axId val="49102208"/>
      </c:barChart>
      <c:catAx>
        <c:axId val="49100288"/>
        <c:scaling>
          <c:orientation val="minMax"/>
        </c:scaling>
        <c:axPos val="b"/>
        <c:title>
          <c:tx>
            <c:rich>
              <a:bodyPr/>
              <a:lstStyle/>
              <a:p>
                <a:pPr>
                  <a:defRPr sz="1000"/>
                </a:pPr>
                <a:r>
                  <a:rPr lang="uk-UA" sz="1000"/>
                  <a:t>Варіанти досліду</a:t>
                </a:r>
              </a:p>
            </c:rich>
          </c:tx>
          <c:layout>
            <c:manualLayout>
              <c:xMode val="edge"/>
              <c:yMode val="edge"/>
              <c:x val="0.80276845744114511"/>
              <c:y val="0.85720959880015002"/>
            </c:manualLayout>
          </c:layout>
        </c:title>
        <c:numFmt formatCode="General" sourceLinked="1"/>
        <c:majorTickMark val="none"/>
        <c:minorTickMark val="in"/>
        <c:tickLblPos val="nextTo"/>
        <c:spPr>
          <a:noFill/>
          <a:ln w="9525" cap="flat" cmpd="sng" algn="ctr">
            <a:solidFill>
              <a:schemeClr val="tx1"/>
            </a:solidFill>
            <a:round/>
          </a:ln>
          <a:effectLst/>
        </c:spPr>
        <c:txPr>
          <a:bodyPr rot="-60000000" vert="horz"/>
          <a:lstStyle/>
          <a:p>
            <a:pPr>
              <a:defRPr/>
            </a:pPr>
            <a:endParaRPr lang="ru-RU"/>
          </a:p>
        </c:txPr>
        <c:crossAx val="49102208"/>
        <c:crosses val="autoZero"/>
        <c:auto val="1"/>
        <c:lblAlgn val="ctr"/>
        <c:lblOffset val="100"/>
      </c:catAx>
      <c:valAx>
        <c:axId val="49102208"/>
        <c:scaling>
          <c:orientation val="minMax"/>
        </c:scaling>
        <c:axPos val="l"/>
        <c:majorGridlines>
          <c:spPr>
            <a:ln w="9525" cap="flat" cmpd="sng" algn="ctr">
              <a:solidFill>
                <a:schemeClr val="tx1">
                  <a:lumMod val="50000"/>
                  <a:lumOff val="50000"/>
                </a:schemeClr>
              </a:solidFill>
              <a:round/>
            </a:ln>
            <a:effectLst/>
          </c:spPr>
        </c:majorGridlines>
        <c:title>
          <c:tx>
            <c:rich>
              <a:bodyPr rot="0" vert="horz"/>
              <a:lstStyle/>
              <a:p>
                <a:pPr>
                  <a:defRPr sz="1000"/>
                </a:pPr>
                <a:r>
                  <a:rPr lang="en-US" sz="1000"/>
                  <a:t>%</a:t>
                </a:r>
              </a:p>
            </c:rich>
          </c:tx>
          <c:layout>
            <c:manualLayout>
              <c:xMode val="edge"/>
              <c:yMode val="edge"/>
              <c:x val="0"/>
              <c:y val="2.3449568803899537E-3"/>
            </c:manualLayout>
          </c:layout>
        </c:title>
        <c:numFmt formatCode="General" sourceLinked="0"/>
        <c:majorTickMark val="none"/>
        <c:tickLblPos val="nextTo"/>
        <c:spPr>
          <a:noFill/>
          <a:ln>
            <a:solidFill>
              <a:schemeClr val="tx1"/>
            </a:solidFill>
          </a:ln>
          <a:effectLst/>
        </c:spPr>
        <c:txPr>
          <a:bodyPr rot="-60000000" vert="horz"/>
          <a:lstStyle/>
          <a:p>
            <a:pPr>
              <a:defRPr/>
            </a:pPr>
            <a:endParaRPr lang="ru-RU"/>
          </a:p>
        </c:txPr>
        <c:crossAx val="49100288"/>
        <c:crosses val="autoZero"/>
        <c:crossBetween val="between"/>
      </c:valAx>
      <c:spPr>
        <a:noFill/>
        <a:ln w="25400">
          <a:noFill/>
        </a:ln>
      </c:spPr>
    </c:plotArea>
    <c:legend>
      <c:legendPos val="b"/>
      <c:layout>
        <c:manualLayout>
          <c:xMode val="edge"/>
          <c:yMode val="edge"/>
          <c:x val="0.21631315959981998"/>
          <c:y val="0.8446434195725534"/>
          <c:w val="0.56737368080035988"/>
          <c:h val="0.15535658042744657"/>
        </c:manualLayout>
      </c:layout>
      <c:spPr>
        <a:noFill/>
        <a:ln w="25400">
          <a:noFill/>
        </a:ln>
      </c:spPr>
      <c:txPr>
        <a:bodyPr rot="0" vert="horz"/>
        <a:lstStyle/>
        <a:p>
          <a:pPr>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b="0" i="0">
          <a:latin typeface="Times New Roman" panose="02020603050405020304" pitchFamily="18" charset="0"/>
          <a:cs typeface="Times New Roman" panose="02020603050405020304" pitchFamily="18" charset="0"/>
        </a:defRPr>
      </a:pPr>
      <a:endParaRPr lang="ru-RU"/>
    </a:p>
  </c:txPr>
  <c:externalData r:id="rId3"/>
</c:chartSpace>
</file>

<file path=word/charts/chart21.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806955380577426"/>
          <c:y val="0.11203740157480309"/>
          <c:w val="0.83137489063867098"/>
          <c:h val="0.54214400576688482"/>
        </c:manualLayout>
      </c:layout>
      <c:barChart>
        <c:barDir val="col"/>
        <c:grouping val="clustered"/>
        <c:ser>
          <c:idx val="0"/>
          <c:order val="0"/>
          <c:tx>
            <c:strRef>
              <c:f>'Вода+сухі речовини вегет'!$X$15</c:f>
              <c:strCache>
                <c:ptCount val="1"/>
                <c:pt idx="0">
                  <c:v>Вода</c:v>
                </c:pt>
              </c:strCache>
            </c:strRef>
          </c:tx>
          <c:spPr>
            <a:blipFill dpi="0" rotWithShape="0">
              <a:blip xmlns:r="http://schemas.openxmlformats.org/officeDocument/2006/relationships" r:embed="rId1"/>
              <a:srcRect/>
              <a:tile tx="0" ty="0" sx="100000" sy="100000" flip="none" algn="tl"/>
            </a:blipFill>
            <a:ln w="12700">
              <a:solidFill>
                <a:srgbClr val="000000"/>
              </a:solidFill>
              <a:prstDash val="solid"/>
            </a:ln>
          </c:spPr>
          <c:cat>
            <c:numRef>
              <c:f>'Вода+сухі речовини вегет'!$W$16:$W$27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'Вода+сухі речовини вегет'!$X$16:$X$27</c:f>
              <c:numCache>
                <c:formatCode>0.0</c:formatCode>
                <c:ptCount val="12"/>
                <c:pt idx="0">
                  <c:v>91.59707724425887</c:v>
                </c:pt>
                <c:pt idx="1">
                  <c:v>92.737041090438765</c:v>
                </c:pt>
                <c:pt idx="2">
                  <c:v>90.888924100776407</c:v>
                </c:pt>
                <c:pt idx="3">
                  <c:v>91.385511217674292</c:v>
                </c:pt>
                <c:pt idx="4">
                  <c:v>91.375061606702815</c:v>
                </c:pt>
                <c:pt idx="5">
                  <c:v>92.142857142857224</c:v>
                </c:pt>
                <c:pt idx="6">
                  <c:v>85.5244507441531</c:v>
                </c:pt>
                <c:pt idx="7">
                  <c:v>87.277565275237023</c:v>
                </c:pt>
                <c:pt idx="8">
                  <c:v>86.143117040630628</c:v>
                </c:pt>
                <c:pt idx="9">
                  <c:v>87.893379191745524</c:v>
                </c:pt>
                <c:pt idx="10">
                  <c:v>85.0589159465829</c:v>
                </c:pt>
                <c:pt idx="11">
                  <c:v>86.995985337755286</c:v>
                </c:pt>
              </c:numCache>
            </c:numRef>
          </c:val>
        </c:ser>
        <c:ser>
          <c:idx val="1"/>
          <c:order val="1"/>
          <c:tx>
            <c:strRef>
              <c:f>'Вода+сухі речовини вегет'!$Y$15</c:f>
              <c:strCache>
                <c:ptCount val="1"/>
                <c:pt idx="0">
                  <c:v>Сухі речовини</c:v>
                </c:pt>
              </c:strCache>
            </c:strRef>
          </c:tx>
          <c:spPr>
            <a:blipFill dpi="0" rotWithShape="0">
              <a:blip xmlns:r="http://schemas.openxmlformats.org/officeDocument/2006/relationships" r:embed="rId2"/>
              <a:srcRect/>
              <a:tile tx="0" ty="0" sx="100000" sy="100000" flip="none" algn="tl"/>
            </a:blipFill>
            <a:ln w="12700">
              <a:solidFill>
                <a:srgbClr val="000000"/>
              </a:solidFill>
              <a:prstDash val="solid"/>
            </a:ln>
          </c:spPr>
          <c:cat>
            <c:numRef>
              <c:f>'Вода+сухі речовини вегет'!$W$16:$W$27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'Вода+сухі речовини вегет'!$Y$16:$Y$27</c:f>
              <c:numCache>
                <c:formatCode>0.0</c:formatCode>
                <c:ptCount val="12"/>
                <c:pt idx="0">
                  <c:v>8.402922755741125</c:v>
                </c:pt>
                <c:pt idx="1">
                  <c:v>7.2629589095612364</c:v>
                </c:pt>
                <c:pt idx="2">
                  <c:v>9.1110758992235947</c:v>
                </c:pt>
                <c:pt idx="3">
                  <c:v>8.6144887823257097</c:v>
                </c:pt>
                <c:pt idx="4">
                  <c:v>8.6249383932971906</c:v>
                </c:pt>
                <c:pt idx="5">
                  <c:v>7.8571428571427777</c:v>
                </c:pt>
                <c:pt idx="6">
                  <c:v>14.4755492558469</c:v>
                </c:pt>
                <c:pt idx="7">
                  <c:v>12.722434724762982</c:v>
                </c:pt>
                <c:pt idx="8">
                  <c:v>13.856882959369376</c:v>
                </c:pt>
                <c:pt idx="9">
                  <c:v>12.106620808254482</c:v>
                </c:pt>
                <c:pt idx="10">
                  <c:v>14.941084053417098</c:v>
                </c:pt>
                <c:pt idx="11">
                  <c:v>13.004014662244719</c:v>
                </c:pt>
              </c:numCache>
            </c:numRef>
          </c:val>
        </c:ser>
        <c:gapWidth val="219"/>
        <c:overlap val="-27"/>
        <c:axId val="62495744"/>
        <c:axId val="113706112"/>
      </c:barChart>
      <c:catAx>
        <c:axId val="62495744"/>
        <c:scaling>
          <c:orientation val="minMax"/>
        </c:scaling>
        <c:axPos val="b"/>
        <c:title>
          <c:tx>
            <c:rich>
              <a:bodyPr/>
              <a:lstStyle/>
              <a:p>
                <a:pPr>
                  <a:defRPr sz="1000"/>
                </a:pPr>
                <a:r>
                  <a:rPr lang="uk-UA" sz="1000"/>
                  <a:t>Варіанти досліду</a:t>
                </a:r>
              </a:p>
            </c:rich>
          </c:tx>
          <c:layout>
            <c:manualLayout>
              <c:xMode val="edge"/>
              <c:yMode val="edge"/>
              <c:x val="0.80214597629444795"/>
              <c:y val="0.8723591549295775"/>
            </c:manualLayout>
          </c:layout>
        </c:title>
        <c:numFmt formatCode="General" sourceLinked="1"/>
        <c:majorTickMark val="none"/>
        <c:minorTickMark val="in"/>
        <c:tickLblPos val="nextTo"/>
        <c:spPr>
          <a:noFill/>
          <a:ln w="9525" cap="flat" cmpd="sng" algn="ctr">
            <a:solidFill>
              <a:schemeClr val="tx1"/>
            </a:solidFill>
            <a:round/>
          </a:ln>
          <a:effectLst/>
        </c:spPr>
        <c:txPr>
          <a:bodyPr rot="-60000000" vert="horz"/>
          <a:lstStyle/>
          <a:p>
            <a:pPr>
              <a:defRPr/>
            </a:pPr>
            <a:endParaRPr lang="ru-RU"/>
          </a:p>
        </c:txPr>
        <c:crossAx val="113706112"/>
        <c:crosses val="autoZero"/>
        <c:auto val="1"/>
        <c:lblAlgn val="ctr"/>
        <c:lblOffset val="100"/>
      </c:catAx>
      <c:valAx>
        <c:axId val="113706112"/>
        <c:scaling>
          <c:orientation val="minMax"/>
        </c:scaling>
        <c:axPos val="l"/>
        <c:majorGridlines>
          <c:spPr>
            <a:ln w="9525" cap="flat" cmpd="sng" algn="ctr">
              <a:solidFill>
                <a:schemeClr val="tx1">
                  <a:lumMod val="50000"/>
                  <a:lumOff val="50000"/>
                </a:schemeClr>
              </a:solidFill>
              <a:round/>
            </a:ln>
            <a:effectLst/>
          </c:spPr>
        </c:majorGridlines>
        <c:title>
          <c:tx>
            <c:rich>
              <a:bodyPr rot="0" vert="horz"/>
              <a:lstStyle/>
              <a:p>
                <a:pPr>
                  <a:defRPr sz="1000"/>
                </a:pPr>
                <a:r>
                  <a:rPr lang="en-US" sz="1000"/>
                  <a:t>%</a:t>
                </a:r>
              </a:p>
            </c:rich>
          </c:tx>
          <c:layout>
            <c:manualLayout>
              <c:xMode val="edge"/>
              <c:yMode val="edge"/>
              <c:x val="0"/>
              <c:y val="9.1077963846068353E-4"/>
            </c:manualLayout>
          </c:layout>
        </c:title>
        <c:numFmt formatCode="General" sourceLinked="0"/>
        <c:majorTickMark val="none"/>
        <c:minorTickMark val="in"/>
        <c:tickLblPos val="nextTo"/>
        <c:spPr>
          <a:noFill/>
          <a:ln>
            <a:solidFill>
              <a:schemeClr val="tx1"/>
            </a:solidFill>
          </a:ln>
          <a:effectLst/>
        </c:spPr>
        <c:txPr>
          <a:bodyPr rot="-60000000" vert="horz"/>
          <a:lstStyle/>
          <a:p>
            <a:pPr>
              <a:defRPr/>
            </a:pPr>
            <a:endParaRPr lang="ru-RU"/>
          </a:p>
        </c:txPr>
        <c:crossAx val="62495744"/>
        <c:crosses val="autoZero"/>
        <c:crossBetween val="between"/>
        <c:majorUnit val="50"/>
        <c:minorUnit val="20"/>
      </c:valAx>
      <c:spPr>
        <a:noFill/>
        <a:ln w="25400">
          <a:noFill/>
        </a:ln>
      </c:spPr>
    </c:plotArea>
    <c:legend>
      <c:legendPos val="b"/>
      <c:layout>
        <c:manualLayout>
          <c:xMode val="edge"/>
          <c:yMode val="edge"/>
          <c:x val="0.31079914137370385"/>
          <c:y val="0.83136367417101031"/>
          <c:w val="0.36842043216213693"/>
          <c:h val="0.16863632582898969"/>
        </c:manualLayout>
      </c:layout>
      <c:spPr>
        <a:noFill/>
        <a:ln w="25400">
          <a:noFill/>
        </a:ln>
      </c:spPr>
      <c:txPr>
        <a:bodyPr rot="0" vert="horz"/>
        <a:lstStyle/>
        <a:p>
          <a:pPr>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b="0">
          <a:latin typeface="Times New Roman" panose="02020603050405020304" pitchFamily="18" charset="0"/>
          <a:cs typeface="Times New Roman" panose="02020603050405020304" pitchFamily="18" charset="0"/>
        </a:defRPr>
      </a:pPr>
      <a:endParaRPr lang="ru-RU"/>
    </a:p>
  </c:txPr>
  <c:externalData r:id="rId3"/>
</c:chartSpace>
</file>

<file path=word/charts/chart22.xml><?xml version="1.0" encoding="utf-8"?>
<c:chartSpace xmlns:c="http://schemas.openxmlformats.org/drawingml/2006/chart" xmlns:a="http://schemas.openxmlformats.org/drawingml/2006/main" xmlns:r="http://schemas.openxmlformats.org/officeDocument/2006/relationships">
  <c:lang val="ru-RU"/>
  <c:chart>
    <c:plotArea>
      <c:layout>
        <c:manualLayout>
          <c:layoutTarget val="inner"/>
          <c:xMode val="edge"/>
          <c:yMode val="edge"/>
          <c:x val="9.0444851051581995E-2"/>
          <c:y val="0.10071774611136397"/>
          <c:w val="0.87910725519623367"/>
          <c:h val="0.63133279648258411"/>
        </c:manualLayout>
      </c:layout>
      <c:barChart>
        <c:barDir val="col"/>
        <c:grouping val="clustered"/>
        <c:ser>
          <c:idx val="0"/>
          <c:order val="0"/>
          <c:tx>
            <c:strRef>
              <c:f>Легкозатр.вода!$B$1</c:f>
              <c:strCache>
                <c:ptCount val="1"/>
                <c:pt idx="0">
                  <c:v>Добриня</c:v>
                </c:pt>
              </c:strCache>
            </c:strRef>
          </c:tx>
          <c:spPr>
            <a:solidFill>
              <a:schemeClr val="tx1"/>
            </a:solidFill>
            <a:ln w="12700" cap="rnd">
              <a:solidFill>
                <a:schemeClr val="tx1"/>
              </a:solidFill>
              <a:round/>
            </a:ln>
            <a:effectLst/>
          </c:spPr>
          <c:cat>
            <c:numRef>
              <c:f>Легкозатр.вода!$A$2:$A$13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Легкозатр.вода!$B$2:$B$13</c:f>
              <c:numCache>
                <c:formatCode>0.0</c:formatCode>
                <c:ptCount val="12"/>
                <c:pt idx="0">
                  <c:v>42.436384929589522</c:v>
                </c:pt>
                <c:pt idx="1">
                  <c:v>41.813120000000026</c:v>
                </c:pt>
                <c:pt idx="2">
                  <c:v>42.267705529095103</c:v>
                </c:pt>
                <c:pt idx="3">
                  <c:v>42.374405876422244</c:v>
                </c:pt>
                <c:pt idx="4">
                  <c:v>41.866260041654229</c:v>
                </c:pt>
                <c:pt idx="5">
                  <c:v>42.762032456424286</c:v>
                </c:pt>
                <c:pt idx="6">
                  <c:v>38.229130282920117</c:v>
                </c:pt>
                <c:pt idx="7">
                  <c:v>38.078192074360501</c:v>
                </c:pt>
                <c:pt idx="8">
                  <c:v>37.897615060345295</c:v>
                </c:pt>
                <c:pt idx="9">
                  <c:v>36.145385320454139</c:v>
                </c:pt>
                <c:pt idx="10">
                  <c:v>38.757188588911902</c:v>
                </c:pt>
                <c:pt idx="11">
                  <c:v>38.519835342974865</c:v>
                </c:pt>
              </c:numCache>
            </c:numRef>
          </c:val>
          <c:extLst xmlns:c16r2="http://schemas.microsoft.com/office/drawing/2015/06/chart">
            <c:ext xmlns:c16="http://schemas.microsoft.com/office/drawing/2014/chart" uri="{C3380CC4-5D6E-409C-BE32-E72D297353CC}">
              <c16:uniqueId val="{00000000-C61C-44CF-8DD2-71CC3B25CF5F}"/>
            </c:ext>
          </c:extLst>
        </c:ser>
        <c:ser>
          <c:idx val="1"/>
          <c:order val="1"/>
          <c:tx>
            <c:strRef>
              <c:f>Легкозатр.вода!$C$1</c:f>
              <c:strCache>
                <c:ptCount val="1"/>
                <c:pt idx="0">
                  <c:v>Гарант</c:v>
                </c:pt>
              </c:strCache>
            </c:strRef>
          </c:tx>
          <c:spPr>
            <a:solidFill>
              <a:schemeClr val="bg1"/>
            </a:solidFill>
            <a:ln w="12700" cap="rnd">
              <a:solidFill>
                <a:schemeClr val="tx1"/>
              </a:solidFill>
              <a:round/>
            </a:ln>
            <a:effectLst/>
          </c:spPr>
          <c:cat>
            <c:numRef>
              <c:f>Легкозатр.вода!$A$2:$A$13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Легкозатр.вода!$C$2:$C$13</c:f>
              <c:numCache>
                <c:formatCode>0.0</c:formatCode>
                <c:ptCount val="12"/>
                <c:pt idx="0">
                  <c:v>44.977338543853428</c:v>
                </c:pt>
                <c:pt idx="1">
                  <c:v>44.412551440329302</c:v>
                </c:pt>
                <c:pt idx="2">
                  <c:v>45.389988863659283</c:v>
                </c:pt>
                <c:pt idx="3">
                  <c:v>45.184170747147938</c:v>
                </c:pt>
                <c:pt idx="4">
                  <c:v>45.141125020246641</c:v>
                </c:pt>
                <c:pt idx="5">
                  <c:v>45.395689581736015</c:v>
                </c:pt>
                <c:pt idx="6">
                  <c:v>42.517414018284704</c:v>
                </c:pt>
                <c:pt idx="7">
                  <c:v>40.821432163330954</c:v>
                </c:pt>
                <c:pt idx="8">
                  <c:v>40.631692236730863</c:v>
                </c:pt>
                <c:pt idx="9">
                  <c:v>39.998375040624055</c:v>
                </c:pt>
                <c:pt idx="10">
                  <c:v>42.014976649935406</c:v>
                </c:pt>
                <c:pt idx="11">
                  <c:v>41.704651247143545</c:v>
                </c:pt>
              </c:numCache>
            </c:numRef>
          </c:val>
          <c:extLst xmlns:c16r2="http://schemas.microsoft.com/office/drawing/2015/06/chart">
            <c:ext xmlns:c16="http://schemas.microsoft.com/office/drawing/2014/chart" uri="{C3380CC4-5D6E-409C-BE32-E72D297353CC}">
              <c16:uniqueId val="{00000001-C61C-44CF-8DD2-71CC3B25CF5F}"/>
            </c:ext>
          </c:extLst>
        </c:ser>
        <c:ser>
          <c:idx val="2"/>
          <c:order val="2"/>
          <c:tx>
            <c:strRef>
              <c:f>Легкозатр.вода!$D$1</c:f>
              <c:strCache>
                <c:ptCount val="1"/>
                <c:pt idx="0">
                  <c:v>Ярило</c:v>
                </c:pt>
              </c:strCache>
            </c:strRef>
          </c:tx>
          <c:spPr>
            <a:solidFill>
              <a:schemeClr val="bg2">
                <a:lumMod val="75000"/>
              </a:schemeClr>
            </a:solidFill>
            <a:ln w="12700" cap="rnd">
              <a:solidFill>
                <a:schemeClr val="tx1"/>
              </a:solidFill>
              <a:round/>
            </a:ln>
            <a:effectLst/>
          </c:spPr>
          <c:cat>
            <c:numRef>
              <c:f>Легкозатр.вода!$A$2:$A$13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Легкозатр.вода!$D$2:$D$13</c:f>
              <c:numCache>
                <c:formatCode>0.0</c:formatCode>
                <c:ptCount val="12"/>
                <c:pt idx="0">
                  <c:v>40.374819342763026</c:v>
                </c:pt>
                <c:pt idx="1">
                  <c:v>40.117093489663588</c:v>
                </c:pt>
                <c:pt idx="2">
                  <c:v>39.812079695919095</c:v>
                </c:pt>
                <c:pt idx="3">
                  <c:v>40.366651680903146</c:v>
                </c:pt>
                <c:pt idx="4">
                  <c:v>39.460273851198608</c:v>
                </c:pt>
                <c:pt idx="5">
                  <c:v>40.565365490779563</c:v>
                </c:pt>
                <c:pt idx="6">
                  <c:v>36.617730810605615</c:v>
                </c:pt>
                <c:pt idx="7">
                  <c:v>35.900900900900936</c:v>
                </c:pt>
                <c:pt idx="8">
                  <c:v>36.669708954467112</c:v>
                </c:pt>
                <c:pt idx="9">
                  <c:v>35.049358796937042</c:v>
                </c:pt>
                <c:pt idx="10">
                  <c:v>35.478358072594865</c:v>
                </c:pt>
                <c:pt idx="11">
                  <c:v>35.635654766455161</c:v>
                </c:pt>
              </c:numCache>
            </c:numRef>
          </c:val>
          <c:extLst xmlns:c16r2="http://schemas.microsoft.com/office/drawing/2015/06/chart">
            <c:ext xmlns:c16="http://schemas.microsoft.com/office/drawing/2014/chart" uri="{C3380CC4-5D6E-409C-BE32-E72D297353CC}">
              <c16:uniqueId val="{00000002-C61C-44CF-8DD2-71CC3B25CF5F}"/>
            </c:ext>
          </c:extLst>
        </c:ser>
        <c:ser>
          <c:idx val="3"/>
          <c:order val="3"/>
          <c:tx>
            <c:strRef>
              <c:f>Легкозатр.вода!$E$1</c:f>
              <c:strCache>
                <c:ptCount val="1"/>
                <c:pt idx="0">
                  <c:v>Загрей</c:v>
                </c:pt>
              </c:strCache>
            </c:strRef>
          </c:tx>
          <c:spPr>
            <a:pattFill prst="dkDnDiag">
              <a:fgClr>
                <a:schemeClr val="tx1"/>
              </a:fgClr>
              <a:bgClr>
                <a:schemeClr val="bg1"/>
              </a:bgClr>
            </a:pattFill>
            <a:ln w="12700" cap="rnd">
              <a:solidFill>
                <a:schemeClr val="tx1"/>
              </a:solidFill>
              <a:round/>
            </a:ln>
            <a:effectLst/>
          </c:spPr>
          <c:cat>
            <c:numRef>
              <c:f>Легкозатр.вода!$A$2:$A$13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Легкозатр.вода!$E$2:$E$13</c:f>
              <c:numCache>
                <c:formatCode>0.0</c:formatCode>
                <c:ptCount val="12"/>
                <c:pt idx="0">
                  <c:v>41.771050800278381</c:v>
                </c:pt>
                <c:pt idx="1">
                  <c:v>41.369018008158413</c:v>
                </c:pt>
                <c:pt idx="2">
                  <c:v>42.560608461416486</c:v>
                </c:pt>
                <c:pt idx="3">
                  <c:v>42.306114060626797</c:v>
                </c:pt>
                <c:pt idx="4">
                  <c:v>42.122556267455288</c:v>
                </c:pt>
                <c:pt idx="5">
                  <c:v>41.634920634920611</c:v>
                </c:pt>
                <c:pt idx="6">
                  <c:v>39.138908575478361</c:v>
                </c:pt>
                <c:pt idx="7">
                  <c:v>38.300349243306144</c:v>
                </c:pt>
                <c:pt idx="8">
                  <c:v>38.659793814432987</c:v>
                </c:pt>
                <c:pt idx="9">
                  <c:v>38.64144453998275</c:v>
                </c:pt>
                <c:pt idx="10">
                  <c:v>39.277297721916668</c:v>
                </c:pt>
                <c:pt idx="11">
                  <c:v>39.134229359399484</c:v>
                </c:pt>
              </c:numCache>
            </c:numRef>
          </c:val>
          <c:extLst xmlns:c16r2="http://schemas.microsoft.com/office/drawing/2015/06/chart">
            <c:ext xmlns:c16="http://schemas.microsoft.com/office/drawing/2014/chart" uri="{C3380CC4-5D6E-409C-BE32-E72D297353CC}">
              <c16:uniqueId val="{00000003-C61C-44CF-8DD2-71CC3B25CF5F}"/>
            </c:ext>
          </c:extLst>
        </c:ser>
        <c:dLbls/>
        <c:axId val="85216640"/>
        <c:axId val="85231104"/>
      </c:barChart>
      <c:catAx>
        <c:axId val="85216640"/>
        <c:scaling>
          <c:orientation val="minMax"/>
        </c:scaling>
        <c:axPos val="b"/>
        <c:title>
          <c:tx>
            <c:rich>
              <a:bodyPr rot="0" vert="horz"/>
              <a:lstStyle/>
              <a:p>
                <a:pPr>
                  <a:defRPr sz="1000" b="0"/>
                </a:pPr>
                <a:r>
                  <a:rPr lang="uk-UA" sz="1000" b="0"/>
                  <a:t>Варіанти досліду</a:t>
                </a:r>
              </a:p>
            </c:rich>
          </c:tx>
          <c:layout>
            <c:manualLayout>
              <c:xMode val="edge"/>
              <c:yMode val="edge"/>
              <c:x val="0.82963111122363742"/>
              <c:y val="0.83353183002662301"/>
            </c:manualLayout>
          </c:layout>
          <c:spPr>
            <a:noFill/>
            <a:ln w="25400">
              <a:noFill/>
            </a:ln>
          </c:spPr>
        </c:title>
        <c:numFmt formatCode="General" sourceLinked="1"/>
        <c:majorTickMark val="in"/>
        <c:tickLblPos val="nextTo"/>
        <c:spPr>
          <a:noFill/>
          <a:ln w="9525" cap="flat" cmpd="sng" algn="ctr">
            <a:solidFill>
              <a:schemeClr val="tx1"/>
            </a:solidFill>
            <a:round/>
          </a:ln>
          <a:effectLst/>
        </c:spPr>
        <c:txPr>
          <a:bodyPr rot="-60000000" vert="horz"/>
          <a:lstStyle/>
          <a:p>
            <a:pPr>
              <a:defRPr/>
            </a:pPr>
            <a:endParaRPr lang="ru-RU"/>
          </a:p>
        </c:txPr>
        <c:crossAx val="85231104"/>
        <c:crosses val="autoZero"/>
        <c:auto val="1"/>
        <c:lblAlgn val="ctr"/>
        <c:lblOffset val="100"/>
      </c:catAx>
      <c:valAx>
        <c:axId val="85231104"/>
        <c:scaling>
          <c:orientation val="minMax"/>
          <c:max val="50"/>
        </c:scaling>
        <c:axPos val="l"/>
        <c:majorGridlines>
          <c:spPr>
            <a:ln w="9525" cap="flat" cmpd="sng" algn="ctr">
              <a:solidFill>
                <a:schemeClr val="tx1">
                  <a:lumMod val="15000"/>
                  <a:lumOff val="85000"/>
                </a:schemeClr>
              </a:solidFill>
              <a:round/>
            </a:ln>
            <a:effectLst/>
          </c:spPr>
        </c:majorGridlines>
        <c:title>
          <c:tx>
            <c:rich>
              <a:bodyPr rot="0" vert="horz"/>
              <a:lstStyle/>
              <a:p>
                <a:pPr>
                  <a:defRPr sz="1000" b="0"/>
                </a:pPr>
                <a:r>
                  <a:rPr lang="uk-UA" sz="1000" b="0"/>
                  <a:t>%</a:t>
                </a:r>
              </a:p>
            </c:rich>
          </c:tx>
          <c:layout>
            <c:manualLayout>
              <c:xMode val="edge"/>
              <c:yMode val="edge"/>
              <c:x val="1.8265995439094703E-3"/>
              <c:y val="6.0336142192752218E-3"/>
            </c:manualLayout>
          </c:layout>
          <c:spPr>
            <a:noFill/>
            <a:ln w="25400">
              <a:noFill/>
            </a:ln>
          </c:spPr>
        </c:title>
        <c:numFmt formatCode="General" sourceLinked="0"/>
        <c:majorTickMark val="in"/>
        <c:tickLblPos val="nextTo"/>
        <c:spPr>
          <a:noFill/>
          <a:ln>
            <a:solidFill>
              <a:schemeClr val="tx1"/>
            </a:solidFill>
          </a:ln>
          <a:effectLst/>
        </c:spPr>
        <c:txPr>
          <a:bodyPr rot="-60000000" vert="horz"/>
          <a:lstStyle/>
          <a:p>
            <a:pPr>
              <a:defRPr/>
            </a:pPr>
            <a:endParaRPr lang="ru-RU"/>
          </a:p>
        </c:txPr>
        <c:crossAx val="85216640"/>
        <c:crosses val="autoZero"/>
        <c:crossBetween val="between"/>
      </c:valAx>
      <c:spPr>
        <a:noFill/>
        <a:ln w="25400">
          <a:noFill/>
        </a:ln>
      </c:spPr>
    </c:plotArea>
    <c:legend>
      <c:legendPos val="b"/>
      <c:layout>
        <c:manualLayout>
          <c:xMode val="edge"/>
          <c:yMode val="edge"/>
          <c:x val="1.1743040316681747E-3"/>
          <c:y val="0.91130966523921353"/>
          <c:w val="0.99882569596833182"/>
          <c:h val="8.8690334760786693E-2"/>
        </c:manualLayout>
      </c:layout>
      <c:spPr>
        <a:noFill/>
        <a:ln w="25400">
          <a:noFill/>
        </a:ln>
      </c:spPr>
      <c:txPr>
        <a:bodyPr rot="0" vert="horz"/>
        <a:lstStyle/>
        <a:p>
          <a:pPr>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23.xml><?xml version="1.0" encoding="utf-8"?>
<c:chartSpace xmlns:c="http://schemas.openxmlformats.org/drawingml/2006/chart" xmlns:a="http://schemas.openxmlformats.org/drawingml/2006/main" xmlns:r="http://schemas.openxmlformats.org/officeDocument/2006/relationships">
  <c:lang val="ru-RU"/>
  <c:chart>
    <c:plotArea>
      <c:layout>
        <c:manualLayout>
          <c:layoutTarget val="inner"/>
          <c:xMode val="edge"/>
          <c:yMode val="edge"/>
          <c:x val="0.11368287599669052"/>
          <c:y val="6.283725172651293E-2"/>
          <c:w val="0.86102426700523893"/>
          <c:h val="0.54380147469341522"/>
        </c:manualLayout>
      </c:layout>
      <c:lineChart>
        <c:grouping val="standard"/>
        <c:ser>
          <c:idx val="0"/>
          <c:order val="0"/>
          <c:tx>
            <c:strRef>
              <c:f>'Водозатр.вода+ІТ'!$V$5</c:f>
              <c:strCache>
                <c:ptCount val="1"/>
                <c:pt idx="0">
                  <c:v>5 хв.</c:v>
                </c:pt>
              </c:strCache>
            </c:strRef>
          </c:tx>
          <c:spPr>
            <a:ln>
              <a:solidFill>
                <a:schemeClr val="tx1"/>
              </a:solidFill>
            </a:ln>
          </c:spPr>
          <c:marker>
            <c:symbol val="diamond"/>
            <c:size val="5"/>
            <c:spPr>
              <a:solidFill>
                <a:schemeClr val="tx1"/>
              </a:solidFill>
              <a:ln>
                <a:solidFill>
                  <a:schemeClr val="tx1"/>
                </a:solidFill>
              </a:ln>
            </c:spPr>
          </c:marker>
          <c:cat>
            <c:numRef>
              <c:f>'Водозатр.вода+ІТ'!$U$6:$U$17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'Водозатр.вода+ІТ'!$V$6:$V$17</c:f>
              <c:numCache>
                <c:formatCode>0.000</c:formatCode>
                <c:ptCount val="12"/>
                <c:pt idx="0">
                  <c:v>8.5333333333333303E-3</c:v>
                </c:pt>
                <c:pt idx="1">
                  <c:v>6.5866666666667311E-3</c:v>
                </c:pt>
                <c:pt idx="2">
                  <c:v>7.2866666666666965E-3</c:v>
                </c:pt>
                <c:pt idx="3">
                  <c:v>5.7333333333333507E-3</c:v>
                </c:pt>
                <c:pt idx="4">
                  <c:v>5.5499666666666003E-3</c:v>
                </c:pt>
                <c:pt idx="5">
                  <c:v>4.5666666666666434E-3</c:v>
                </c:pt>
                <c:pt idx="6">
                  <c:v>4.0666666666668337E-3</c:v>
                </c:pt>
                <c:pt idx="7">
                  <c:v>3.36485444444533E-3</c:v>
                </c:pt>
                <c:pt idx="8">
                  <c:v>3.6596099999999872E-3</c:v>
                </c:pt>
                <c:pt idx="9">
                  <c:v>3.0466666666666697E-3</c:v>
                </c:pt>
                <c:pt idx="10">
                  <c:v>3.5555555555554117E-3</c:v>
                </c:pt>
                <c:pt idx="11">
                  <c:v>3.1066643333333352E-3</c:v>
                </c:pt>
              </c:numCache>
            </c:numRef>
          </c:val>
          <c:extLst xmlns:c16r2="http://schemas.microsoft.com/office/drawing/2015/06/chart">
            <c:ext xmlns:c16="http://schemas.microsoft.com/office/drawing/2014/chart" uri="{C3380CC4-5D6E-409C-BE32-E72D297353CC}">
              <c16:uniqueId val="{00000000-12A3-4B78-839C-7849F261F0DC}"/>
            </c:ext>
          </c:extLst>
        </c:ser>
        <c:ser>
          <c:idx val="1"/>
          <c:order val="1"/>
          <c:tx>
            <c:strRef>
              <c:f>'Водозатр.вода+ІТ'!$W$5</c:f>
              <c:strCache>
                <c:ptCount val="1"/>
                <c:pt idx="0">
                  <c:v>10 хв.</c:v>
                </c:pt>
              </c:strCache>
            </c:strRef>
          </c:tx>
          <c:spPr>
            <a:ln>
              <a:solidFill>
                <a:schemeClr val="tx1"/>
              </a:solidFill>
            </a:ln>
          </c:spPr>
          <c:marker>
            <c:symbol val="square"/>
            <c:size val="5"/>
            <c:spPr>
              <a:solidFill>
                <a:schemeClr val="tx1"/>
              </a:solidFill>
              <a:ln>
                <a:solidFill>
                  <a:schemeClr val="tx1"/>
                </a:solidFill>
              </a:ln>
            </c:spPr>
          </c:marker>
          <c:cat>
            <c:numRef>
              <c:f>'Водозатр.вода+ІТ'!$U$6:$U$17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'Водозатр.вода+ІТ'!$W$6:$W$17</c:f>
              <c:numCache>
                <c:formatCode>0.000</c:formatCode>
                <c:ptCount val="12"/>
                <c:pt idx="0">
                  <c:v>1.5483333319013354E-2</c:v>
                </c:pt>
                <c:pt idx="1">
                  <c:v>9.4499999999999792E-3</c:v>
                </c:pt>
                <c:pt idx="2">
                  <c:v>1.8576666666666731E-2</c:v>
                </c:pt>
                <c:pt idx="3">
                  <c:v>1.4303333333333291E-2</c:v>
                </c:pt>
                <c:pt idx="4">
                  <c:v>1.6499999666666716E-2</c:v>
                </c:pt>
                <c:pt idx="5">
                  <c:v>9.2388366400000047E-3</c:v>
                </c:pt>
                <c:pt idx="6">
                  <c:v>8.3150000000000186E-3</c:v>
                </c:pt>
                <c:pt idx="7">
                  <c:v>7.4018333226666755E-3</c:v>
                </c:pt>
                <c:pt idx="8">
                  <c:v>9.7333333333333282E-3</c:v>
                </c:pt>
                <c:pt idx="9">
                  <c:v>4.1533333333333344E-3</c:v>
                </c:pt>
                <c:pt idx="10">
                  <c:v>9.7778444444333347E-3</c:v>
                </c:pt>
                <c:pt idx="11">
                  <c:v>5.634066333333341E-3</c:v>
                </c:pt>
              </c:numCache>
            </c:numRef>
          </c:val>
          <c:extLst xmlns:c16r2="http://schemas.microsoft.com/office/drawing/2015/06/chart">
            <c:ext xmlns:c16="http://schemas.microsoft.com/office/drawing/2014/chart" uri="{C3380CC4-5D6E-409C-BE32-E72D297353CC}">
              <c16:uniqueId val="{00000001-12A3-4B78-839C-7849F261F0DC}"/>
            </c:ext>
          </c:extLst>
        </c:ser>
        <c:ser>
          <c:idx val="2"/>
          <c:order val="2"/>
          <c:tx>
            <c:strRef>
              <c:f>'Водозатр.вода+ІТ'!$X$5</c:f>
              <c:strCache>
                <c:ptCount val="1"/>
                <c:pt idx="0">
                  <c:v>15 хв.</c:v>
                </c:pt>
              </c:strCache>
            </c:strRef>
          </c:tx>
          <c:spPr>
            <a:ln>
              <a:solidFill>
                <a:schemeClr val="tx1"/>
              </a:solidFill>
            </a:ln>
          </c:spPr>
          <c:marker>
            <c:symbol val="triangle"/>
            <c:size val="5"/>
            <c:spPr>
              <a:solidFill>
                <a:schemeClr val="tx1"/>
              </a:solidFill>
              <a:ln>
                <a:solidFill>
                  <a:schemeClr val="tx1"/>
                </a:solidFill>
              </a:ln>
            </c:spPr>
          </c:marker>
          <c:cat>
            <c:numRef>
              <c:f>'Водозатр.вода+ІТ'!$U$6:$U$17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'Водозатр.вода+ІТ'!$X$6:$X$17</c:f>
              <c:numCache>
                <c:formatCode>0.000</c:formatCode>
                <c:ptCount val="12"/>
                <c:pt idx="0">
                  <c:v>2.3939530000000001E-2</c:v>
                </c:pt>
                <c:pt idx="1">
                  <c:v>1.14999999333333E-2</c:v>
                </c:pt>
                <c:pt idx="2">
                  <c:v>1.8033333333366767E-2</c:v>
                </c:pt>
                <c:pt idx="3">
                  <c:v>1.9216666666666663E-2</c:v>
                </c:pt>
                <c:pt idx="4">
                  <c:v>2.1783333333333352E-2</c:v>
                </c:pt>
                <c:pt idx="5">
                  <c:v>1.2283333333333001E-2</c:v>
                </c:pt>
                <c:pt idx="6">
                  <c:v>1.5208333333333365E-2</c:v>
                </c:pt>
                <c:pt idx="7">
                  <c:v>1.0522222222222141E-2</c:v>
                </c:pt>
                <c:pt idx="8">
                  <c:v>1.1433333333299997E-2</c:v>
                </c:pt>
                <c:pt idx="9">
                  <c:v>8.5166666666633452E-3</c:v>
                </c:pt>
                <c:pt idx="10">
                  <c:v>1.2900833333333386E-2</c:v>
                </c:pt>
                <c:pt idx="11">
                  <c:v>9.5565000000000112E-3</c:v>
                </c:pt>
              </c:numCache>
            </c:numRef>
          </c:val>
          <c:extLst xmlns:c16r2="http://schemas.microsoft.com/office/drawing/2015/06/chart">
            <c:ext xmlns:c16="http://schemas.microsoft.com/office/drawing/2014/chart" uri="{C3380CC4-5D6E-409C-BE32-E72D297353CC}">
              <c16:uniqueId val="{00000002-12A3-4B78-839C-7849F261F0DC}"/>
            </c:ext>
          </c:extLst>
        </c:ser>
        <c:ser>
          <c:idx val="3"/>
          <c:order val="3"/>
          <c:tx>
            <c:strRef>
              <c:f>'Водозатр.вода+ІТ'!$Y$5</c:f>
              <c:strCache>
                <c:ptCount val="1"/>
                <c:pt idx="0">
                  <c:v>20 хв.</c:v>
                </c:pt>
              </c:strCache>
            </c:strRef>
          </c:tx>
          <c:spPr>
            <a:ln>
              <a:solidFill>
                <a:schemeClr val="tx1"/>
              </a:solidFill>
            </a:ln>
          </c:spPr>
          <c:marker>
            <c:symbol val="x"/>
            <c:size val="5"/>
            <c:spPr>
              <a:solidFill>
                <a:schemeClr val="bg1"/>
              </a:solidFill>
              <a:ln>
                <a:solidFill>
                  <a:schemeClr val="tx1"/>
                </a:solidFill>
              </a:ln>
            </c:spPr>
          </c:marker>
          <c:cat>
            <c:numRef>
              <c:f>'Водозатр.вода+ІТ'!$U$6:$U$17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'Водозатр.вода+ІТ'!$Y$6:$Y$17</c:f>
              <c:numCache>
                <c:formatCode>0.000</c:formatCode>
                <c:ptCount val="12"/>
                <c:pt idx="0">
                  <c:v>3.7316666666666519E-2</c:v>
                </c:pt>
                <c:pt idx="1">
                  <c:v>2.8299999999999999E-2</c:v>
                </c:pt>
                <c:pt idx="2">
                  <c:v>3.8111143333333673E-2</c:v>
                </c:pt>
                <c:pt idx="3">
                  <c:v>3.552333333333331E-2</c:v>
                </c:pt>
                <c:pt idx="4">
                  <c:v>4.1950166666666656E-2</c:v>
                </c:pt>
                <c:pt idx="5">
                  <c:v>2.6830000000000378E-2</c:v>
                </c:pt>
                <c:pt idx="6">
                  <c:v>3.4416666666666998E-2</c:v>
                </c:pt>
                <c:pt idx="7">
                  <c:v>1.9546111111111195E-2</c:v>
                </c:pt>
                <c:pt idx="8">
                  <c:v>2.6666666666666641E-2</c:v>
                </c:pt>
                <c:pt idx="9">
                  <c:v>1.6233333333333343E-2</c:v>
                </c:pt>
                <c:pt idx="10">
                  <c:v>1.7855555555555385E-2</c:v>
                </c:pt>
                <c:pt idx="11">
                  <c:v>1.8670000000000003E-2</c:v>
                </c:pt>
              </c:numCache>
            </c:numRef>
          </c:val>
          <c:extLst xmlns:c16r2="http://schemas.microsoft.com/office/drawing/2015/06/chart">
            <c:ext xmlns:c16="http://schemas.microsoft.com/office/drawing/2014/chart" uri="{C3380CC4-5D6E-409C-BE32-E72D297353CC}">
              <c16:uniqueId val="{00000003-12A3-4B78-839C-7849F261F0DC}"/>
            </c:ext>
          </c:extLst>
        </c:ser>
        <c:ser>
          <c:idx val="4"/>
          <c:order val="4"/>
          <c:tx>
            <c:strRef>
              <c:f>'Водозатр.вода+ІТ'!$Z$5</c:f>
              <c:strCache>
                <c:ptCount val="1"/>
                <c:pt idx="0">
                  <c:v>30 хв.</c:v>
                </c:pt>
              </c:strCache>
            </c:strRef>
          </c:tx>
          <c:spPr>
            <a:ln>
              <a:solidFill>
                <a:schemeClr val="tx1"/>
              </a:solidFill>
            </a:ln>
          </c:spPr>
          <c:marker>
            <c:symbol val="star"/>
            <c:size val="5"/>
            <c:spPr>
              <a:solidFill>
                <a:schemeClr val="bg1"/>
              </a:solidFill>
              <a:ln>
                <a:solidFill>
                  <a:schemeClr val="tx1"/>
                </a:solidFill>
              </a:ln>
            </c:spPr>
          </c:marker>
          <c:cat>
            <c:numRef>
              <c:f>'Водозатр.вода+ІТ'!$U$6:$U$17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'Водозатр.вода+ІТ'!$Z$6:$Z$17</c:f>
              <c:numCache>
                <c:formatCode>0.000</c:formatCode>
                <c:ptCount val="12"/>
                <c:pt idx="0">
                  <c:v>5.5502222222222293E-2</c:v>
                </c:pt>
                <c:pt idx="1">
                  <c:v>4.6844444444444328E-2</c:v>
                </c:pt>
                <c:pt idx="2">
                  <c:v>5.6072222222221101E-2</c:v>
                </c:pt>
                <c:pt idx="3">
                  <c:v>4.7176666666666693E-2</c:v>
                </c:pt>
                <c:pt idx="4">
                  <c:v>6.6277000000000003E-2</c:v>
                </c:pt>
                <c:pt idx="5">
                  <c:v>4.1050000000033324E-2</c:v>
                </c:pt>
                <c:pt idx="6">
                  <c:v>4.7850000000000351E-2</c:v>
                </c:pt>
                <c:pt idx="7">
                  <c:v>3.1311111111111206E-2</c:v>
                </c:pt>
                <c:pt idx="8">
                  <c:v>3.5816666666666636E-2</c:v>
                </c:pt>
                <c:pt idx="9">
                  <c:v>2.7270000000000037E-2</c:v>
                </c:pt>
                <c:pt idx="10">
                  <c:v>2.9295833333332733E-2</c:v>
                </c:pt>
                <c:pt idx="11">
                  <c:v>2.2786033333333341E-2</c:v>
                </c:pt>
              </c:numCache>
            </c:numRef>
          </c:val>
          <c:extLst xmlns:c16r2="http://schemas.microsoft.com/office/drawing/2015/06/chart">
            <c:ext xmlns:c16="http://schemas.microsoft.com/office/drawing/2014/chart" uri="{C3380CC4-5D6E-409C-BE32-E72D297353CC}">
              <c16:uniqueId val="{00000004-12A3-4B78-839C-7849F261F0DC}"/>
            </c:ext>
          </c:extLst>
        </c:ser>
        <c:ser>
          <c:idx val="5"/>
          <c:order val="5"/>
          <c:tx>
            <c:strRef>
              <c:f>'Водозатр.вода+ІТ'!$AA$5</c:f>
              <c:strCache>
                <c:ptCount val="1"/>
                <c:pt idx="0">
                  <c:v>60 хв.</c:v>
                </c:pt>
              </c:strCache>
            </c:strRef>
          </c:tx>
          <c:spPr>
            <a:ln>
              <a:solidFill>
                <a:schemeClr val="tx1"/>
              </a:solidFill>
            </a:ln>
          </c:spPr>
          <c:marker>
            <c:symbol val="circle"/>
            <c:size val="5"/>
            <c:spPr>
              <a:solidFill>
                <a:schemeClr val="tx1"/>
              </a:solidFill>
              <a:ln>
                <a:solidFill>
                  <a:schemeClr val="tx1"/>
                </a:solidFill>
              </a:ln>
            </c:spPr>
          </c:marker>
          <c:cat>
            <c:numRef>
              <c:f>'Водозатр.вода+ІТ'!$U$6:$U$17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'Водозатр.вода+ІТ'!$AA$6:$AA$17</c:f>
              <c:numCache>
                <c:formatCode>0.000</c:formatCode>
                <c:ptCount val="12"/>
                <c:pt idx="0">
                  <c:v>8.6437777777777849E-2</c:v>
                </c:pt>
                <c:pt idx="1">
                  <c:v>7.2351666666666703E-2</c:v>
                </c:pt>
                <c:pt idx="2">
                  <c:v>8.7850333336666836E-2</c:v>
                </c:pt>
                <c:pt idx="3">
                  <c:v>6.8520000000000011E-2</c:v>
                </c:pt>
                <c:pt idx="4">
                  <c:v>8.8496666666666807E-2</c:v>
                </c:pt>
                <c:pt idx="5">
                  <c:v>7.0763333333000111E-2</c:v>
                </c:pt>
                <c:pt idx="6">
                  <c:v>7.2993333333666741E-2</c:v>
                </c:pt>
                <c:pt idx="7">
                  <c:v>5.2066666666698534E-2</c:v>
                </c:pt>
                <c:pt idx="8">
                  <c:v>6.2600000000000003E-2</c:v>
                </c:pt>
                <c:pt idx="9">
                  <c:v>4.3553333333333402E-2</c:v>
                </c:pt>
                <c:pt idx="10">
                  <c:v>4.6753888888888713E-2</c:v>
                </c:pt>
                <c:pt idx="11">
                  <c:v>3.7813333333333379E-2</c:v>
                </c:pt>
              </c:numCache>
            </c:numRef>
          </c:val>
          <c:extLst xmlns:c16r2="http://schemas.microsoft.com/office/drawing/2015/06/chart">
            <c:ext xmlns:c16="http://schemas.microsoft.com/office/drawing/2014/chart" uri="{C3380CC4-5D6E-409C-BE32-E72D297353CC}">
              <c16:uniqueId val="{00000005-12A3-4B78-839C-7849F261F0DC}"/>
            </c:ext>
          </c:extLst>
        </c:ser>
        <c:dLbls/>
        <c:marker val="1"/>
        <c:axId val="85301120"/>
        <c:axId val="85323776"/>
      </c:lineChart>
      <c:catAx>
        <c:axId val="85301120"/>
        <c:scaling>
          <c:orientation val="minMax"/>
        </c:scaling>
        <c:axPos val="b"/>
        <c:title>
          <c:tx>
            <c:rich>
              <a:bodyPr/>
              <a:lstStyle/>
              <a:p>
                <a:pPr>
                  <a:defRPr sz="1000" b="0"/>
                </a:pPr>
                <a:r>
                  <a:rPr lang="uk-UA" sz="1000" b="0"/>
                  <a:t>Варіанти</a:t>
                </a:r>
                <a:r>
                  <a:rPr lang="uk-UA" sz="1000" b="0" baseline="0"/>
                  <a:t> досліду</a:t>
                </a:r>
                <a:endParaRPr lang="uk-UA" sz="1000" b="0"/>
              </a:p>
            </c:rich>
          </c:tx>
          <c:layout>
            <c:manualLayout>
              <c:xMode val="edge"/>
              <c:yMode val="edge"/>
              <c:x val="0.8122278507604056"/>
              <c:y val="0.7512704093806456"/>
            </c:manualLayout>
          </c:layout>
        </c:title>
        <c:numFmt formatCode="General" sourceLinked="1"/>
        <c:majorTickMark val="in"/>
        <c:tickLblPos val="nextTo"/>
        <c:spPr>
          <a:ln>
            <a:solidFill>
              <a:schemeClr val="tx1"/>
            </a:solidFill>
          </a:ln>
        </c:spPr>
        <c:crossAx val="85323776"/>
        <c:crosses val="autoZero"/>
        <c:auto val="1"/>
        <c:lblAlgn val="ctr"/>
        <c:lblOffset val="100"/>
      </c:catAx>
      <c:valAx>
        <c:axId val="85323776"/>
        <c:scaling>
          <c:orientation val="minMax"/>
          <c:max val="0.13"/>
          <c:min val="0"/>
        </c:scaling>
        <c:axPos val="l"/>
        <c:majorGridlines>
          <c:spPr>
            <a:ln>
              <a:solidFill>
                <a:schemeClr val="bg2"/>
              </a:solidFill>
            </a:ln>
          </c:spPr>
        </c:majorGridlines>
        <c:title>
          <c:tx>
            <c:rich>
              <a:bodyPr rot="0" vert="horz"/>
              <a:lstStyle/>
              <a:p>
                <a:pPr>
                  <a:defRPr b="0"/>
                </a:pPr>
                <a:r>
                  <a:rPr lang="uk-UA" b="0"/>
                  <a:t>г</a:t>
                </a:r>
              </a:p>
            </c:rich>
          </c:tx>
          <c:layout>
            <c:manualLayout>
              <c:xMode val="edge"/>
              <c:yMode val="edge"/>
              <c:x val="2.1772236742887826E-3"/>
              <c:y val="8.0470945202406104E-3"/>
            </c:manualLayout>
          </c:layout>
        </c:title>
        <c:numFmt formatCode="0.00" sourceLinked="0"/>
        <c:majorTickMark val="in"/>
        <c:tickLblPos val="nextTo"/>
        <c:spPr>
          <a:ln>
            <a:solidFill>
              <a:schemeClr val="tx1"/>
            </a:solidFill>
          </a:ln>
        </c:spPr>
        <c:crossAx val="85301120"/>
        <c:crosses val="autoZero"/>
        <c:crossBetween val="between"/>
        <c:majorUnit val="3.0000000000000016E-2"/>
      </c:valAx>
    </c:plotArea>
    <c:legend>
      <c:legendPos val="b"/>
      <c:layout>
        <c:manualLayout>
          <c:xMode val="edge"/>
          <c:yMode val="edge"/>
          <c:x val="2.340276152586009E-3"/>
          <c:y val="0.87531948481989863"/>
          <c:w val="0.99569800253841656"/>
          <c:h val="0.12468051518010126"/>
        </c:manualLayout>
      </c:layout>
    </c:legend>
    <c:plotVisOnly val="1"/>
    <c:dispBlanksAs val="gap"/>
  </c:chart>
  <c:txPr>
    <a:bodyPr/>
    <a:lstStyle/>
    <a:p>
      <a:pPr>
        <a:defRPr sz="1200">
          <a:latin typeface="Times New Roman" panose="02020603050405020304" pitchFamily="18" charset="0"/>
          <a:cs typeface="Times New Roman" panose="02020603050405020304" pitchFamily="18" charset="0"/>
        </a:defRPr>
      </a:pPr>
      <a:endParaRPr lang="ru-RU"/>
    </a:p>
  </c:txPr>
  <c:externalData r:id="rId1"/>
</c:chartSpace>
</file>

<file path=word/charts/chart24.xml><?xml version="1.0" encoding="utf-8"?>
<c:chartSpace xmlns:c="http://schemas.openxmlformats.org/drawingml/2006/chart" xmlns:a="http://schemas.openxmlformats.org/drawingml/2006/main" xmlns:r="http://schemas.openxmlformats.org/officeDocument/2006/relationships">
  <c:lang val="ru-RU"/>
  <c:chart>
    <c:plotArea>
      <c:layout>
        <c:manualLayout>
          <c:layoutTarget val="inner"/>
          <c:xMode val="edge"/>
          <c:yMode val="edge"/>
          <c:x val="0.1174335831470633"/>
          <c:y val="5.3912219305920134E-2"/>
          <c:w val="0.85114056214538913"/>
          <c:h val="0.5481660765558668"/>
        </c:manualLayout>
      </c:layout>
      <c:lineChart>
        <c:grouping val="standard"/>
        <c:ser>
          <c:idx val="0"/>
          <c:order val="0"/>
          <c:tx>
            <c:strRef>
              <c:f>'Водозатр.вода+ІТ'!$V$19</c:f>
              <c:strCache>
                <c:ptCount val="1"/>
                <c:pt idx="0">
                  <c:v>5 хв.</c:v>
                </c:pt>
              </c:strCache>
            </c:strRef>
          </c:tx>
          <c:spPr>
            <a:ln>
              <a:solidFill>
                <a:schemeClr val="tx1"/>
              </a:solidFill>
            </a:ln>
          </c:spPr>
          <c:marker>
            <c:symbol val="diamond"/>
            <c:size val="5"/>
            <c:spPr>
              <a:solidFill>
                <a:schemeClr val="tx1"/>
              </a:solidFill>
              <a:ln>
                <a:solidFill>
                  <a:schemeClr val="tx1"/>
                </a:solidFill>
              </a:ln>
            </c:spPr>
          </c:marker>
          <c:cat>
            <c:numRef>
              <c:f>'Водозатр.вода+ІТ'!$U$20:$U$31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'Водозатр.вода+ІТ'!$V$20:$V$31</c:f>
              <c:numCache>
                <c:formatCode>0.000</c:formatCode>
                <c:ptCount val="12"/>
                <c:pt idx="0">
                  <c:v>8.3444444444446524E-3</c:v>
                </c:pt>
                <c:pt idx="1">
                  <c:v>7.5600006666667295E-3</c:v>
                </c:pt>
                <c:pt idx="2">
                  <c:v>7.9563333337000202E-3</c:v>
                </c:pt>
                <c:pt idx="3">
                  <c:v>6.3500000000001914E-3</c:v>
                </c:pt>
                <c:pt idx="4">
                  <c:v>8.427777777780171E-3</c:v>
                </c:pt>
                <c:pt idx="5">
                  <c:v>5.4000000030000129E-3</c:v>
                </c:pt>
                <c:pt idx="6">
                  <c:v>5.6333333333335959E-3</c:v>
                </c:pt>
                <c:pt idx="7">
                  <c:v>4.7387299833333511E-3</c:v>
                </c:pt>
                <c:pt idx="8">
                  <c:v>5.3600000000000383E-3</c:v>
                </c:pt>
                <c:pt idx="9">
                  <c:v>4.4000000000000124E-3</c:v>
                </c:pt>
                <c:pt idx="10">
                  <c:v>5.4333333333333655E-3</c:v>
                </c:pt>
                <c:pt idx="11">
                  <c:v>5.2632999000000076E-3</c:v>
                </c:pt>
              </c:numCache>
            </c:numRef>
          </c:val>
          <c:extLst xmlns:c16r2="http://schemas.microsoft.com/office/drawing/2015/06/chart">
            <c:ext xmlns:c16="http://schemas.microsoft.com/office/drawing/2014/chart" uri="{C3380CC4-5D6E-409C-BE32-E72D297353CC}">
              <c16:uniqueId val="{00000000-90F6-4497-A594-F7833C0AF6A7}"/>
            </c:ext>
          </c:extLst>
        </c:ser>
        <c:ser>
          <c:idx val="1"/>
          <c:order val="1"/>
          <c:tx>
            <c:strRef>
              <c:f>'Водозатр.вода+ІТ'!$W$19</c:f>
              <c:strCache>
                <c:ptCount val="1"/>
                <c:pt idx="0">
                  <c:v>10 хв.</c:v>
                </c:pt>
              </c:strCache>
            </c:strRef>
          </c:tx>
          <c:spPr>
            <a:ln>
              <a:solidFill>
                <a:schemeClr val="tx1"/>
              </a:solidFill>
            </a:ln>
          </c:spPr>
          <c:marker>
            <c:symbol val="square"/>
            <c:size val="5"/>
            <c:spPr>
              <a:solidFill>
                <a:schemeClr val="tx1"/>
              </a:solidFill>
              <a:ln>
                <a:solidFill>
                  <a:schemeClr val="tx1"/>
                </a:solidFill>
              </a:ln>
            </c:spPr>
          </c:marker>
          <c:cat>
            <c:numRef>
              <c:f>'Водозатр.вода+ІТ'!$U$20:$U$31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'Водозатр.вода+ІТ'!$W$20:$W$31</c:f>
              <c:numCache>
                <c:formatCode>0.000</c:formatCode>
                <c:ptCount val="12"/>
                <c:pt idx="0">
                  <c:v>9.3000000000000183E-3</c:v>
                </c:pt>
                <c:pt idx="1">
                  <c:v>8.0555555555541607E-3</c:v>
                </c:pt>
                <c:pt idx="2">
                  <c:v>9.6170000000000005E-3</c:v>
                </c:pt>
                <c:pt idx="3">
                  <c:v>7.6322221000001819E-3</c:v>
                </c:pt>
                <c:pt idx="4">
                  <c:v>9.7133333333333551E-3</c:v>
                </c:pt>
                <c:pt idx="5">
                  <c:v>7.3333333333333531E-3</c:v>
                </c:pt>
                <c:pt idx="6">
                  <c:v>7.3333333330663766E-3</c:v>
                </c:pt>
                <c:pt idx="7">
                  <c:v>5.8988876666333338E-3</c:v>
                </c:pt>
                <c:pt idx="8">
                  <c:v>6.9233333333300106E-3</c:v>
                </c:pt>
                <c:pt idx="9">
                  <c:v>5.069291666666669E-3</c:v>
                </c:pt>
                <c:pt idx="10">
                  <c:v>5.9000000000000094E-3</c:v>
                </c:pt>
                <c:pt idx="11">
                  <c:v>5.5100000000000062E-3</c:v>
                </c:pt>
              </c:numCache>
            </c:numRef>
          </c:val>
          <c:extLst xmlns:c16r2="http://schemas.microsoft.com/office/drawing/2015/06/chart">
            <c:ext xmlns:c16="http://schemas.microsoft.com/office/drawing/2014/chart" uri="{C3380CC4-5D6E-409C-BE32-E72D297353CC}">
              <c16:uniqueId val="{00000001-90F6-4497-A594-F7833C0AF6A7}"/>
            </c:ext>
          </c:extLst>
        </c:ser>
        <c:ser>
          <c:idx val="2"/>
          <c:order val="2"/>
          <c:tx>
            <c:strRef>
              <c:f>'Водозатр.вода+ІТ'!$X$19</c:f>
              <c:strCache>
                <c:ptCount val="1"/>
                <c:pt idx="0">
                  <c:v>15 хв.</c:v>
                </c:pt>
              </c:strCache>
            </c:strRef>
          </c:tx>
          <c:spPr>
            <a:ln>
              <a:solidFill>
                <a:schemeClr val="tx1"/>
              </a:solidFill>
            </a:ln>
          </c:spPr>
          <c:marker>
            <c:symbol val="triangle"/>
            <c:size val="5"/>
            <c:spPr>
              <a:solidFill>
                <a:schemeClr val="tx1"/>
              </a:solidFill>
              <a:ln>
                <a:solidFill>
                  <a:schemeClr val="tx1"/>
                </a:solidFill>
              </a:ln>
            </c:spPr>
          </c:marker>
          <c:cat>
            <c:numRef>
              <c:f>'Водозатр.вода+ІТ'!$U$20:$U$31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'Водозатр.вода+ІТ'!$X$20:$X$31</c:f>
              <c:numCache>
                <c:formatCode>0.000</c:formatCode>
                <c:ptCount val="12"/>
                <c:pt idx="0">
                  <c:v>1.4694444444300035E-2</c:v>
                </c:pt>
                <c:pt idx="1">
                  <c:v>9.6000000000000026E-3</c:v>
                </c:pt>
                <c:pt idx="2">
                  <c:v>1.1683333366666717E-2</c:v>
                </c:pt>
                <c:pt idx="3">
                  <c:v>9.0683343433333348E-3</c:v>
                </c:pt>
                <c:pt idx="4">
                  <c:v>1.4555333333666666E-2</c:v>
                </c:pt>
                <c:pt idx="5">
                  <c:v>9.3179666666667223E-3</c:v>
                </c:pt>
                <c:pt idx="6">
                  <c:v>9.4000000003333327E-3</c:v>
                </c:pt>
                <c:pt idx="7">
                  <c:v>7.622222220933339E-3</c:v>
                </c:pt>
                <c:pt idx="8">
                  <c:v>9.0833333333326747E-3</c:v>
                </c:pt>
                <c:pt idx="9">
                  <c:v>6.4996666703333482E-3</c:v>
                </c:pt>
                <c:pt idx="10">
                  <c:v>9.3111110666666708E-3</c:v>
                </c:pt>
                <c:pt idx="11">
                  <c:v>8.7744444333333425E-3</c:v>
                </c:pt>
              </c:numCache>
            </c:numRef>
          </c:val>
          <c:extLst xmlns:c16r2="http://schemas.microsoft.com/office/drawing/2015/06/chart">
            <c:ext xmlns:c16="http://schemas.microsoft.com/office/drawing/2014/chart" uri="{C3380CC4-5D6E-409C-BE32-E72D297353CC}">
              <c16:uniqueId val="{00000002-90F6-4497-A594-F7833C0AF6A7}"/>
            </c:ext>
          </c:extLst>
        </c:ser>
        <c:ser>
          <c:idx val="3"/>
          <c:order val="3"/>
          <c:tx>
            <c:strRef>
              <c:f>'Водозатр.вода+ІТ'!$Y$19</c:f>
              <c:strCache>
                <c:ptCount val="1"/>
                <c:pt idx="0">
                  <c:v>20 хв.</c:v>
                </c:pt>
              </c:strCache>
            </c:strRef>
          </c:tx>
          <c:spPr>
            <a:ln>
              <a:solidFill>
                <a:schemeClr val="tx1"/>
              </a:solidFill>
            </a:ln>
          </c:spPr>
          <c:marker>
            <c:symbol val="x"/>
            <c:size val="5"/>
            <c:spPr>
              <a:ln>
                <a:solidFill>
                  <a:schemeClr val="tx1"/>
                </a:solidFill>
              </a:ln>
            </c:spPr>
          </c:marker>
          <c:cat>
            <c:numRef>
              <c:f>'Водозатр.вода+ІТ'!$U$20:$U$31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'Водозатр.вода+ІТ'!$Y$20:$Y$31</c:f>
              <c:numCache>
                <c:formatCode>0.000</c:formatCode>
                <c:ptCount val="12"/>
                <c:pt idx="0">
                  <c:v>3.90944444444443E-2</c:v>
                </c:pt>
                <c:pt idx="1">
                  <c:v>1.9844333333333325E-2</c:v>
                </c:pt>
                <c:pt idx="2">
                  <c:v>3.8627777777778156E-2</c:v>
                </c:pt>
                <c:pt idx="3">
                  <c:v>2.4368888888892187E-2</c:v>
                </c:pt>
                <c:pt idx="4">
                  <c:v>2.9205555566667016E-2</c:v>
                </c:pt>
                <c:pt idx="5">
                  <c:v>1.5266666666629999E-2</c:v>
                </c:pt>
                <c:pt idx="6">
                  <c:v>2.5599999999993382E-2</c:v>
                </c:pt>
                <c:pt idx="7">
                  <c:v>9.4666666666666874E-3</c:v>
                </c:pt>
                <c:pt idx="8">
                  <c:v>2.3461111111111276E-2</c:v>
                </c:pt>
                <c:pt idx="9">
                  <c:v>1.3316666666333301E-2</c:v>
                </c:pt>
                <c:pt idx="10">
                  <c:v>2.4069665666666681E-2</c:v>
                </c:pt>
                <c:pt idx="11">
                  <c:v>1.2597213333333298E-2</c:v>
                </c:pt>
              </c:numCache>
            </c:numRef>
          </c:val>
          <c:extLst xmlns:c16r2="http://schemas.microsoft.com/office/drawing/2015/06/chart">
            <c:ext xmlns:c16="http://schemas.microsoft.com/office/drawing/2014/chart" uri="{C3380CC4-5D6E-409C-BE32-E72D297353CC}">
              <c16:uniqueId val="{00000003-90F6-4497-A594-F7833C0AF6A7}"/>
            </c:ext>
          </c:extLst>
        </c:ser>
        <c:ser>
          <c:idx val="4"/>
          <c:order val="4"/>
          <c:tx>
            <c:strRef>
              <c:f>'Водозатр.вода+ІТ'!$Z$19</c:f>
              <c:strCache>
                <c:ptCount val="1"/>
                <c:pt idx="0">
                  <c:v>30 хв.</c:v>
                </c:pt>
              </c:strCache>
            </c:strRef>
          </c:tx>
          <c:spPr>
            <a:ln>
              <a:solidFill>
                <a:schemeClr val="tx1"/>
              </a:solidFill>
            </a:ln>
          </c:spPr>
          <c:marker>
            <c:symbol val="star"/>
            <c:size val="5"/>
            <c:spPr>
              <a:solidFill>
                <a:schemeClr val="bg1"/>
              </a:solidFill>
              <a:ln>
                <a:solidFill>
                  <a:schemeClr val="tx1"/>
                </a:solidFill>
              </a:ln>
            </c:spPr>
          </c:marker>
          <c:cat>
            <c:numRef>
              <c:f>'Водозатр.вода+ІТ'!$U$20:$U$31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'Водозатр.вода+ІТ'!$Z$20:$Z$31</c:f>
              <c:numCache>
                <c:formatCode>0.000</c:formatCode>
                <c:ptCount val="12"/>
                <c:pt idx="0">
                  <c:v>5.5772222222222376E-2</c:v>
                </c:pt>
                <c:pt idx="1">
                  <c:v>4.2004444445555691E-2</c:v>
                </c:pt>
                <c:pt idx="2">
                  <c:v>5.5522222222222112E-2</c:v>
                </c:pt>
                <c:pt idx="3">
                  <c:v>3.1323888888888769E-2</c:v>
                </c:pt>
                <c:pt idx="4">
                  <c:v>5.6640555666666627E-2</c:v>
                </c:pt>
                <c:pt idx="5">
                  <c:v>3.3449999999999695E-2</c:v>
                </c:pt>
                <c:pt idx="6">
                  <c:v>4.3266666666666335E-2</c:v>
                </c:pt>
                <c:pt idx="7">
                  <c:v>2.3906666666666628E-2</c:v>
                </c:pt>
                <c:pt idx="8">
                  <c:v>3.9111399999999998E-2</c:v>
                </c:pt>
                <c:pt idx="9">
                  <c:v>3.4333333000000042E-2</c:v>
                </c:pt>
                <c:pt idx="10">
                  <c:v>3.8627777777779079E-2</c:v>
                </c:pt>
                <c:pt idx="11">
                  <c:v>2.4676911111111012E-2</c:v>
                </c:pt>
              </c:numCache>
            </c:numRef>
          </c:val>
          <c:extLst xmlns:c16r2="http://schemas.microsoft.com/office/drawing/2015/06/chart">
            <c:ext xmlns:c16="http://schemas.microsoft.com/office/drawing/2014/chart" uri="{C3380CC4-5D6E-409C-BE32-E72D297353CC}">
              <c16:uniqueId val="{00000004-90F6-4497-A594-F7833C0AF6A7}"/>
            </c:ext>
          </c:extLst>
        </c:ser>
        <c:ser>
          <c:idx val="5"/>
          <c:order val="5"/>
          <c:tx>
            <c:strRef>
              <c:f>'Водозатр.вода+ІТ'!$AA$19</c:f>
              <c:strCache>
                <c:ptCount val="1"/>
                <c:pt idx="0">
                  <c:v>60 хв.</c:v>
                </c:pt>
              </c:strCache>
            </c:strRef>
          </c:tx>
          <c:spPr>
            <a:ln>
              <a:solidFill>
                <a:schemeClr val="tx1"/>
              </a:solidFill>
            </a:ln>
          </c:spPr>
          <c:marker>
            <c:symbol val="circle"/>
            <c:size val="5"/>
            <c:spPr>
              <a:solidFill>
                <a:schemeClr val="tx1"/>
              </a:solidFill>
              <a:ln>
                <a:solidFill>
                  <a:schemeClr val="tx1"/>
                </a:solidFill>
              </a:ln>
            </c:spPr>
          </c:marker>
          <c:cat>
            <c:numRef>
              <c:f>'Водозатр.вода+ІТ'!$U$20:$U$31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'Водозатр.вода+ІТ'!$AA$20:$AA$31</c:f>
              <c:numCache>
                <c:formatCode>0.000</c:formatCode>
                <c:ptCount val="12"/>
                <c:pt idx="0">
                  <c:v>9.9627777777776788E-2</c:v>
                </c:pt>
                <c:pt idx="1">
                  <c:v>7.9905555554444299E-2</c:v>
                </c:pt>
                <c:pt idx="2">
                  <c:v>9.5576922222200211E-2</c:v>
                </c:pt>
                <c:pt idx="3">
                  <c:v>8.1253333333333344E-2</c:v>
                </c:pt>
                <c:pt idx="4">
                  <c:v>9.5422777777779993E-2</c:v>
                </c:pt>
                <c:pt idx="5">
                  <c:v>6.7616666666667019E-2</c:v>
                </c:pt>
                <c:pt idx="6">
                  <c:v>6.2783333333300134E-2</c:v>
                </c:pt>
                <c:pt idx="7">
                  <c:v>4.6526888888666601E-2</c:v>
                </c:pt>
                <c:pt idx="8">
                  <c:v>5.7871111111123398E-2</c:v>
                </c:pt>
                <c:pt idx="9">
                  <c:v>5.2633333333300024E-2</c:v>
                </c:pt>
                <c:pt idx="10">
                  <c:v>5.9761111111111376E-2</c:v>
                </c:pt>
                <c:pt idx="11">
                  <c:v>5.6344333333333378E-2</c:v>
                </c:pt>
              </c:numCache>
            </c:numRef>
          </c:val>
          <c:extLst xmlns:c16r2="http://schemas.microsoft.com/office/drawing/2015/06/chart">
            <c:ext xmlns:c16="http://schemas.microsoft.com/office/drawing/2014/chart" uri="{C3380CC4-5D6E-409C-BE32-E72D297353CC}">
              <c16:uniqueId val="{00000005-90F6-4497-A594-F7833C0AF6A7}"/>
            </c:ext>
          </c:extLst>
        </c:ser>
        <c:dLbls/>
        <c:marker val="1"/>
        <c:axId val="85057920"/>
        <c:axId val="85059840"/>
      </c:lineChart>
      <c:catAx>
        <c:axId val="85057920"/>
        <c:scaling>
          <c:orientation val="minMax"/>
        </c:scaling>
        <c:axPos val="b"/>
        <c:title>
          <c:tx>
            <c:rich>
              <a:bodyPr/>
              <a:lstStyle/>
              <a:p>
                <a:pPr>
                  <a:defRPr sz="1000" b="0"/>
                </a:pPr>
                <a:r>
                  <a:rPr lang="uk-UA" sz="1000" b="0"/>
                  <a:t>Варіанти досліду</a:t>
                </a:r>
              </a:p>
            </c:rich>
          </c:tx>
          <c:layout>
            <c:manualLayout>
              <c:xMode val="edge"/>
              <c:yMode val="edge"/>
              <c:x val="0.8122278507604056"/>
              <c:y val="0.7636928605400839"/>
            </c:manualLayout>
          </c:layout>
        </c:title>
        <c:numFmt formatCode="General" sourceLinked="1"/>
        <c:majorTickMark val="in"/>
        <c:tickLblPos val="nextTo"/>
        <c:spPr>
          <a:ln>
            <a:solidFill>
              <a:schemeClr val="tx1"/>
            </a:solidFill>
          </a:ln>
        </c:spPr>
        <c:crossAx val="85059840"/>
        <c:crosses val="autoZero"/>
        <c:auto val="1"/>
        <c:lblAlgn val="ctr"/>
        <c:lblOffset val="100"/>
      </c:catAx>
      <c:valAx>
        <c:axId val="85059840"/>
        <c:scaling>
          <c:orientation val="minMax"/>
          <c:max val="0.13"/>
          <c:min val="0"/>
        </c:scaling>
        <c:axPos val="l"/>
        <c:majorGridlines>
          <c:spPr>
            <a:ln>
              <a:solidFill>
                <a:schemeClr val="bg2"/>
              </a:solidFill>
            </a:ln>
          </c:spPr>
        </c:majorGridlines>
        <c:title>
          <c:tx>
            <c:rich>
              <a:bodyPr rot="0" vert="horz"/>
              <a:lstStyle/>
              <a:p>
                <a:pPr>
                  <a:defRPr/>
                </a:pPr>
                <a:r>
                  <a:rPr lang="uk-UA" b="0"/>
                  <a:t>г</a:t>
                </a:r>
              </a:p>
            </c:rich>
          </c:tx>
          <c:layout>
            <c:manualLayout>
              <c:xMode val="edge"/>
              <c:yMode val="edge"/>
              <c:x val="2.8569024788465494E-3"/>
              <c:y val="5.349227179935836E-3"/>
            </c:manualLayout>
          </c:layout>
        </c:title>
        <c:numFmt formatCode="0.00" sourceLinked="0"/>
        <c:majorTickMark val="in"/>
        <c:tickLblPos val="nextTo"/>
        <c:spPr>
          <a:ln>
            <a:solidFill>
              <a:schemeClr val="tx1"/>
            </a:solidFill>
          </a:ln>
        </c:spPr>
        <c:crossAx val="85057920"/>
        <c:crosses val="autoZero"/>
        <c:crossBetween val="between"/>
        <c:majorUnit val="3.0000000000000016E-2"/>
      </c:valAx>
    </c:plotArea>
    <c:legend>
      <c:legendPos val="b"/>
      <c:layout>
        <c:manualLayout>
          <c:xMode val="edge"/>
          <c:yMode val="edge"/>
          <c:x val="7.1912959404540596E-3"/>
          <c:y val="0.89290881404451594"/>
          <c:w val="0.99133121307678562"/>
          <c:h val="9.7831920183715324E-2"/>
        </c:manualLayout>
      </c:layout>
    </c:legend>
    <c:plotVisOnly val="1"/>
    <c:dispBlanksAs val="gap"/>
  </c:chart>
  <c:txPr>
    <a:bodyPr/>
    <a:lstStyle/>
    <a:p>
      <a:pPr>
        <a:defRPr sz="1200">
          <a:latin typeface="Times New Roman" panose="02020603050405020304" pitchFamily="18" charset="0"/>
          <a:cs typeface="Times New Roman" panose="02020603050405020304" pitchFamily="18" charset="0"/>
        </a:defRPr>
      </a:pPr>
      <a:endParaRPr lang="ru-RU"/>
    </a:p>
  </c:txPr>
  <c:externalData r:id="rId1"/>
</c:chartSpace>
</file>

<file path=word/charts/chart25.xml><?xml version="1.0" encoding="utf-8"?>
<c:chartSpace xmlns:c="http://schemas.openxmlformats.org/drawingml/2006/chart" xmlns:a="http://schemas.openxmlformats.org/drawingml/2006/main" xmlns:r="http://schemas.openxmlformats.org/officeDocument/2006/relationships">
  <c:lang val="ru-RU"/>
  <c:chart>
    <c:plotArea>
      <c:layout>
        <c:manualLayout>
          <c:layoutTarget val="inner"/>
          <c:xMode val="edge"/>
          <c:yMode val="edge"/>
          <c:x val="0.11171722830223102"/>
          <c:y val="5.3912219305920134E-2"/>
          <c:w val="0.86486895374914152"/>
          <c:h val="0.5681240502831898"/>
        </c:manualLayout>
      </c:layout>
      <c:lineChart>
        <c:grouping val="standard"/>
        <c:ser>
          <c:idx val="0"/>
          <c:order val="0"/>
          <c:tx>
            <c:strRef>
              <c:f>'Водозатр.вода+ІТ'!$V$79</c:f>
              <c:strCache>
                <c:ptCount val="1"/>
                <c:pt idx="0">
                  <c:v>5 хв.</c:v>
                </c:pt>
              </c:strCache>
            </c:strRef>
          </c:tx>
          <c:spPr>
            <a:ln>
              <a:solidFill>
                <a:schemeClr val="tx1"/>
              </a:solidFill>
            </a:ln>
          </c:spPr>
          <c:marker>
            <c:symbol val="diamond"/>
            <c:size val="5"/>
            <c:spPr>
              <a:solidFill>
                <a:schemeClr val="tx1"/>
              </a:solidFill>
              <a:ln>
                <a:solidFill>
                  <a:schemeClr val="tx1"/>
                </a:solidFill>
              </a:ln>
            </c:spPr>
          </c:marker>
          <c:cat>
            <c:numRef>
              <c:f>'Водозатр.вода+ІТ'!$U$80:$U$91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'Водозатр.вода+ІТ'!$V$80:$V$91</c:f>
              <c:numCache>
                <c:formatCode>0.000</c:formatCode>
                <c:ptCount val="12"/>
                <c:pt idx="0">
                  <c:v>8.1565555555556876E-3</c:v>
                </c:pt>
                <c:pt idx="1">
                  <c:v>5.4333333333453446E-3</c:v>
                </c:pt>
                <c:pt idx="2">
                  <c:v>7.5666666666667484E-3</c:v>
                </c:pt>
                <c:pt idx="3">
                  <c:v>5.1499999999999983E-3</c:v>
                </c:pt>
                <c:pt idx="4">
                  <c:v>7.1000000000000204E-3</c:v>
                </c:pt>
                <c:pt idx="5">
                  <c:v>6.233333003333375E-3</c:v>
                </c:pt>
                <c:pt idx="6">
                  <c:v>6.5422119999999024E-3</c:v>
                </c:pt>
                <c:pt idx="7">
                  <c:v>5.0799999999963799E-3</c:v>
                </c:pt>
                <c:pt idx="8">
                  <c:v>6.8000000000000083E-3</c:v>
                </c:pt>
                <c:pt idx="9">
                  <c:v>4.8000200000000003E-3</c:v>
                </c:pt>
                <c:pt idx="10">
                  <c:v>6.4066666666666777E-3</c:v>
                </c:pt>
                <c:pt idx="11">
                  <c:v>5.0998666666600394E-3</c:v>
                </c:pt>
              </c:numCache>
            </c:numRef>
          </c:val>
          <c:extLst xmlns:c16r2="http://schemas.microsoft.com/office/drawing/2015/06/chart">
            <c:ext xmlns:c16="http://schemas.microsoft.com/office/drawing/2014/chart" uri="{C3380CC4-5D6E-409C-BE32-E72D297353CC}">
              <c16:uniqueId val="{00000000-41FE-48E6-A145-7CAF8BF6C852}"/>
            </c:ext>
          </c:extLst>
        </c:ser>
        <c:ser>
          <c:idx val="1"/>
          <c:order val="1"/>
          <c:tx>
            <c:strRef>
              <c:f>'Водозатр.вода+ІТ'!$W$79</c:f>
              <c:strCache>
                <c:ptCount val="1"/>
                <c:pt idx="0">
                  <c:v>10 хв.</c:v>
                </c:pt>
              </c:strCache>
            </c:strRef>
          </c:tx>
          <c:spPr>
            <a:ln>
              <a:solidFill>
                <a:schemeClr val="tx1"/>
              </a:solidFill>
            </a:ln>
          </c:spPr>
          <c:marker>
            <c:symbol val="square"/>
            <c:size val="5"/>
            <c:spPr>
              <a:solidFill>
                <a:schemeClr val="tx1"/>
              </a:solidFill>
              <a:ln>
                <a:solidFill>
                  <a:schemeClr val="tx1"/>
                </a:solidFill>
              </a:ln>
            </c:spPr>
          </c:marker>
          <c:cat>
            <c:numRef>
              <c:f>'Водозатр.вода+ІТ'!$U$80:$U$91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'Водозатр.вода+ІТ'!$W$80:$W$91</c:f>
              <c:numCache>
                <c:formatCode>0.000</c:formatCode>
                <c:ptCount val="12"/>
                <c:pt idx="0">
                  <c:v>9.8066666700000211E-3</c:v>
                </c:pt>
                <c:pt idx="1">
                  <c:v>8.3166666666833269E-3</c:v>
                </c:pt>
                <c:pt idx="2">
                  <c:v>1.0385000000033343E-2</c:v>
                </c:pt>
                <c:pt idx="3">
                  <c:v>9.7499999700000027E-3</c:v>
                </c:pt>
                <c:pt idx="4">
                  <c:v>1.2183333333333353E-2</c:v>
                </c:pt>
                <c:pt idx="5">
                  <c:v>9.2791499996666815E-3</c:v>
                </c:pt>
                <c:pt idx="6">
                  <c:v>8.6176666766666823E-3</c:v>
                </c:pt>
                <c:pt idx="7">
                  <c:v>7.0999999976666759E-3</c:v>
                </c:pt>
                <c:pt idx="8">
                  <c:v>8.7551666666666871E-3</c:v>
                </c:pt>
                <c:pt idx="9">
                  <c:v>6.8212666666666727E-3</c:v>
                </c:pt>
                <c:pt idx="10">
                  <c:v>7.8066666700000106E-3</c:v>
                </c:pt>
                <c:pt idx="11">
                  <c:v>6.1573333333333731E-3</c:v>
                </c:pt>
              </c:numCache>
            </c:numRef>
          </c:val>
          <c:extLst xmlns:c16r2="http://schemas.microsoft.com/office/drawing/2015/06/chart">
            <c:ext xmlns:c16="http://schemas.microsoft.com/office/drawing/2014/chart" uri="{C3380CC4-5D6E-409C-BE32-E72D297353CC}">
              <c16:uniqueId val="{00000001-41FE-48E6-A145-7CAF8BF6C852}"/>
            </c:ext>
          </c:extLst>
        </c:ser>
        <c:ser>
          <c:idx val="2"/>
          <c:order val="2"/>
          <c:tx>
            <c:strRef>
              <c:f>'Водозатр.вода+ІТ'!$X$79</c:f>
              <c:strCache>
                <c:ptCount val="1"/>
                <c:pt idx="0">
                  <c:v>15 хв.</c:v>
                </c:pt>
              </c:strCache>
            </c:strRef>
          </c:tx>
          <c:spPr>
            <a:ln>
              <a:solidFill>
                <a:schemeClr val="tx1"/>
              </a:solidFill>
            </a:ln>
          </c:spPr>
          <c:marker>
            <c:symbol val="triangle"/>
            <c:size val="5"/>
            <c:spPr>
              <a:solidFill>
                <a:schemeClr val="tx1"/>
              </a:solidFill>
              <a:ln>
                <a:solidFill>
                  <a:schemeClr val="tx1"/>
                </a:solidFill>
              </a:ln>
            </c:spPr>
          </c:marker>
          <c:cat>
            <c:numRef>
              <c:f>'Водозатр.вода+ІТ'!$U$80:$U$91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'Водозатр.вода+ІТ'!$X$80:$X$91</c:f>
              <c:numCache>
                <c:formatCode>0.000</c:formatCode>
                <c:ptCount val="12"/>
                <c:pt idx="0">
                  <c:v>2.3466666666666677E-2</c:v>
                </c:pt>
                <c:pt idx="1">
                  <c:v>9.9389133333333077E-3</c:v>
                </c:pt>
                <c:pt idx="2">
                  <c:v>2.0050000000000009E-2</c:v>
                </c:pt>
                <c:pt idx="3">
                  <c:v>1.6916666666666649E-2</c:v>
                </c:pt>
                <c:pt idx="4">
                  <c:v>2.1763333333333301E-2</c:v>
                </c:pt>
                <c:pt idx="5">
                  <c:v>1.0873333299999999E-2</c:v>
                </c:pt>
                <c:pt idx="6">
                  <c:v>1.1314444444444433E-2</c:v>
                </c:pt>
                <c:pt idx="7">
                  <c:v>8.7863333333333422E-3</c:v>
                </c:pt>
                <c:pt idx="8">
                  <c:v>1.0446166666666682E-2</c:v>
                </c:pt>
                <c:pt idx="9">
                  <c:v>7.8073333333666759E-3</c:v>
                </c:pt>
                <c:pt idx="10">
                  <c:v>9.2876666666666767E-3</c:v>
                </c:pt>
                <c:pt idx="11">
                  <c:v>7.2391666666666741E-3</c:v>
                </c:pt>
              </c:numCache>
            </c:numRef>
          </c:val>
          <c:extLst xmlns:c16r2="http://schemas.microsoft.com/office/drawing/2015/06/chart">
            <c:ext xmlns:c16="http://schemas.microsoft.com/office/drawing/2014/chart" uri="{C3380CC4-5D6E-409C-BE32-E72D297353CC}">
              <c16:uniqueId val="{00000002-41FE-48E6-A145-7CAF8BF6C852}"/>
            </c:ext>
          </c:extLst>
        </c:ser>
        <c:ser>
          <c:idx val="3"/>
          <c:order val="3"/>
          <c:tx>
            <c:strRef>
              <c:f>'Водозатр.вода+ІТ'!$Y$79</c:f>
              <c:strCache>
                <c:ptCount val="1"/>
                <c:pt idx="0">
                  <c:v>20 хв.</c:v>
                </c:pt>
              </c:strCache>
            </c:strRef>
          </c:tx>
          <c:spPr>
            <a:ln>
              <a:solidFill>
                <a:schemeClr val="tx1"/>
              </a:solidFill>
            </a:ln>
          </c:spPr>
          <c:marker>
            <c:symbol val="x"/>
            <c:size val="5"/>
            <c:spPr>
              <a:ln>
                <a:solidFill>
                  <a:schemeClr val="tx1"/>
                </a:solidFill>
              </a:ln>
            </c:spPr>
          </c:marker>
          <c:cat>
            <c:numRef>
              <c:f>'Водозатр.вода+ІТ'!$U$80:$U$91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'Водозатр.вода+ІТ'!$Y$80:$Y$91</c:f>
              <c:numCache>
                <c:formatCode>0.000</c:formatCode>
                <c:ptCount val="12"/>
                <c:pt idx="0">
                  <c:v>4.6055555555555655E-2</c:v>
                </c:pt>
                <c:pt idx="1">
                  <c:v>2.3763333333333268E-2</c:v>
                </c:pt>
                <c:pt idx="2">
                  <c:v>3.885000000000001E-2</c:v>
                </c:pt>
                <c:pt idx="3">
                  <c:v>2.6263333333333402E-2</c:v>
                </c:pt>
                <c:pt idx="4">
                  <c:v>2.9913333336666636E-2</c:v>
                </c:pt>
                <c:pt idx="5">
                  <c:v>2.1808333333333312E-2</c:v>
                </c:pt>
                <c:pt idx="6">
                  <c:v>2.9188888887666672E-2</c:v>
                </c:pt>
                <c:pt idx="7">
                  <c:v>2.0543333333333299E-2</c:v>
                </c:pt>
                <c:pt idx="8">
                  <c:v>2.6241666666666712E-2</c:v>
                </c:pt>
                <c:pt idx="9">
                  <c:v>9.6466666666666766E-3</c:v>
                </c:pt>
                <c:pt idx="10">
                  <c:v>1.9536055555555501E-2</c:v>
                </c:pt>
                <c:pt idx="11">
                  <c:v>8.4583333333333368E-3</c:v>
                </c:pt>
              </c:numCache>
            </c:numRef>
          </c:val>
          <c:extLst xmlns:c16r2="http://schemas.microsoft.com/office/drawing/2015/06/chart">
            <c:ext xmlns:c16="http://schemas.microsoft.com/office/drawing/2014/chart" uri="{C3380CC4-5D6E-409C-BE32-E72D297353CC}">
              <c16:uniqueId val="{00000003-41FE-48E6-A145-7CAF8BF6C852}"/>
            </c:ext>
          </c:extLst>
        </c:ser>
        <c:ser>
          <c:idx val="4"/>
          <c:order val="4"/>
          <c:tx>
            <c:strRef>
              <c:f>'Водозатр.вода+ІТ'!$Z$79</c:f>
              <c:strCache>
                <c:ptCount val="1"/>
                <c:pt idx="0">
                  <c:v>30 хв.</c:v>
                </c:pt>
              </c:strCache>
            </c:strRef>
          </c:tx>
          <c:spPr>
            <a:ln>
              <a:solidFill>
                <a:schemeClr val="tx1"/>
              </a:solidFill>
            </a:ln>
          </c:spPr>
          <c:marker>
            <c:symbol val="star"/>
            <c:size val="5"/>
            <c:spPr>
              <a:ln>
                <a:solidFill>
                  <a:schemeClr val="tx1"/>
                </a:solidFill>
              </a:ln>
            </c:spPr>
          </c:marker>
          <c:cat>
            <c:numRef>
              <c:f>'Водозатр.вода+ІТ'!$U$80:$U$91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'Водозатр.вода+ІТ'!$Z$80:$Z$91</c:f>
              <c:numCache>
                <c:formatCode>0.000</c:formatCode>
                <c:ptCount val="12"/>
                <c:pt idx="0">
                  <c:v>6.7844444444447732E-2</c:v>
                </c:pt>
                <c:pt idx="1">
                  <c:v>4.6814444444411421E-2</c:v>
                </c:pt>
                <c:pt idx="2">
                  <c:v>6.7383333333333476E-2</c:v>
                </c:pt>
                <c:pt idx="3">
                  <c:v>4.0700000000000097E-2</c:v>
                </c:pt>
                <c:pt idx="4">
                  <c:v>5.3600000000000002E-2</c:v>
                </c:pt>
                <c:pt idx="5">
                  <c:v>3.904663333333333E-2</c:v>
                </c:pt>
                <c:pt idx="6">
                  <c:v>3.9621666666766676E-2</c:v>
                </c:pt>
                <c:pt idx="7">
                  <c:v>3.8049999999666351E-2</c:v>
                </c:pt>
                <c:pt idx="8">
                  <c:v>3.5373333333333375E-2</c:v>
                </c:pt>
                <c:pt idx="9">
                  <c:v>1.6286666666666685E-2</c:v>
                </c:pt>
                <c:pt idx="10">
                  <c:v>2.5599999999999901E-2</c:v>
                </c:pt>
                <c:pt idx="11">
                  <c:v>9.4736666666666875E-3</c:v>
                </c:pt>
              </c:numCache>
            </c:numRef>
          </c:val>
          <c:extLst xmlns:c16r2="http://schemas.microsoft.com/office/drawing/2015/06/chart">
            <c:ext xmlns:c16="http://schemas.microsoft.com/office/drawing/2014/chart" uri="{C3380CC4-5D6E-409C-BE32-E72D297353CC}">
              <c16:uniqueId val="{00000004-41FE-48E6-A145-7CAF8BF6C852}"/>
            </c:ext>
          </c:extLst>
        </c:ser>
        <c:ser>
          <c:idx val="5"/>
          <c:order val="5"/>
          <c:tx>
            <c:strRef>
              <c:f>'Водозатр.вода+ІТ'!$AA$79</c:f>
              <c:strCache>
                <c:ptCount val="1"/>
                <c:pt idx="0">
                  <c:v>60 хв.</c:v>
                </c:pt>
              </c:strCache>
            </c:strRef>
          </c:tx>
          <c:spPr>
            <a:ln>
              <a:solidFill>
                <a:schemeClr val="tx1"/>
              </a:solidFill>
            </a:ln>
          </c:spPr>
          <c:marker>
            <c:symbol val="circle"/>
            <c:size val="5"/>
            <c:spPr>
              <a:solidFill>
                <a:schemeClr val="tx1"/>
              </a:solidFill>
              <a:ln>
                <a:solidFill>
                  <a:schemeClr val="tx1"/>
                </a:solidFill>
              </a:ln>
            </c:spPr>
          </c:marker>
          <c:cat>
            <c:numRef>
              <c:f>'Водозатр.вода+ІТ'!$U$80:$U$91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'Водозатр.вода+ІТ'!$AA$80:$AA$91</c:f>
              <c:numCache>
                <c:formatCode>0.000</c:formatCode>
                <c:ptCount val="12"/>
                <c:pt idx="0">
                  <c:v>0.12484444444444442</c:v>
                </c:pt>
                <c:pt idx="1">
                  <c:v>7.7761333333333432E-2</c:v>
                </c:pt>
                <c:pt idx="2">
                  <c:v>0.11021333366666668</c:v>
                </c:pt>
                <c:pt idx="3">
                  <c:v>8.2633333333333378E-2</c:v>
                </c:pt>
                <c:pt idx="4">
                  <c:v>9.7233333333333338E-2</c:v>
                </c:pt>
                <c:pt idx="5">
                  <c:v>7.3706666666333423E-2</c:v>
                </c:pt>
                <c:pt idx="6">
                  <c:v>7.4672222222222084E-2</c:v>
                </c:pt>
                <c:pt idx="7">
                  <c:v>5.7799999999999997E-2</c:v>
                </c:pt>
                <c:pt idx="8">
                  <c:v>5.7740000000000014E-2</c:v>
                </c:pt>
                <c:pt idx="9">
                  <c:v>3.2556666666666671E-2</c:v>
                </c:pt>
                <c:pt idx="10">
                  <c:v>4.4709755555555682E-2</c:v>
                </c:pt>
                <c:pt idx="11">
                  <c:v>1.5489999999999999E-2</c:v>
                </c:pt>
              </c:numCache>
            </c:numRef>
          </c:val>
          <c:extLst xmlns:c16r2="http://schemas.microsoft.com/office/drawing/2015/06/chart">
            <c:ext xmlns:c16="http://schemas.microsoft.com/office/drawing/2014/chart" uri="{C3380CC4-5D6E-409C-BE32-E72D297353CC}">
              <c16:uniqueId val="{00000005-41FE-48E6-A145-7CAF8BF6C852}"/>
            </c:ext>
          </c:extLst>
        </c:ser>
        <c:dLbls/>
        <c:marker val="1"/>
        <c:axId val="85363328"/>
        <c:axId val="85377792"/>
      </c:lineChart>
      <c:catAx>
        <c:axId val="85363328"/>
        <c:scaling>
          <c:orientation val="minMax"/>
        </c:scaling>
        <c:axPos val="b"/>
        <c:title>
          <c:tx>
            <c:rich>
              <a:bodyPr/>
              <a:lstStyle/>
              <a:p>
                <a:pPr>
                  <a:defRPr sz="1000" b="0"/>
                </a:pPr>
                <a:r>
                  <a:rPr lang="uk-UA" sz="1000" b="0"/>
                  <a:t>Варіанти досліду</a:t>
                </a:r>
              </a:p>
            </c:rich>
          </c:tx>
          <c:layout>
            <c:manualLayout>
              <c:xMode val="edge"/>
              <c:yMode val="edge"/>
              <c:x val="0.81222596624337173"/>
              <c:y val="0.76610333345268378"/>
            </c:manualLayout>
          </c:layout>
        </c:title>
        <c:numFmt formatCode="General" sourceLinked="1"/>
        <c:majorTickMark val="in"/>
        <c:tickLblPos val="nextTo"/>
        <c:spPr>
          <a:ln>
            <a:solidFill>
              <a:schemeClr val="tx1"/>
            </a:solidFill>
          </a:ln>
        </c:spPr>
        <c:crossAx val="85377792"/>
        <c:crosses val="autoZero"/>
        <c:auto val="1"/>
        <c:lblAlgn val="ctr"/>
        <c:lblOffset val="100"/>
      </c:catAx>
      <c:valAx>
        <c:axId val="85377792"/>
        <c:scaling>
          <c:orientation val="minMax"/>
          <c:max val="0.13"/>
          <c:min val="0"/>
        </c:scaling>
        <c:axPos val="l"/>
        <c:majorGridlines>
          <c:spPr>
            <a:ln>
              <a:solidFill>
                <a:schemeClr val="bg2"/>
              </a:solidFill>
            </a:ln>
          </c:spPr>
        </c:majorGridlines>
        <c:title>
          <c:tx>
            <c:rich>
              <a:bodyPr rot="0" vert="horz"/>
              <a:lstStyle/>
              <a:p>
                <a:pPr>
                  <a:defRPr b="0"/>
                </a:pPr>
                <a:r>
                  <a:rPr lang="uk-UA" b="0"/>
                  <a:t>г</a:t>
                </a:r>
              </a:p>
            </c:rich>
          </c:tx>
          <c:layout>
            <c:manualLayout>
              <c:xMode val="edge"/>
              <c:yMode val="edge"/>
              <c:x val="4.2570507822582261E-3"/>
              <c:y val="2.2124526100904068E-2"/>
            </c:manualLayout>
          </c:layout>
        </c:title>
        <c:numFmt formatCode="0.00" sourceLinked="0"/>
        <c:majorTickMark val="in"/>
        <c:tickLblPos val="nextTo"/>
        <c:spPr>
          <a:ln/>
        </c:spPr>
        <c:crossAx val="85363328"/>
        <c:crosses val="autoZero"/>
        <c:crossBetween val="between"/>
        <c:majorUnit val="3.0000000000000016E-2"/>
        <c:minorUnit val="1.0000000000000005E-2"/>
      </c:valAx>
    </c:plotArea>
    <c:legend>
      <c:legendPos val="b"/>
      <c:layout>
        <c:manualLayout>
          <c:xMode val="edge"/>
          <c:yMode val="edge"/>
          <c:x val="9.9733722230070329E-4"/>
          <c:y val="0.87041856610029011"/>
          <c:w val="0.99800532555539878"/>
          <c:h val="0.12064857024450892"/>
        </c:manualLayout>
      </c:layout>
    </c:legend>
    <c:plotVisOnly val="1"/>
    <c:dispBlanksAs val="gap"/>
  </c:chart>
  <c:txPr>
    <a:bodyPr/>
    <a:lstStyle/>
    <a:p>
      <a:pPr>
        <a:defRPr sz="1200">
          <a:latin typeface="Times New Roman" panose="02020603050405020304" pitchFamily="18" charset="0"/>
          <a:cs typeface="Times New Roman" panose="02020603050405020304" pitchFamily="18" charset="0"/>
        </a:defRPr>
      </a:pPr>
      <a:endParaRPr lang="ru-RU"/>
    </a:p>
  </c:txPr>
  <c:externalData r:id="rId1"/>
</c:chartSpace>
</file>

<file path=word/charts/chart26.xml><?xml version="1.0" encoding="utf-8"?>
<c:chartSpace xmlns:c="http://schemas.openxmlformats.org/drawingml/2006/chart" xmlns:a="http://schemas.openxmlformats.org/drawingml/2006/main" xmlns:r="http://schemas.openxmlformats.org/officeDocument/2006/relationships">
  <c:lang val="ru-RU"/>
  <c:chart>
    <c:plotArea>
      <c:layout>
        <c:manualLayout>
          <c:layoutTarget val="inner"/>
          <c:xMode val="edge"/>
          <c:yMode val="edge"/>
          <c:x val="0.12088926808324012"/>
          <c:y val="5.3912219305920134E-2"/>
          <c:w val="0.85576491096815632"/>
          <c:h val="0.53125871535996649"/>
        </c:manualLayout>
      </c:layout>
      <c:lineChart>
        <c:grouping val="standard"/>
        <c:ser>
          <c:idx val="0"/>
          <c:order val="0"/>
          <c:tx>
            <c:strRef>
              <c:f>'Водозатр.вода+ІТ'!$V$93</c:f>
              <c:strCache>
                <c:ptCount val="1"/>
                <c:pt idx="0">
                  <c:v>5 хв.</c:v>
                </c:pt>
              </c:strCache>
            </c:strRef>
          </c:tx>
          <c:spPr>
            <a:ln>
              <a:solidFill>
                <a:schemeClr val="tx1"/>
              </a:solidFill>
            </a:ln>
          </c:spPr>
          <c:marker>
            <c:symbol val="diamond"/>
            <c:size val="5"/>
            <c:spPr>
              <a:solidFill>
                <a:schemeClr val="tx1"/>
              </a:solidFill>
              <a:ln>
                <a:solidFill>
                  <a:schemeClr val="tx1"/>
                </a:solidFill>
              </a:ln>
            </c:spPr>
          </c:marker>
          <c:cat>
            <c:numRef>
              <c:f>'Водозатр.вода+ІТ'!$U$94:$U$105</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'Водозатр.вода+ІТ'!$V$94:$V$105</c:f>
              <c:numCache>
                <c:formatCode>0.000</c:formatCode>
                <c:ptCount val="12"/>
                <c:pt idx="0">
                  <c:v>6.5983333333333805E-3</c:v>
                </c:pt>
                <c:pt idx="1">
                  <c:v>5.208666766666677E-3</c:v>
                </c:pt>
                <c:pt idx="2">
                  <c:v>6.4033333336666809E-3</c:v>
                </c:pt>
                <c:pt idx="3">
                  <c:v>5.0741666666666704E-3</c:v>
                </c:pt>
                <c:pt idx="4">
                  <c:v>7.0743333333334064E-3</c:v>
                </c:pt>
                <c:pt idx="5">
                  <c:v>5.1700000000000062E-3</c:v>
                </c:pt>
                <c:pt idx="6">
                  <c:v>5.1375000000000014E-3</c:v>
                </c:pt>
                <c:pt idx="7">
                  <c:v>4.0666666666666716E-3</c:v>
                </c:pt>
                <c:pt idx="8">
                  <c:v>4.8566666666666697E-3</c:v>
                </c:pt>
                <c:pt idx="9">
                  <c:v>4.1999999993333316E-3</c:v>
                </c:pt>
                <c:pt idx="10">
                  <c:v>5.3666666666666134E-3</c:v>
                </c:pt>
                <c:pt idx="11">
                  <c:v>4.0166666666666727E-3</c:v>
                </c:pt>
              </c:numCache>
            </c:numRef>
          </c:val>
          <c:extLst xmlns:c16r2="http://schemas.microsoft.com/office/drawing/2015/06/chart">
            <c:ext xmlns:c16="http://schemas.microsoft.com/office/drawing/2014/chart" uri="{C3380CC4-5D6E-409C-BE32-E72D297353CC}">
              <c16:uniqueId val="{00000000-09D7-4F2B-AF78-8C8E769C3250}"/>
            </c:ext>
          </c:extLst>
        </c:ser>
        <c:ser>
          <c:idx val="1"/>
          <c:order val="1"/>
          <c:tx>
            <c:strRef>
              <c:f>'Водозатр.вода+ІТ'!$W$93</c:f>
              <c:strCache>
                <c:ptCount val="1"/>
                <c:pt idx="0">
                  <c:v>10 хв.</c:v>
                </c:pt>
              </c:strCache>
            </c:strRef>
          </c:tx>
          <c:spPr>
            <a:ln>
              <a:solidFill>
                <a:schemeClr val="tx1"/>
              </a:solidFill>
            </a:ln>
          </c:spPr>
          <c:marker>
            <c:symbol val="square"/>
            <c:size val="5"/>
            <c:spPr>
              <a:solidFill>
                <a:schemeClr val="tx1"/>
              </a:solidFill>
              <a:ln>
                <a:solidFill>
                  <a:schemeClr val="tx1"/>
                </a:solidFill>
              </a:ln>
            </c:spPr>
          </c:marker>
          <c:cat>
            <c:numRef>
              <c:f>'Водозатр.вода+ІТ'!$U$94:$U$105</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'Водозатр.вода+ІТ'!$W$94:$W$105</c:f>
              <c:numCache>
                <c:formatCode>0.000</c:formatCode>
                <c:ptCount val="12"/>
                <c:pt idx="0">
                  <c:v>9.2666703333333447E-3</c:v>
                </c:pt>
                <c:pt idx="1">
                  <c:v>8.0870766700333347E-3</c:v>
                </c:pt>
                <c:pt idx="2">
                  <c:v>8.9410000000000028E-3</c:v>
                </c:pt>
                <c:pt idx="3">
                  <c:v>6.7004409996666778E-3</c:v>
                </c:pt>
                <c:pt idx="4">
                  <c:v>8.4124766666666875E-3</c:v>
                </c:pt>
                <c:pt idx="5">
                  <c:v>6.1070666666666693E-3</c:v>
                </c:pt>
                <c:pt idx="6">
                  <c:v>6.1093333333333416E-3</c:v>
                </c:pt>
                <c:pt idx="7">
                  <c:v>5.1133333333333421E-3</c:v>
                </c:pt>
                <c:pt idx="8">
                  <c:v>5.8737000000000095E-3</c:v>
                </c:pt>
                <c:pt idx="9">
                  <c:v>4.2999999999999775E-3</c:v>
                </c:pt>
                <c:pt idx="10">
                  <c:v>6.4332666666666793E-3</c:v>
                </c:pt>
                <c:pt idx="11">
                  <c:v>5.5666666666666738E-3</c:v>
                </c:pt>
              </c:numCache>
            </c:numRef>
          </c:val>
          <c:extLst xmlns:c16r2="http://schemas.microsoft.com/office/drawing/2015/06/chart">
            <c:ext xmlns:c16="http://schemas.microsoft.com/office/drawing/2014/chart" uri="{C3380CC4-5D6E-409C-BE32-E72D297353CC}">
              <c16:uniqueId val="{00000001-09D7-4F2B-AF78-8C8E769C3250}"/>
            </c:ext>
          </c:extLst>
        </c:ser>
        <c:ser>
          <c:idx val="2"/>
          <c:order val="2"/>
          <c:tx>
            <c:strRef>
              <c:f>'Водозатр.вода+ІТ'!$X$93</c:f>
              <c:strCache>
                <c:ptCount val="1"/>
                <c:pt idx="0">
                  <c:v>15 хв.</c:v>
                </c:pt>
              </c:strCache>
            </c:strRef>
          </c:tx>
          <c:spPr>
            <a:ln>
              <a:solidFill>
                <a:schemeClr val="tx1"/>
              </a:solidFill>
            </a:ln>
          </c:spPr>
          <c:marker>
            <c:symbol val="triangle"/>
            <c:size val="5"/>
            <c:spPr>
              <a:solidFill>
                <a:schemeClr val="tx1"/>
              </a:solidFill>
              <a:ln>
                <a:solidFill>
                  <a:schemeClr val="tx1"/>
                </a:solidFill>
              </a:ln>
            </c:spPr>
          </c:marker>
          <c:cat>
            <c:numRef>
              <c:f>'Водозатр.вода+ІТ'!$U$94:$U$105</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'Водозатр.вода+ІТ'!$X$94:$X$105</c:f>
              <c:numCache>
                <c:formatCode>0.000</c:formatCode>
                <c:ptCount val="12"/>
                <c:pt idx="0">
                  <c:v>1.3041466666666685E-2</c:v>
                </c:pt>
                <c:pt idx="1">
                  <c:v>9.4000000003336727E-3</c:v>
                </c:pt>
                <c:pt idx="2">
                  <c:v>1.3500003336666708E-2</c:v>
                </c:pt>
                <c:pt idx="3">
                  <c:v>9.1233800000000004E-3</c:v>
                </c:pt>
                <c:pt idx="4">
                  <c:v>1.6874333333333345E-2</c:v>
                </c:pt>
                <c:pt idx="5">
                  <c:v>9.0258000000000144E-3</c:v>
                </c:pt>
                <c:pt idx="6">
                  <c:v>8.137333333333335E-3</c:v>
                </c:pt>
                <c:pt idx="7">
                  <c:v>6.1333333333333474E-3</c:v>
                </c:pt>
                <c:pt idx="8">
                  <c:v>7.7000000000000089E-3</c:v>
                </c:pt>
                <c:pt idx="9">
                  <c:v>5.9999990000000076E-3</c:v>
                </c:pt>
                <c:pt idx="10">
                  <c:v>7.4999999966666791E-3</c:v>
                </c:pt>
                <c:pt idx="11">
                  <c:v>6.3640000000000007E-3</c:v>
                </c:pt>
              </c:numCache>
            </c:numRef>
          </c:val>
          <c:extLst xmlns:c16r2="http://schemas.microsoft.com/office/drawing/2015/06/chart">
            <c:ext xmlns:c16="http://schemas.microsoft.com/office/drawing/2014/chart" uri="{C3380CC4-5D6E-409C-BE32-E72D297353CC}">
              <c16:uniqueId val="{00000002-09D7-4F2B-AF78-8C8E769C3250}"/>
            </c:ext>
          </c:extLst>
        </c:ser>
        <c:ser>
          <c:idx val="3"/>
          <c:order val="3"/>
          <c:tx>
            <c:strRef>
              <c:f>'Водозатр.вода+ІТ'!$Y$93</c:f>
              <c:strCache>
                <c:ptCount val="1"/>
                <c:pt idx="0">
                  <c:v>20 хв.</c:v>
                </c:pt>
              </c:strCache>
            </c:strRef>
          </c:tx>
          <c:spPr>
            <a:ln>
              <a:solidFill>
                <a:schemeClr val="tx1"/>
              </a:solidFill>
            </a:ln>
          </c:spPr>
          <c:marker>
            <c:symbol val="x"/>
            <c:size val="5"/>
            <c:spPr>
              <a:ln>
                <a:solidFill>
                  <a:schemeClr val="tx1"/>
                </a:solidFill>
              </a:ln>
            </c:spPr>
          </c:marker>
          <c:cat>
            <c:numRef>
              <c:f>'Водозатр.вода+ІТ'!$U$94:$U$105</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'Водозатр.вода+ІТ'!$Y$94:$Y$105</c:f>
              <c:numCache>
                <c:formatCode>0.000</c:formatCode>
                <c:ptCount val="12"/>
                <c:pt idx="0">
                  <c:v>2.150666666666667E-2</c:v>
                </c:pt>
                <c:pt idx="1">
                  <c:v>1.0628E-2</c:v>
                </c:pt>
                <c:pt idx="2">
                  <c:v>2.4007666666666691E-2</c:v>
                </c:pt>
                <c:pt idx="3">
                  <c:v>1.2165999999999934E-2</c:v>
                </c:pt>
                <c:pt idx="4">
                  <c:v>2.3244333333333346E-2</c:v>
                </c:pt>
                <c:pt idx="5">
                  <c:v>1.3946666666666684E-2</c:v>
                </c:pt>
                <c:pt idx="6">
                  <c:v>9.7040766666666705E-3</c:v>
                </c:pt>
                <c:pt idx="7">
                  <c:v>8.153333333333344E-3</c:v>
                </c:pt>
                <c:pt idx="8">
                  <c:v>8.6640000000000068E-3</c:v>
                </c:pt>
                <c:pt idx="9">
                  <c:v>7.9333299966333551E-3</c:v>
                </c:pt>
                <c:pt idx="10">
                  <c:v>8.6804000000000048E-3</c:v>
                </c:pt>
                <c:pt idx="11">
                  <c:v>7.4733333333333518E-3</c:v>
                </c:pt>
              </c:numCache>
            </c:numRef>
          </c:val>
          <c:extLst xmlns:c16r2="http://schemas.microsoft.com/office/drawing/2015/06/chart">
            <c:ext xmlns:c16="http://schemas.microsoft.com/office/drawing/2014/chart" uri="{C3380CC4-5D6E-409C-BE32-E72D297353CC}">
              <c16:uniqueId val="{00000003-09D7-4F2B-AF78-8C8E769C3250}"/>
            </c:ext>
          </c:extLst>
        </c:ser>
        <c:ser>
          <c:idx val="4"/>
          <c:order val="4"/>
          <c:tx>
            <c:strRef>
              <c:f>'Водозатр.вода+ІТ'!$Z$93</c:f>
              <c:strCache>
                <c:ptCount val="1"/>
                <c:pt idx="0">
                  <c:v>30 хв.</c:v>
                </c:pt>
              </c:strCache>
            </c:strRef>
          </c:tx>
          <c:spPr>
            <a:ln>
              <a:solidFill>
                <a:schemeClr val="tx1"/>
              </a:solidFill>
            </a:ln>
          </c:spPr>
          <c:marker>
            <c:symbol val="star"/>
            <c:size val="5"/>
            <c:spPr>
              <a:ln>
                <a:solidFill>
                  <a:schemeClr val="tx1"/>
                </a:solidFill>
              </a:ln>
            </c:spPr>
          </c:marker>
          <c:cat>
            <c:numRef>
              <c:f>'Водозатр.вода+ІТ'!$U$94:$U$105</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'Водозатр.вода+ІТ'!$Z$94:$Z$105</c:f>
              <c:numCache>
                <c:formatCode>0.000</c:formatCode>
                <c:ptCount val="12"/>
                <c:pt idx="0">
                  <c:v>4.2187433333333489E-2</c:v>
                </c:pt>
                <c:pt idx="1">
                  <c:v>2.1566666700003366E-2</c:v>
                </c:pt>
                <c:pt idx="2">
                  <c:v>3.4133333333333342E-2</c:v>
                </c:pt>
                <c:pt idx="3">
                  <c:v>2.4155666666666676E-2</c:v>
                </c:pt>
                <c:pt idx="4">
                  <c:v>3.2206666666666682E-2</c:v>
                </c:pt>
                <c:pt idx="5">
                  <c:v>2.5316666666666671E-2</c:v>
                </c:pt>
                <c:pt idx="6">
                  <c:v>2.1869999999973296E-2</c:v>
                </c:pt>
                <c:pt idx="7">
                  <c:v>9.2633333333333439E-3</c:v>
                </c:pt>
                <c:pt idx="8">
                  <c:v>1.1381666666666681E-2</c:v>
                </c:pt>
                <c:pt idx="9">
                  <c:v>9.666666666666681E-3</c:v>
                </c:pt>
                <c:pt idx="10">
                  <c:v>1.1663333333333348E-2</c:v>
                </c:pt>
                <c:pt idx="11">
                  <c:v>9.4573333333333523E-3</c:v>
                </c:pt>
              </c:numCache>
            </c:numRef>
          </c:val>
          <c:extLst xmlns:c16r2="http://schemas.microsoft.com/office/drawing/2015/06/chart">
            <c:ext xmlns:c16="http://schemas.microsoft.com/office/drawing/2014/chart" uri="{C3380CC4-5D6E-409C-BE32-E72D297353CC}">
              <c16:uniqueId val="{00000004-09D7-4F2B-AF78-8C8E769C3250}"/>
            </c:ext>
          </c:extLst>
        </c:ser>
        <c:ser>
          <c:idx val="5"/>
          <c:order val="5"/>
          <c:tx>
            <c:strRef>
              <c:f>'Водозатр.вода+ІТ'!$AA$93</c:f>
              <c:strCache>
                <c:ptCount val="1"/>
                <c:pt idx="0">
                  <c:v>60 хв.</c:v>
                </c:pt>
              </c:strCache>
            </c:strRef>
          </c:tx>
          <c:spPr>
            <a:ln>
              <a:solidFill>
                <a:schemeClr val="tx1"/>
              </a:solidFill>
            </a:ln>
          </c:spPr>
          <c:marker>
            <c:symbol val="circle"/>
            <c:size val="5"/>
            <c:spPr>
              <a:solidFill>
                <a:schemeClr val="tx1"/>
              </a:solidFill>
              <a:ln>
                <a:solidFill>
                  <a:schemeClr val="tx1"/>
                </a:solidFill>
              </a:ln>
            </c:spPr>
          </c:marker>
          <c:cat>
            <c:numRef>
              <c:f>'Водозатр.вода+ІТ'!$U$94:$U$105</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'Водозатр.вода+ІТ'!$AA$94:$AA$105</c:f>
              <c:numCache>
                <c:formatCode>0.000</c:formatCode>
                <c:ptCount val="12"/>
                <c:pt idx="0">
                  <c:v>6.1036666666667037E-2</c:v>
                </c:pt>
                <c:pt idx="1">
                  <c:v>4.218600000000005E-2</c:v>
                </c:pt>
                <c:pt idx="2">
                  <c:v>6.5383333333333418E-2</c:v>
                </c:pt>
                <c:pt idx="3">
                  <c:v>4.4240996666666636E-2</c:v>
                </c:pt>
                <c:pt idx="4">
                  <c:v>6.5309999999999993E-2</c:v>
                </c:pt>
                <c:pt idx="5">
                  <c:v>4.7915000000000013E-2</c:v>
                </c:pt>
                <c:pt idx="6">
                  <c:v>4.2476666666666704E-2</c:v>
                </c:pt>
                <c:pt idx="7">
                  <c:v>1.1473333333333341E-2</c:v>
                </c:pt>
                <c:pt idx="8">
                  <c:v>2.5511666666666672E-2</c:v>
                </c:pt>
                <c:pt idx="9">
                  <c:v>1.455E-2</c:v>
                </c:pt>
                <c:pt idx="10">
                  <c:v>1.5588333333333301E-2</c:v>
                </c:pt>
                <c:pt idx="11">
                  <c:v>1.1003333333333346E-2</c:v>
                </c:pt>
              </c:numCache>
            </c:numRef>
          </c:val>
          <c:extLst xmlns:c16r2="http://schemas.microsoft.com/office/drawing/2015/06/chart">
            <c:ext xmlns:c16="http://schemas.microsoft.com/office/drawing/2014/chart" uri="{C3380CC4-5D6E-409C-BE32-E72D297353CC}">
              <c16:uniqueId val="{00000005-09D7-4F2B-AF78-8C8E769C3250}"/>
            </c:ext>
          </c:extLst>
        </c:ser>
        <c:dLbls/>
        <c:marker val="1"/>
        <c:axId val="85464192"/>
        <c:axId val="85466112"/>
      </c:lineChart>
      <c:catAx>
        <c:axId val="85464192"/>
        <c:scaling>
          <c:orientation val="minMax"/>
        </c:scaling>
        <c:axPos val="b"/>
        <c:title>
          <c:tx>
            <c:rich>
              <a:bodyPr/>
              <a:lstStyle/>
              <a:p>
                <a:pPr>
                  <a:defRPr b="0"/>
                </a:pPr>
                <a:r>
                  <a:rPr lang="uk-UA" sz="1000" b="0"/>
                  <a:t>Варіанти досліду</a:t>
                </a:r>
              </a:p>
            </c:rich>
          </c:tx>
          <c:layout>
            <c:manualLayout>
              <c:xMode val="edge"/>
              <c:yMode val="edge"/>
              <c:x val="0.8122278507604056"/>
              <c:y val="0.74049734167844405"/>
            </c:manualLayout>
          </c:layout>
        </c:title>
        <c:numFmt formatCode="General" sourceLinked="1"/>
        <c:majorTickMark val="in"/>
        <c:tickLblPos val="nextTo"/>
        <c:spPr>
          <a:ln>
            <a:solidFill>
              <a:schemeClr val="tx1"/>
            </a:solidFill>
          </a:ln>
        </c:spPr>
        <c:crossAx val="85466112"/>
        <c:crosses val="autoZero"/>
        <c:auto val="1"/>
        <c:lblAlgn val="ctr"/>
        <c:lblOffset val="100"/>
      </c:catAx>
      <c:valAx>
        <c:axId val="85466112"/>
        <c:scaling>
          <c:orientation val="minMax"/>
          <c:max val="0.13"/>
          <c:min val="0"/>
        </c:scaling>
        <c:axPos val="l"/>
        <c:majorGridlines>
          <c:spPr>
            <a:ln>
              <a:solidFill>
                <a:schemeClr val="bg2"/>
              </a:solidFill>
            </a:ln>
          </c:spPr>
        </c:majorGridlines>
        <c:title>
          <c:tx>
            <c:rich>
              <a:bodyPr rot="0" vert="horz"/>
              <a:lstStyle/>
              <a:p>
                <a:pPr>
                  <a:defRPr b="0"/>
                </a:pPr>
                <a:r>
                  <a:rPr lang="uk-UA" b="0"/>
                  <a:t>г</a:t>
                </a:r>
              </a:p>
            </c:rich>
          </c:tx>
          <c:layout>
            <c:manualLayout>
              <c:xMode val="edge"/>
              <c:yMode val="edge"/>
              <c:x val="8.4893870963321568E-3"/>
              <c:y val="9.1848935549723211E-3"/>
            </c:manualLayout>
          </c:layout>
        </c:title>
        <c:numFmt formatCode="0.00" sourceLinked="0"/>
        <c:majorTickMark val="in"/>
        <c:tickLblPos val="nextTo"/>
        <c:spPr>
          <a:ln>
            <a:solidFill>
              <a:schemeClr val="tx1"/>
            </a:solidFill>
          </a:ln>
        </c:spPr>
        <c:crossAx val="85464192"/>
        <c:crosses val="autoZero"/>
        <c:crossBetween val="between"/>
        <c:majorUnit val="3.0000000000000016E-2"/>
        <c:minorUnit val="1.0000000000000005E-2"/>
      </c:valAx>
    </c:plotArea>
    <c:legend>
      <c:legendPos val="b"/>
      <c:layout>
        <c:manualLayout>
          <c:xMode val="edge"/>
          <c:yMode val="edge"/>
          <c:x val="6.3608741333917503E-5"/>
          <c:y val="0.88989903869378473"/>
          <c:w val="0.99987278251733158"/>
          <c:h val="0.11010096130621709"/>
        </c:manualLayout>
      </c:layout>
    </c:legend>
    <c:plotVisOnly val="1"/>
    <c:dispBlanksAs val="gap"/>
  </c:chart>
  <c:txPr>
    <a:bodyPr/>
    <a:lstStyle/>
    <a:p>
      <a:pPr>
        <a:defRPr sz="1200">
          <a:latin typeface="Times New Roman" panose="02020603050405020304" pitchFamily="18" charset="0"/>
          <a:cs typeface="Times New Roman" panose="02020603050405020304" pitchFamily="18" charset="0"/>
        </a:defRPr>
      </a:pPr>
      <a:endParaRPr lang="ru-RU"/>
    </a:p>
  </c:txPr>
  <c:externalData r:id="rId1"/>
</c:chartSpace>
</file>

<file path=word/charts/chart27.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337509949074141"/>
          <c:y val="6.5427490854981882E-2"/>
          <c:w val="0.86813375003711468"/>
          <c:h val="0.55316962498331779"/>
        </c:manualLayout>
      </c:layout>
      <c:barChart>
        <c:barDir val="col"/>
        <c:grouping val="clustered"/>
        <c:ser>
          <c:idx val="1"/>
          <c:order val="0"/>
          <c:tx>
            <c:strRef>
              <c:f>'Водний стан пагони'!$E$1</c:f>
              <c:strCache>
                <c:ptCount val="1"/>
                <c:pt idx="0">
                  <c:v>Вода</c:v>
                </c:pt>
              </c:strCache>
            </c:strRef>
          </c:tx>
          <c:spPr>
            <a:pattFill prst="ltHorz">
              <a:fgClr>
                <a:sysClr val="windowText" lastClr="000000"/>
              </a:fgClr>
              <a:bgClr>
                <a:sysClr val="window" lastClr="FFFFFF"/>
              </a:bgClr>
            </a:pattFill>
            <a:ln w="0">
              <a:solidFill>
                <a:sysClr val="windowText" lastClr="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'Водний стан пагони'!$D$2:$D$6</c:f>
              <c:numCache>
                <c:formatCode>General</c:formatCode>
                <c:ptCount val="5"/>
                <c:pt idx="0">
                  <c:v>1</c:v>
                </c:pt>
                <c:pt idx="1">
                  <c:v>2</c:v>
                </c:pt>
                <c:pt idx="2">
                  <c:v>3</c:v>
                </c:pt>
                <c:pt idx="3">
                  <c:v>4</c:v>
                </c:pt>
                <c:pt idx="4">
                  <c:v>5</c:v>
                </c:pt>
              </c:numCache>
            </c:numRef>
          </c:cat>
          <c:val>
            <c:numRef>
              <c:f>'Водний стан пагони'!$E$2:$E$6</c:f>
              <c:numCache>
                <c:formatCode>0.0</c:formatCode>
                <c:ptCount val="5"/>
                <c:pt idx="0">
                  <c:v>92.719015110400179</c:v>
                </c:pt>
                <c:pt idx="1">
                  <c:v>93.583008849557459</c:v>
                </c:pt>
                <c:pt idx="2">
                  <c:v>87.167186375629555</c:v>
                </c:pt>
                <c:pt idx="3">
                  <c:v>86.437663796331236</c:v>
                </c:pt>
                <c:pt idx="4">
                  <c:v>85.574018126888063</c:v>
                </c:pt>
              </c:numCache>
            </c:numRef>
          </c:val>
          <c:extLst xmlns:c16r2="http://schemas.microsoft.com/office/drawing/2015/06/chart">
            <c:ext xmlns:c16="http://schemas.microsoft.com/office/drawing/2014/chart" uri="{C3380CC4-5D6E-409C-BE32-E72D297353CC}">
              <c16:uniqueId val="{00000000-17AB-44E9-97FA-E3575238F896}"/>
            </c:ext>
          </c:extLst>
        </c:ser>
        <c:ser>
          <c:idx val="0"/>
          <c:order val="1"/>
          <c:tx>
            <c:strRef>
              <c:f>'Водний стан пагони'!$F$1</c:f>
              <c:strCache>
                <c:ptCount val="1"/>
                <c:pt idx="0">
                  <c:v>Сухі речовини</c:v>
                </c:pt>
              </c:strCache>
            </c:strRef>
          </c:tx>
          <c:spPr>
            <a:solidFill>
              <a:sysClr val="windowText" lastClr="000000"/>
            </a:solidFill>
            <a:ln w="0">
              <a:solidFill>
                <a:sysClr val="windowText" lastClr="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'Водний стан пагони'!$D$2:$D$6</c:f>
              <c:numCache>
                <c:formatCode>General</c:formatCode>
                <c:ptCount val="5"/>
                <c:pt idx="0">
                  <c:v>1</c:v>
                </c:pt>
                <c:pt idx="1">
                  <c:v>2</c:v>
                </c:pt>
                <c:pt idx="2">
                  <c:v>3</c:v>
                </c:pt>
                <c:pt idx="3">
                  <c:v>4</c:v>
                </c:pt>
                <c:pt idx="4">
                  <c:v>5</c:v>
                </c:pt>
              </c:numCache>
            </c:numRef>
          </c:cat>
          <c:val>
            <c:numRef>
              <c:f>'Водний стан пагони'!$F$2:$F$6</c:f>
              <c:numCache>
                <c:formatCode>0.0</c:formatCode>
                <c:ptCount val="5"/>
                <c:pt idx="0">
                  <c:v>7.2809848895998215</c:v>
                </c:pt>
                <c:pt idx="1">
                  <c:v>6.4169911504424704</c:v>
                </c:pt>
                <c:pt idx="2">
                  <c:v>12.832813624370345</c:v>
                </c:pt>
                <c:pt idx="3">
                  <c:v>13.562336203668931</c:v>
                </c:pt>
                <c:pt idx="4">
                  <c:v>14.425981873111796</c:v>
                </c:pt>
              </c:numCache>
            </c:numRef>
          </c:val>
          <c:extLst xmlns:c16r2="http://schemas.microsoft.com/office/drawing/2015/06/chart">
            <c:ext xmlns:c16="http://schemas.microsoft.com/office/drawing/2014/chart" uri="{C3380CC4-5D6E-409C-BE32-E72D297353CC}">
              <c16:uniqueId val="{00000001-17AB-44E9-97FA-E3575238F896}"/>
            </c:ext>
          </c:extLst>
        </c:ser>
        <c:dLbls/>
        <c:axId val="85521920"/>
        <c:axId val="85523840"/>
      </c:barChart>
      <c:catAx>
        <c:axId val="85521920"/>
        <c:scaling>
          <c:orientation val="minMax"/>
        </c:scaling>
        <c:axPos val="b"/>
        <c:title>
          <c:tx>
            <c:rich>
              <a:bodyPr/>
              <a:lstStyle/>
              <a:p>
                <a:pPr>
                  <a:defRPr sz="1000"/>
                </a:pPr>
                <a:r>
                  <a:rPr lang="uk-UA" sz="1000" b="0" i="0" baseline="0">
                    <a:effectLst/>
                  </a:rPr>
                  <a:t>Варіанти досліду</a:t>
                </a:r>
                <a:endParaRPr lang="en-US" sz="1000">
                  <a:effectLst/>
                </a:endParaRPr>
              </a:p>
            </c:rich>
          </c:tx>
          <c:layout>
            <c:manualLayout>
              <c:xMode val="edge"/>
              <c:yMode val="edge"/>
              <c:x val="0.80703973841275145"/>
              <c:y val="0.75181290021627578"/>
            </c:manualLayout>
          </c:layout>
        </c:title>
        <c:numFmt formatCode="General" sourceLinked="0"/>
        <c:majorTickMark val="in"/>
        <c:tickLblPos val="nextTo"/>
        <c:spPr>
          <a:ln w="6480">
            <a:solidFill>
              <a:sysClr val="windowText" lastClr="000000"/>
            </a:solidFill>
            <a:round/>
          </a:ln>
        </c:spPr>
        <c:crossAx val="85523840"/>
        <c:crosses val="autoZero"/>
        <c:auto val="1"/>
        <c:lblAlgn val="ctr"/>
        <c:lblOffset val="100"/>
      </c:catAx>
      <c:valAx>
        <c:axId val="85523840"/>
        <c:scaling>
          <c:orientation val="minMax"/>
        </c:scaling>
        <c:axPos val="l"/>
        <c:majorGridlines>
          <c:spPr>
            <a:ln w="6480">
              <a:solidFill>
                <a:srgbClr val="E8E8E8"/>
              </a:solidFill>
              <a:round/>
            </a:ln>
          </c:spPr>
        </c:majorGridlines>
        <c:title>
          <c:tx>
            <c:rich>
              <a:bodyPr rot="0"/>
              <a:lstStyle/>
              <a:p>
                <a:pPr>
                  <a:defRPr sz="1000"/>
                </a:pPr>
                <a:r>
                  <a:rPr lang="uk-UA" sz="1000"/>
                  <a:t>%</a:t>
                </a:r>
              </a:p>
            </c:rich>
          </c:tx>
          <c:layout>
            <c:manualLayout>
              <c:xMode val="edge"/>
              <c:yMode val="edge"/>
              <c:x val="1.7633808018472144E-3"/>
              <c:y val="4.1953417240167814E-3"/>
            </c:manualLayout>
          </c:layout>
          <c:spPr>
            <a:noFill/>
            <a:ln w="0">
              <a:noFill/>
            </a:ln>
          </c:spPr>
        </c:title>
        <c:numFmt formatCode="General" sourceLinked="0"/>
        <c:majorTickMark val="in"/>
        <c:tickLblPos val="nextTo"/>
        <c:spPr>
          <a:ln w="6480">
            <a:solidFill>
              <a:sysClr val="windowText" lastClr="000000"/>
            </a:solidFill>
            <a:round/>
          </a:ln>
        </c:spPr>
        <c:crossAx val="85521920"/>
        <c:crosses val="autoZero"/>
        <c:crossBetween val="between"/>
        <c:majorUnit val="20"/>
      </c:valAx>
      <c:spPr>
        <a:noFill/>
        <a:ln w="0">
          <a:noFill/>
        </a:ln>
      </c:spPr>
    </c:plotArea>
    <c:legend>
      <c:legendPos val="r"/>
      <c:layout>
        <c:manualLayout>
          <c:xMode val="edge"/>
          <c:yMode val="edge"/>
          <c:x val="5.0211337011896876E-3"/>
          <c:y val="0.85460096089683701"/>
          <c:w val="0.98281489597889793"/>
          <c:h val="0.13825570532497"/>
        </c:manualLayout>
      </c:layout>
    </c:legend>
    <c:plotVisOnly val="1"/>
    <c:dispBlanksAs val="gap"/>
    <c:showDLblsOverMax val="1"/>
  </c:chart>
  <c:spPr>
    <a:solidFill>
      <a:srgbClr val="FFFFFF"/>
    </a:solidFill>
    <a:ln w="9360">
      <a:solidFill>
        <a:schemeClr val="tx1"/>
      </a:solidFill>
      <a:round/>
    </a:ln>
  </c:spPr>
  <c:txPr>
    <a:bodyPr/>
    <a:lstStyle/>
    <a:p>
      <a:pPr>
        <a:defRPr sz="1200" b="0">
          <a:latin typeface="Times New Roman" panose="02020603050405020304" pitchFamily="18" charset="0"/>
          <a:cs typeface="Times New Roman" panose="02020603050405020304" pitchFamily="18" charset="0"/>
        </a:defRPr>
      </a:pPr>
      <a:endParaRPr lang="ru-RU"/>
    </a:p>
  </c:txPr>
  <c:externalData r:id="rId2"/>
</c:chartSpace>
</file>

<file path=word/charts/chart28.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547306423533646"/>
          <c:y val="9.6417481088646853E-2"/>
          <c:w val="0.87271166624064012"/>
          <c:h val="0.57292995531153879"/>
        </c:manualLayout>
      </c:layout>
      <c:barChart>
        <c:barDir val="col"/>
        <c:grouping val="clustered"/>
        <c:ser>
          <c:idx val="1"/>
          <c:order val="0"/>
          <c:tx>
            <c:strRef>
              <c:f>'Водний стан пагони'!$E$7</c:f>
              <c:strCache>
                <c:ptCount val="1"/>
                <c:pt idx="0">
                  <c:v>Вода</c:v>
                </c:pt>
              </c:strCache>
            </c:strRef>
          </c:tx>
          <c:spPr>
            <a:pattFill prst="ltHorz">
              <a:fgClr>
                <a:sysClr val="windowText" lastClr="000000"/>
              </a:fgClr>
              <a:bgClr>
                <a:sysClr val="window" lastClr="FFFFFF"/>
              </a:bgClr>
            </a:pattFill>
            <a:ln w="0">
              <a:solidFill>
                <a:sysClr val="windowText" lastClr="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'Водний стан пагони'!$D$8:$D$12</c:f>
              <c:numCache>
                <c:formatCode>General</c:formatCode>
                <c:ptCount val="5"/>
                <c:pt idx="0">
                  <c:v>1</c:v>
                </c:pt>
                <c:pt idx="1">
                  <c:v>2</c:v>
                </c:pt>
                <c:pt idx="2">
                  <c:v>3</c:v>
                </c:pt>
                <c:pt idx="3">
                  <c:v>4</c:v>
                </c:pt>
                <c:pt idx="4">
                  <c:v>5</c:v>
                </c:pt>
              </c:numCache>
            </c:numRef>
          </c:cat>
          <c:val>
            <c:numRef>
              <c:f>'Водний стан пагони'!$E$8:$E$12</c:f>
              <c:numCache>
                <c:formatCode>0.0</c:formatCode>
                <c:ptCount val="5"/>
                <c:pt idx="0">
                  <c:v>92.101325237649178</c:v>
                </c:pt>
                <c:pt idx="1">
                  <c:v>92.844379467186485</c:v>
                </c:pt>
                <c:pt idx="2">
                  <c:v>88.943488943488958</c:v>
                </c:pt>
                <c:pt idx="3">
                  <c:v>88.530624263839897</c:v>
                </c:pt>
                <c:pt idx="4">
                  <c:v>86.388316794607789</c:v>
                </c:pt>
              </c:numCache>
            </c:numRef>
          </c:val>
          <c:extLst xmlns:c16r2="http://schemas.microsoft.com/office/drawing/2015/06/chart">
            <c:ext xmlns:c16="http://schemas.microsoft.com/office/drawing/2014/chart" uri="{C3380CC4-5D6E-409C-BE32-E72D297353CC}">
              <c16:uniqueId val="{00000000-6106-4597-821D-D27D77C19943}"/>
            </c:ext>
          </c:extLst>
        </c:ser>
        <c:ser>
          <c:idx val="0"/>
          <c:order val="1"/>
          <c:tx>
            <c:strRef>
              <c:f>'Водний стан пагони'!$F$7</c:f>
              <c:strCache>
                <c:ptCount val="1"/>
                <c:pt idx="0">
                  <c:v>Сухі речовини</c:v>
                </c:pt>
              </c:strCache>
            </c:strRef>
          </c:tx>
          <c:spPr>
            <a:solidFill>
              <a:sysClr val="windowText" lastClr="000000"/>
            </a:solidFill>
            <a:ln w="0">
              <a:solidFill>
                <a:sysClr val="windowText" lastClr="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'Водний стан пагони'!$D$8:$D$12</c:f>
              <c:numCache>
                <c:formatCode>General</c:formatCode>
                <c:ptCount val="5"/>
                <c:pt idx="0">
                  <c:v>1</c:v>
                </c:pt>
                <c:pt idx="1">
                  <c:v>2</c:v>
                </c:pt>
                <c:pt idx="2">
                  <c:v>3</c:v>
                </c:pt>
                <c:pt idx="3">
                  <c:v>4</c:v>
                </c:pt>
                <c:pt idx="4">
                  <c:v>5</c:v>
                </c:pt>
              </c:numCache>
            </c:numRef>
          </c:cat>
          <c:val>
            <c:numRef>
              <c:f>'Водний стан пагони'!$F$8:$F$12</c:f>
              <c:numCache>
                <c:formatCode>0.0</c:formatCode>
                <c:ptCount val="5"/>
                <c:pt idx="0">
                  <c:v>7.8986747623507796</c:v>
                </c:pt>
                <c:pt idx="1">
                  <c:v>7.155620532813515</c:v>
                </c:pt>
                <c:pt idx="2">
                  <c:v>11.05651105651105</c:v>
                </c:pt>
                <c:pt idx="3">
                  <c:v>11.469375736160117</c:v>
                </c:pt>
                <c:pt idx="4">
                  <c:v>13.611683205392216</c:v>
                </c:pt>
              </c:numCache>
            </c:numRef>
          </c:val>
          <c:extLst xmlns:c16r2="http://schemas.microsoft.com/office/drawing/2015/06/chart">
            <c:ext xmlns:c16="http://schemas.microsoft.com/office/drawing/2014/chart" uri="{C3380CC4-5D6E-409C-BE32-E72D297353CC}">
              <c16:uniqueId val="{00000001-6106-4597-821D-D27D77C19943}"/>
            </c:ext>
          </c:extLst>
        </c:ser>
        <c:dLbls/>
        <c:axId val="85571456"/>
        <c:axId val="85590016"/>
      </c:barChart>
      <c:catAx>
        <c:axId val="85571456"/>
        <c:scaling>
          <c:orientation val="minMax"/>
        </c:scaling>
        <c:axPos val="b"/>
        <c:title>
          <c:tx>
            <c:rich>
              <a:bodyPr/>
              <a:lstStyle/>
              <a:p>
                <a:pPr>
                  <a:defRPr sz="1000"/>
                </a:pPr>
                <a:r>
                  <a:rPr lang="uk-UA" sz="1000"/>
                  <a:t>Варіанти досліду</a:t>
                </a:r>
              </a:p>
            </c:rich>
          </c:tx>
          <c:layout>
            <c:manualLayout>
              <c:xMode val="edge"/>
              <c:yMode val="edge"/>
              <c:x val="0.80439566111879601"/>
              <c:y val="0.79914568150090592"/>
            </c:manualLayout>
          </c:layout>
        </c:title>
        <c:numFmt formatCode="General" sourceLinked="0"/>
        <c:majorTickMark val="in"/>
        <c:tickLblPos val="nextTo"/>
        <c:spPr>
          <a:ln w="6480">
            <a:solidFill>
              <a:sysClr val="windowText" lastClr="000000"/>
            </a:solidFill>
            <a:round/>
          </a:ln>
        </c:spPr>
        <c:crossAx val="85590016"/>
        <c:crosses val="autoZero"/>
        <c:auto val="1"/>
        <c:lblAlgn val="ctr"/>
        <c:lblOffset val="100"/>
      </c:catAx>
      <c:valAx>
        <c:axId val="85590016"/>
        <c:scaling>
          <c:orientation val="minMax"/>
        </c:scaling>
        <c:axPos val="l"/>
        <c:majorGridlines>
          <c:spPr>
            <a:ln w="6480">
              <a:solidFill>
                <a:srgbClr val="E8E8E8"/>
              </a:solidFill>
              <a:round/>
            </a:ln>
          </c:spPr>
        </c:majorGridlines>
        <c:title>
          <c:tx>
            <c:rich>
              <a:bodyPr rot="0" vert="horz"/>
              <a:lstStyle/>
              <a:p>
                <a:pPr>
                  <a:defRPr sz="1000"/>
                </a:pPr>
                <a:r>
                  <a:rPr lang="en-US" sz="1000"/>
                  <a:t>%</a:t>
                </a:r>
              </a:p>
            </c:rich>
          </c:tx>
          <c:layout>
            <c:manualLayout>
              <c:xMode val="edge"/>
              <c:yMode val="edge"/>
              <c:x val="1.9601290629373855E-3"/>
              <c:y val="1.0673812832219499E-2"/>
            </c:manualLayout>
          </c:layout>
        </c:title>
        <c:numFmt formatCode="General" sourceLinked="0"/>
        <c:majorTickMark val="in"/>
        <c:tickLblPos val="nextTo"/>
        <c:spPr>
          <a:ln w="6480">
            <a:solidFill>
              <a:sysClr val="windowText" lastClr="000000"/>
            </a:solidFill>
            <a:round/>
          </a:ln>
        </c:spPr>
        <c:crossAx val="85571456"/>
        <c:crosses val="autoZero"/>
        <c:crossBetween val="between"/>
        <c:majorUnit val="20"/>
      </c:valAx>
      <c:spPr>
        <a:noFill/>
        <a:ln w="0">
          <a:noFill/>
        </a:ln>
      </c:spPr>
    </c:plotArea>
    <c:legend>
      <c:legendPos val="b"/>
      <c:layout>
        <c:manualLayout>
          <c:xMode val="edge"/>
          <c:yMode val="edge"/>
          <c:x val="0"/>
          <c:y val="0.87724188288323146"/>
          <c:w val="0.9924245288869179"/>
          <c:h val="0.12274979314241892"/>
        </c:manualLayout>
      </c:layout>
      <c:spPr>
        <a:noFill/>
        <a:ln w="0">
          <a:noFill/>
        </a:ln>
      </c:spPr>
    </c:legend>
    <c:plotVisOnly val="1"/>
    <c:dispBlanksAs val="gap"/>
    <c:showDLblsOverMax val="1"/>
  </c:chart>
  <c:spPr>
    <a:solidFill>
      <a:srgbClr val="FFFFFF"/>
    </a:solidFill>
    <a:ln w="9360">
      <a:solidFill>
        <a:schemeClr val="tx1"/>
      </a:solidFill>
      <a:round/>
    </a:ln>
  </c:spPr>
  <c:txPr>
    <a:bodyPr/>
    <a:lstStyle/>
    <a:p>
      <a:pPr>
        <a:defRPr sz="1200" b="0">
          <a:latin typeface="Times New Roman" panose="02020603050405020304" pitchFamily="18" charset="0"/>
          <a:cs typeface="Times New Roman" panose="02020603050405020304" pitchFamily="18" charset="0"/>
        </a:defRPr>
      </a:pPr>
      <a:endParaRPr lang="ru-RU"/>
    </a:p>
  </c:txPr>
  <c:externalData r:id="rId2"/>
</c:chartSpace>
</file>

<file path=word/charts/chart29.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558828792245112"/>
          <c:y val="8.7655517419297044E-2"/>
          <c:w val="0.87338463252258669"/>
          <c:h val="0.56149626033587963"/>
        </c:manualLayout>
      </c:layout>
      <c:barChart>
        <c:barDir val="col"/>
        <c:grouping val="clustered"/>
        <c:ser>
          <c:idx val="1"/>
          <c:order val="0"/>
          <c:tx>
            <c:strRef>
              <c:f>'Водний стан пагони'!$E$13</c:f>
              <c:strCache>
                <c:ptCount val="1"/>
                <c:pt idx="0">
                  <c:v>Вода</c:v>
                </c:pt>
              </c:strCache>
            </c:strRef>
          </c:tx>
          <c:spPr>
            <a:pattFill prst="ltHorz">
              <a:fgClr>
                <a:sysClr val="windowText" lastClr="000000"/>
              </a:fgClr>
              <a:bgClr>
                <a:sysClr val="window" lastClr="FFFFFF"/>
              </a:bgClr>
            </a:pattFill>
            <a:ln w="0">
              <a:solidFill>
                <a:schemeClr val="tx1"/>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'Водний стан пагони'!$D$14:$D$18</c:f>
              <c:numCache>
                <c:formatCode>General</c:formatCode>
                <c:ptCount val="5"/>
                <c:pt idx="0">
                  <c:v>1</c:v>
                </c:pt>
                <c:pt idx="1">
                  <c:v>2</c:v>
                </c:pt>
                <c:pt idx="2">
                  <c:v>3</c:v>
                </c:pt>
                <c:pt idx="3">
                  <c:v>4</c:v>
                </c:pt>
                <c:pt idx="4">
                  <c:v>5</c:v>
                </c:pt>
              </c:numCache>
            </c:numRef>
          </c:cat>
          <c:val>
            <c:numRef>
              <c:f>'Водний стан пагони'!$E$14:$E$18</c:f>
              <c:numCache>
                <c:formatCode>0.0</c:formatCode>
                <c:ptCount val="5"/>
                <c:pt idx="0">
                  <c:v>93.758144383633038</c:v>
                </c:pt>
                <c:pt idx="1">
                  <c:v>93.128663992594738</c:v>
                </c:pt>
                <c:pt idx="2">
                  <c:v>87.025231629858453</c:v>
                </c:pt>
                <c:pt idx="3">
                  <c:v>87.263206530109272</c:v>
                </c:pt>
                <c:pt idx="4">
                  <c:v>84.966274151137597</c:v>
                </c:pt>
              </c:numCache>
            </c:numRef>
          </c:val>
          <c:extLst xmlns:c16r2="http://schemas.microsoft.com/office/drawing/2015/06/chart">
            <c:ext xmlns:c16="http://schemas.microsoft.com/office/drawing/2014/chart" uri="{C3380CC4-5D6E-409C-BE32-E72D297353CC}">
              <c16:uniqueId val="{00000000-C8DF-4D7B-81C7-2B7E8FEAAA89}"/>
            </c:ext>
          </c:extLst>
        </c:ser>
        <c:ser>
          <c:idx val="0"/>
          <c:order val="1"/>
          <c:tx>
            <c:strRef>
              <c:f>'Водний стан пагони'!$F$13</c:f>
              <c:strCache>
                <c:ptCount val="1"/>
                <c:pt idx="0">
                  <c:v>Сухі речовини</c:v>
                </c:pt>
              </c:strCache>
            </c:strRef>
          </c:tx>
          <c:spPr>
            <a:solidFill>
              <a:sysClr val="windowText" lastClr="000000"/>
            </a:solidFill>
            <a:ln w="0">
              <a:solidFill>
                <a:sysClr val="windowText" lastClr="000000"/>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'Водний стан пагони'!$D$14:$D$18</c:f>
              <c:numCache>
                <c:formatCode>General</c:formatCode>
                <c:ptCount val="5"/>
                <c:pt idx="0">
                  <c:v>1</c:v>
                </c:pt>
                <c:pt idx="1">
                  <c:v>2</c:v>
                </c:pt>
                <c:pt idx="2">
                  <c:v>3</c:v>
                </c:pt>
                <c:pt idx="3">
                  <c:v>4</c:v>
                </c:pt>
                <c:pt idx="4">
                  <c:v>5</c:v>
                </c:pt>
              </c:numCache>
            </c:numRef>
          </c:cat>
          <c:val>
            <c:numRef>
              <c:f>'Водний стан пагони'!$F$14:$F$18</c:f>
              <c:numCache>
                <c:formatCode>0.0</c:formatCode>
                <c:ptCount val="5"/>
                <c:pt idx="0">
                  <c:v>6.2418556163669559</c:v>
                </c:pt>
                <c:pt idx="1">
                  <c:v>6.8713360074051053</c:v>
                </c:pt>
                <c:pt idx="2">
                  <c:v>12.974768370141547</c:v>
                </c:pt>
                <c:pt idx="3">
                  <c:v>12.736793469890713</c:v>
                </c:pt>
                <c:pt idx="4">
                  <c:v>15.03372584886246</c:v>
                </c:pt>
              </c:numCache>
            </c:numRef>
          </c:val>
          <c:extLst xmlns:c16r2="http://schemas.microsoft.com/office/drawing/2015/06/chart">
            <c:ext xmlns:c16="http://schemas.microsoft.com/office/drawing/2014/chart" uri="{C3380CC4-5D6E-409C-BE32-E72D297353CC}">
              <c16:uniqueId val="{00000001-C8DF-4D7B-81C7-2B7E8FEAAA89}"/>
            </c:ext>
          </c:extLst>
        </c:ser>
        <c:dLbls/>
        <c:axId val="86907136"/>
        <c:axId val="86913408"/>
      </c:barChart>
      <c:catAx>
        <c:axId val="86907136"/>
        <c:scaling>
          <c:orientation val="minMax"/>
        </c:scaling>
        <c:axPos val="b"/>
        <c:title>
          <c:tx>
            <c:rich>
              <a:bodyPr/>
              <a:lstStyle/>
              <a:p>
                <a:pPr>
                  <a:defRPr sz="1000"/>
                </a:pPr>
                <a:r>
                  <a:rPr lang="uk-UA" sz="1000" b="0" i="0" baseline="0">
                    <a:effectLst/>
                  </a:rPr>
                  <a:t>Варіанти досліду</a:t>
                </a:r>
                <a:endParaRPr lang="en-US" sz="1000">
                  <a:effectLst/>
                </a:endParaRPr>
              </a:p>
            </c:rich>
          </c:tx>
          <c:layout>
            <c:manualLayout>
              <c:xMode val="edge"/>
              <c:yMode val="edge"/>
              <c:x val="0.80640956256272966"/>
              <c:y val="0.76775299598178792"/>
            </c:manualLayout>
          </c:layout>
        </c:title>
        <c:numFmt formatCode="General" sourceLinked="0"/>
        <c:majorTickMark val="in"/>
        <c:tickLblPos val="nextTo"/>
        <c:spPr>
          <a:ln w="6480">
            <a:solidFill>
              <a:sysClr val="windowText" lastClr="000000"/>
            </a:solidFill>
            <a:round/>
          </a:ln>
        </c:spPr>
        <c:crossAx val="86913408"/>
        <c:crosses val="autoZero"/>
        <c:auto val="1"/>
        <c:lblAlgn val="ctr"/>
        <c:lblOffset val="100"/>
      </c:catAx>
      <c:valAx>
        <c:axId val="86913408"/>
        <c:scaling>
          <c:orientation val="minMax"/>
        </c:scaling>
        <c:axPos val="l"/>
        <c:majorGridlines>
          <c:spPr>
            <a:ln w="6480">
              <a:solidFill>
                <a:srgbClr val="E8E8E8"/>
              </a:solidFill>
              <a:round/>
            </a:ln>
          </c:spPr>
        </c:majorGridlines>
        <c:title>
          <c:tx>
            <c:rich>
              <a:bodyPr rot="0" vert="horz"/>
              <a:lstStyle/>
              <a:p>
                <a:pPr>
                  <a:defRPr sz="1000"/>
                </a:pPr>
                <a:r>
                  <a:rPr lang="en-US" sz="1000"/>
                  <a:t>%</a:t>
                </a:r>
              </a:p>
            </c:rich>
          </c:tx>
          <c:layout>
            <c:manualLayout>
              <c:xMode val="edge"/>
              <c:yMode val="edge"/>
              <c:x val="1.7795586073687472E-3"/>
              <c:y val="9.3146689997083768E-3"/>
            </c:manualLayout>
          </c:layout>
        </c:title>
        <c:numFmt formatCode="General" sourceLinked="0"/>
        <c:majorTickMark val="in"/>
        <c:tickLblPos val="nextTo"/>
        <c:spPr>
          <a:ln w="6480">
            <a:solidFill>
              <a:sysClr val="windowText" lastClr="000000"/>
            </a:solidFill>
            <a:round/>
          </a:ln>
        </c:spPr>
        <c:crossAx val="86907136"/>
        <c:crosses val="autoZero"/>
        <c:crossBetween val="between"/>
        <c:majorUnit val="20"/>
      </c:valAx>
      <c:spPr>
        <a:noFill/>
        <a:ln w="0">
          <a:noFill/>
        </a:ln>
      </c:spPr>
    </c:plotArea>
    <c:legend>
      <c:legendPos val="r"/>
      <c:layout>
        <c:manualLayout>
          <c:xMode val="edge"/>
          <c:yMode val="edge"/>
          <c:x val="3.4120101541361279E-3"/>
          <c:y val="0.84956485702445084"/>
          <c:w val="0.99417486243273667"/>
          <c:h val="0.14464639288510026"/>
        </c:manualLayout>
      </c:layout>
    </c:legend>
    <c:plotVisOnly val="1"/>
    <c:dispBlanksAs val="gap"/>
    <c:showDLblsOverMax val="1"/>
  </c:chart>
  <c:spPr>
    <a:solidFill>
      <a:srgbClr val="FFFFFF"/>
    </a:solidFill>
    <a:ln w="9360">
      <a:solidFill>
        <a:schemeClr val="tx1"/>
      </a:solidFill>
      <a:round/>
    </a:ln>
  </c:spPr>
  <c:txPr>
    <a:bodyPr/>
    <a:lstStyle/>
    <a:p>
      <a:pPr>
        <a:defRPr sz="1200" b="0">
          <a:latin typeface="Times New Roman" panose="02020603050405020304" pitchFamily="18" charset="0"/>
          <a:cs typeface="Times New Roman" panose="02020603050405020304" pitchFamily="18" charset="0"/>
        </a:defRPr>
      </a:pPr>
      <a:endParaRPr lang="ru-RU"/>
    </a:p>
  </c:txPr>
  <c:externalData r:id="rId2"/>
</c:chartSpace>
</file>

<file path=word/charts/chart30.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0366084129491079"/>
          <c:y val="9.309942219705819E-2"/>
          <c:w val="0.87531207040520798"/>
          <c:h val="0.56609014726064066"/>
        </c:manualLayout>
      </c:layout>
      <c:barChart>
        <c:barDir val="col"/>
        <c:grouping val="clustered"/>
        <c:ser>
          <c:idx val="1"/>
          <c:order val="0"/>
          <c:tx>
            <c:strRef>
              <c:f>'Водний стан пагони'!$E$19</c:f>
              <c:strCache>
                <c:ptCount val="1"/>
                <c:pt idx="0">
                  <c:v>Вода</c:v>
                </c:pt>
              </c:strCache>
            </c:strRef>
          </c:tx>
          <c:spPr>
            <a:pattFill prst="ltHorz">
              <a:fgClr>
                <a:sysClr val="windowText" lastClr="000000"/>
              </a:fgClr>
              <a:bgClr>
                <a:sysClr val="window" lastClr="FFFFFF"/>
              </a:bgClr>
            </a:pattFill>
            <a:ln w="0">
              <a:solidFill>
                <a:schemeClr val="tx1"/>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'Водний стан пагони'!$D$20:$D$24</c:f>
              <c:numCache>
                <c:formatCode>General</c:formatCode>
                <c:ptCount val="5"/>
                <c:pt idx="0">
                  <c:v>1</c:v>
                </c:pt>
                <c:pt idx="1">
                  <c:v>2</c:v>
                </c:pt>
                <c:pt idx="2">
                  <c:v>3</c:v>
                </c:pt>
                <c:pt idx="3">
                  <c:v>4</c:v>
                </c:pt>
                <c:pt idx="4">
                  <c:v>5</c:v>
                </c:pt>
              </c:numCache>
            </c:numRef>
          </c:cat>
          <c:val>
            <c:numRef>
              <c:f>'Водний стан пагони'!$E$20:$E$24</c:f>
              <c:numCache>
                <c:formatCode>0.0</c:formatCode>
                <c:ptCount val="5"/>
                <c:pt idx="0">
                  <c:v>91.59707724425887</c:v>
                </c:pt>
                <c:pt idx="1">
                  <c:v>92.737041090438751</c:v>
                </c:pt>
                <c:pt idx="2">
                  <c:v>86.979371961634371</c:v>
                </c:pt>
                <c:pt idx="3">
                  <c:v>86.886938564790725</c:v>
                </c:pt>
                <c:pt idx="4">
                  <c:v>85.755087468761118</c:v>
                </c:pt>
              </c:numCache>
            </c:numRef>
          </c:val>
          <c:extLst xmlns:c16r2="http://schemas.microsoft.com/office/drawing/2015/06/chart">
            <c:ext xmlns:c16="http://schemas.microsoft.com/office/drawing/2014/chart" uri="{C3380CC4-5D6E-409C-BE32-E72D297353CC}">
              <c16:uniqueId val="{00000000-E015-4A1B-92A5-53EA44C97C1F}"/>
            </c:ext>
          </c:extLst>
        </c:ser>
        <c:ser>
          <c:idx val="0"/>
          <c:order val="1"/>
          <c:tx>
            <c:strRef>
              <c:f>'Водний стан пагони'!$F$19</c:f>
              <c:strCache>
                <c:ptCount val="1"/>
                <c:pt idx="0">
                  <c:v>Сухі речовини</c:v>
                </c:pt>
              </c:strCache>
            </c:strRef>
          </c:tx>
          <c:spPr>
            <a:solidFill>
              <a:sysClr val="windowText" lastClr="000000"/>
            </a:solidFill>
            <a:ln w="0">
              <a:solidFill>
                <a:schemeClr val="tx1"/>
              </a:solidFill>
            </a:ln>
          </c:spPr>
          <c:dLbls>
            <c:spPr>
              <a:noFill/>
              <a:ln>
                <a:noFill/>
              </a:ln>
              <a:effectLst/>
            </c:spPr>
            <c:dLblPos val="outEnd"/>
            <c:showBubbleSize val="1"/>
            <c:separator>; </c:separator>
            <c:extLst xmlns:c16r2="http://schemas.microsoft.com/office/drawing/2015/06/chart">
              <c:ext xmlns:c15="http://schemas.microsoft.com/office/drawing/2012/chart" uri="{CE6537A1-D6FC-4f65-9D91-7224C49458BB}">
                <c15:showLeaderLines val="1"/>
              </c:ext>
            </c:extLst>
          </c:dLbls>
          <c:cat>
            <c:numRef>
              <c:f>'Водний стан пагони'!$D$20:$D$24</c:f>
              <c:numCache>
                <c:formatCode>General</c:formatCode>
                <c:ptCount val="5"/>
                <c:pt idx="0">
                  <c:v>1</c:v>
                </c:pt>
                <c:pt idx="1">
                  <c:v>2</c:v>
                </c:pt>
                <c:pt idx="2">
                  <c:v>3</c:v>
                </c:pt>
                <c:pt idx="3">
                  <c:v>4</c:v>
                </c:pt>
                <c:pt idx="4">
                  <c:v>5</c:v>
                </c:pt>
              </c:numCache>
            </c:numRef>
          </c:cat>
          <c:val>
            <c:numRef>
              <c:f>'Водний стан пагони'!$F$20:$F$24</c:f>
              <c:numCache>
                <c:formatCode>0.0</c:formatCode>
                <c:ptCount val="5"/>
                <c:pt idx="0">
                  <c:v>8.4029227557411303</c:v>
                </c:pt>
                <c:pt idx="1">
                  <c:v>7.2629589095612346</c:v>
                </c:pt>
                <c:pt idx="2">
                  <c:v>13.020628038365544</c:v>
                </c:pt>
                <c:pt idx="3">
                  <c:v>13.113061435209161</c:v>
                </c:pt>
                <c:pt idx="4">
                  <c:v>14.244912531238857</c:v>
                </c:pt>
              </c:numCache>
            </c:numRef>
          </c:val>
          <c:extLst xmlns:c16r2="http://schemas.microsoft.com/office/drawing/2015/06/chart">
            <c:ext xmlns:c16="http://schemas.microsoft.com/office/drawing/2014/chart" uri="{C3380CC4-5D6E-409C-BE32-E72D297353CC}">
              <c16:uniqueId val="{00000001-E015-4A1B-92A5-53EA44C97C1F}"/>
            </c:ext>
          </c:extLst>
        </c:ser>
        <c:dLbls/>
        <c:axId val="86968960"/>
        <c:axId val="86983424"/>
      </c:barChart>
      <c:catAx>
        <c:axId val="86968960"/>
        <c:scaling>
          <c:orientation val="minMax"/>
        </c:scaling>
        <c:axPos val="b"/>
        <c:title>
          <c:tx>
            <c:rich>
              <a:bodyPr/>
              <a:lstStyle/>
              <a:p>
                <a:pPr>
                  <a:defRPr sz="1000"/>
                </a:pPr>
                <a:r>
                  <a:rPr lang="uk-UA" sz="1000"/>
                  <a:t>Варіанти досліду</a:t>
                </a:r>
              </a:p>
            </c:rich>
          </c:tx>
          <c:layout>
            <c:manualLayout>
              <c:xMode val="edge"/>
              <c:yMode val="edge"/>
              <c:x val="0.80944661188653122"/>
              <c:y val="0.78418029998349514"/>
            </c:manualLayout>
          </c:layout>
        </c:title>
        <c:numFmt formatCode="General" sourceLinked="0"/>
        <c:majorTickMark val="in"/>
        <c:tickLblPos val="nextTo"/>
        <c:spPr>
          <a:ln w="6480">
            <a:solidFill>
              <a:sysClr val="windowText" lastClr="000000"/>
            </a:solidFill>
            <a:round/>
          </a:ln>
        </c:spPr>
        <c:crossAx val="86983424"/>
        <c:crosses val="autoZero"/>
        <c:auto val="1"/>
        <c:lblAlgn val="ctr"/>
        <c:lblOffset val="100"/>
      </c:catAx>
      <c:valAx>
        <c:axId val="86983424"/>
        <c:scaling>
          <c:orientation val="minMax"/>
        </c:scaling>
        <c:axPos val="l"/>
        <c:majorGridlines>
          <c:spPr>
            <a:ln w="6480">
              <a:solidFill>
                <a:srgbClr val="E8E8E8"/>
              </a:solidFill>
              <a:round/>
            </a:ln>
          </c:spPr>
        </c:majorGridlines>
        <c:title>
          <c:tx>
            <c:rich>
              <a:bodyPr rot="0" vert="horz"/>
              <a:lstStyle/>
              <a:p>
                <a:pPr>
                  <a:defRPr sz="1000"/>
                </a:pPr>
                <a:r>
                  <a:rPr lang="en-US" sz="1000"/>
                  <a:t>%</a:t>
                </a:r>
              </a:p>
            </c:rich>
          </c:tx>
          <c:layout>
            <c:manualLayout>
              <c:xMode val="edge"/>
              <c:yMode val="edge"/>
              <c:x val="1.9274466275403463E-3"/>
              <c:y val="1.6616670124809684E-3"/>
            </c:manualLayout>
          </c:layout>
        </c:title>
        <c:numFmt formatCode="General" sourceLinked="0"/>
        <c:majorTickMark val="in"/>
        <c:tickLblPos val="nextTo"/>
        <c:spPr>
          <a:ln w="6480">
            <a:solidFill>
              <a:sysClr val="windowText" lastClr="000000"/>
            </a:solidFill>
            <a:round/>
          </a:ln>
        </c:spPr>
        <c:crossAx val="86968960"/>
        <c:crosses val="autoZero"/>
        <c:crossBetween val="between"/>
        <c:majorUnit val="20"/>
        <c:minorUnit val="10"/>
      </c:valAx>
      <c:spPr>
        <a:noFill/>
        <a:ln w="0">
          <a:noFill/>
        </a:ln>
      </c:spPr>
    </c:plotArea>
    <c:legend>
      <c:legendPos val="b"/>
      <c:layout>
        <c:manualLayout>
          <c:xMode val="edge"/>
          <c:yMode val="edge"/>
          <c:x val="1.136106634669707E-3"/>
          <c:y val="0.86309724263453613"/>
          <c:w val="0.99580015838379365"/>
          <c:h val="0.13690275736546548"/>
        </c:manualLayout>
      </c:layout>
      <c:spPr>
        <a:noFill/>
        <a:ln w="0">
          <a:noFill/>
        </a:ln>
      </c:spPr>
    </c:legend>
    <c:plotVisOnly val="1"/>
    <c:dispBlanksAs val="gap"/>
    <c:showDLblsOverMax val="1"/>
  </c:chart>
  <c:spPr>
    <a:solidFill>
      <a:srgbClr val="FFFFFF"/>
    </a:solidFill>
    <a:ln w="9360">
      <a:solidFill>
        <a:schemeClr val="tx1"/>
      </a:solidFill>
      <a:round/>
    </a:ln>
  </c:spPr>
  <c:txPr>
    <a:bodyPr/>
    <a:lstStyle/>
    <a:p>
      <a:pPr>
        <a:defRPr sz="1200" b="0">
          <a:latin typeface="Times New Roman" panose="02020603050405020304" pitchFamily="18" charset="0"/>
          <a:cs typeface="Times New Roman" panose="02020603050405020304" pitchFamily="18" charset="0"/>
        </a:defRPr>
      </a:pPr>
      <a:endParaRPr lang="ru-RU"/>
    </a:p>
  </c:txPr>
  <c:externalData r:id="rId2"/>
</c:chartSpace>
</file>

<file path=word/charts/chart31.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7098200096576595E-2"/>
          <c:y val="8.7876336806715499E-2"/>
          <c:w val="0.88234617398984716"/>
          <c:h val="0.68760765668025403"/>
        </c:manualLayout>
      </c:layout>
      <c:barChart>
        <c:barDir val="col"/>
        <c:grouping val="clustered"/>
        <c:ser>
          <c:idx val="0"/>
          <c:order val="0"/>
          <c:tx>
            <c:strRef>
              <c:f>'Водний стан пагони'!$E$37</c:f>
              <c:strCache>
                <c:ptCount val="1"/>
                <c:pt idx="0">
                  <c:v>Добриня</c:v>
                </c:pt>
              </c:strCache>
            </c:strRef>
          </c:tx>
          <c:spPr>
            <a:pattFill prst="dkDnDiag">
              <a:fgClr>
                <a:schemeClr val="tx1"/>
              </a:fgClr>
              <a:bgClr>
                <a:schemeClr val="bg1"/>
              </a:bgClr>
            </a:pattFill>
            <a:ln>
              <a:solidFill>
                <a:schemeClr val="tx1"/>
              </a:solidFill>
            </a:ln>
            <a:effectLst/>
          </c:spPr>
          <c:cat>
            <c:numRef>
              <c:f>'Водний стан пагони'!$D$38:$D$42</c:f>
              <c:numCache>
                <c:formatCode>General</c:formatCode>
                <c:ptCount val="5"/>
                <c:pt idx="0">
                  <c:v>1</c:v>
                </c:pt>
                <c:pt idx="1">
                  <c:v>2</c:v>
                </c:pt>
                <c:pt idx="2">
                  <c:v>3</c:v>
                </c:pt>
                <c:pt idx="3">
                  <c:v>4</c:v>
                </c:pt>
                <c:pt idx="4">
                  <c:v>5</c:v>
                </c:pt>
              </c:numCache>
            </c:numRef>
          </c:cat>
          <c:val>
            <c:numRef>
              <c:f>'Водний стан пагони'!$E$38:$E$42</c:f>
              <c:numCache>
                <c:formatCode>0.0</c:formatCode>
                <c:ptCount val="5"/>
                <c:pt idx="0">
                  <c:v>42.436384929589522</c:v>
                </c:pt>
                <c:pt idx="1">
                  <c:v>41.813120000000026</c:v>
                </c:pt>
                <c:pt idx="2">
                  <c:v>39.489885664028272</c:v>
                </c:pt>
                <c:pt idx="3">
                  <c:v>36.119430924747405</c:v>
                </c:pt>
                <c:pt idx="4">
                  <c:v>35.033697420404295</c:v>
                </c:pt>
              </c:numCache>
            </c:numRef>
          </c:val>
          <c:extLst xmlns:c16r2="http://schemas.microsoft.com/office/drawing/2015/06/chart">
            <c:ext xmlns:c16="http://schemas.microsoft.com/office/drawing/2014/chart" uri="{C3380CC4-5D6E-409C-BE32-E72D297353CC}">
              <c16:uniqueId val="{00000000-2981-4893-A930-62E4F5C90290}"/>
            </c:ext>
          </c:extLst>
        </c:ser>
        <c:ser>
          <c:idx val="1"/>
          <c:order val="1"/>
          <c:tx>
            <c:strRef>
              <c:f>'Водний стан пагони'!$F$37</c:f>
              <c:strCache>
                <c:ptCount val="1"/>
                <c:pt idx="0">
                  <c:v>Гарант</c:v>
                </c:pt>
              </c:strCache>
            </c:strRef>
          </c:tx>
          <c:spPr>
            <a:solidFill>
              <a:schemeClr val="tx1"/>
            </a:solidFill>
            <a:ln>
              <a:solidFill>
                <a:sysClr val="windowText" lastClr="000000"/>
              </a:solidFill>
            </a:ln>
            <a:effectLst/>
          </c:spPr>
          <c:cat>
            <c:numRef>
              <c:f>'Водний стан пагони'!$D$38:$D$42</c:f>
              <c:numCache>
                <c:formatCode>General</c:formatCode>
                <c:ptCount val="5"/>
                <c:pt idx="0">
                  <c:v>1</c:v>
                </c:pt>
                <c:pt idx="1">
                  <c:v>2</c:v>
                </c:pt>
                <c:pt idx="2">
                  <c:v>3</c:v>
                </c:pt>
                <c:pt idx="3">
                  <c:v>4</c:v>
                </c:pt>
                <c:pt idx="4">
                  <c:v>5</c:v>
                </c:pt>
              </c:numCache>
            </c:numRef>
          </c:cat>
          <c:val>
            <c:numRef>
              <c:f>'Водний стан пагони'!$F$38:$F$42</c:f>
              <c:numCache>
                <c:formatCode>0.0</c:formatCode>
                <c:ptCount val="5"/>
                <c:pt idx="0">
                  <c:v>40.197439955215344</c:v>
                </c:pt>
                <c:pt idx="1">
                  <c:v>39.024935022742</c:v>
                </c:pt>
                <c:pt idx="2">
                  <c:v>36.099296788952252</c:v>
                </c:pt>
                <c:pt idx="3">
                  <c:v>32.979976442874118</c:v>
                </c:pt>
                <c:pt idx="4">
                  <c:v>32.409661112151284</c:v>
                </c:pt>
              </c:numCache>
            </c:numRef>
          </c:val>
          <c:extLst xmlns:c16r2="http://schemas.microsoft.com/office/drawing/2015/06/chart">
            <c:ext xmlns:c16="http://schemas.microsoft.com/office/drawing/2014/chart" uri="{C3380CC4-5D6E-409C-BE32-E72D297353CC}">
              <c16:uniqueId val="{00000001-2981-4893-A930-62E4F5C90290}"/>
            </c:ext>
          </c:extLst>
        </c:ser>
        <c:ser>
          <c:idx val="2"/>
          <c:order val="2"/>
          <c:tx>
            <c:strRef>
              <c:f>'Водний стан пагони'!$G$37</c:f>
              <c:strCache>
                <c:ptCount val="1"/>
                <c:pt idx="0">
                  <c:v>Ярило</c:v>
                </c:pt>
              </c:strCache>
            </c:strRef>
          </c:tx>
          <c:spPr>
            <a:pattFill prst="narHorz">
              <a:fgClr>
                <a:schemeClr val="tx1"/>
              </a:fgClr>
              <a:bgClr>
                <a:schemeClr val="bg1"/>
              </a:bgClr>
            </a:pattFill>
            <a:ln>
              <a:solidFill>
                <a:sysClr val="windowText" lastClr="000000"/>
              </a:solidFill>
            </a:ln>
            <a:effectLst/>
          </c:spPr>
          <c:cat>
            <c:numRef>
              <c:f>'Водний стан пагони'!$D$38:$D$42</c:f>
              <c:numCache>
                <c:formatCode>General</c:formatCode>
                <c:ptCount val="5"/>
                <c:pt idx="0">
                  <c:v>1</c:v>
                </c:pt>
                <c:pt idx="1">
                  <c:v>2</c:v>
                </c:pt>
                <c:pt idx="2">
                  <c:v>3</c:v>
                </c:pt>
                <c:pt idx="3">
                  <c:v>4</c:v>
                </c:pt>
                <c:pt idx="4">
                  <c:v>5</c:v>
                </c:pt>
              </c:numCache>
            </c:numRef>
          </c:cat>
          <c:val>
            <c:numRef>
              <c:f>'Водний стан пагони'!$G$38:$G$42</c:f>
              <c:numCache>
                <c:formatCode>0.0</c:formatCode>
                <c:ptCount val="5"/>
                <c:pt idx="0">
                  <c:v>43.57334091501415</c:v>
                </c:pt>
                <c:pt idx="1">
                  <c:v>42.783863005245124</c:v>
                </c:pt>
                <c:pt idx="2">
                  <c:v>41.157275217062001</c:v>
                </c:pt>
                <c:pt idx="3">
                  <c:v>41.76805790851698</c:v>
                </c:pt>
                <c:pt idx="4">
                  <c:v>40.951183262832743</c:v>
                </c:pt>
              </c:numCache>
            </c:numRef>
          </c:val>
          <c:extLst xmlns:c16r2="http://schemas.microsoft.com/office/drawing/2015/06/chart">
            <c:ext xmlns:c16="http://schemas.microsoft.com/office/drawing/2014/chart" uri="{C3380CC4-5D6E-409C-BE32-E72D297353CC}">
              <c16:uniqueId val="{00000002-2981-4893-A930-62E4F5C90290}"/>
            </c:ext>
          </c:extLst>
        </c:ser>
        <c:ser>
          <c:idx val="3"/>
          <c:order val="3"/>
          <c:tx>
            <c:strRef>
              <c:f>'Водний стан пагони'!$H$37</c:f>
              <c:strCache>
                <c:ptCount val="1"/>
                <c:pt idx="0">
                  <c:v>Загрей</c:v>
                </c:pt>
              </c:strCache>
            </c:strRef>
          </c:tx>
          <c:spPr>
            <a:solidFill>
              <a:schemeClr val="bg1"/>
            </a:solidFill>
            <a:ln>
              <a:solidFill>
                <a:sysClr val="windowText" lastClr="000000"/>
              </a:solidFill>
            </a:ln>
            <a:effectLst/>
          </c:spPr>
          <c:cat>
            <c:numRef>
              <c:f>'Водний стан пагони'!$D$38:$D$42</c:f>
              <c:numCache>
                <c:formatCode>General</c:formatCode>
                <c:ptCount val="5"/>
                <c:pt idx="0">
                  <c:v>1</c:v>
                </c:pt>
                <c:pt idx="1">
                  <c:v>2</c:v>
                </c:pt>
                <c:pt idx="2">
                  <c:v>3</c:v>
                </c:pt>
                <c:pt idx="3">
                  <c:v>4</c:v>
                </c:pt>
                <c:pt idx="4">
                  <c:v>5</c:v>
                </c:pt>
              </c:numCache>
            </c:numRef>
          </c:cat>
          <c:val>
            <c:numRef>
              <c:f>'Водний стан пагони'!$H$38:$H$42</c:f>
              <c:numCache>
                <c:formatCode>0.0</c:formatCode>
                <c:ptCount val="5"/>
                <c:pt idx="0">
                  <c:v>41.77105080027836</c:v>
                </c:pt>
                <c:pt idx="1">
                  <c:v>39.976121778927478</c:v>
                </c:pt>
                <c:pt idx="2">
                  <c:v>37.077913546183289</c:v>
                </c:pt>
                <c:pt idx="3">
                  <c:v>39.855446566857253</c:v>
                </c:pt>
                <c:pt idx="4">
                  <c:v>34.469832202785</c:v>
                </c:pt>
              </c:numCache>
            </c:numRef>
          </c:val>
          <c:extLst xmlns:c16r2="http://schemas.microsoft.com/office/drawing/2015/06/chart">
            <c:ext xmlns:c16="http://schemas.microsoft.com/office/drawing/2014/chart" uri="{C3380CC4-5D6E-409C-BE32-E72D297353CC}">
              <c16:uniqueId val="{00000003-2981-4893-A930-62E4F5C90290}"/>
            </c:ext>
          </c:extLst>
        </c:ser>
        <c:dLbls/>
        <c:gapWidth val="219"/>
        <c:overlap val="-27"/>
        <c:axId val="87120512"/>
        <c:axId val="87040768"/>
      </c:barChart>
      <c:catAx>
        <c:axId val="8712051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93304351075329"/>
              <c:y val="0.85592007169728379"/>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7040768"/>
        <c:crosses val="autoZero"/>
        <c:auto val="1"/>
        <c:lblAlgn val="ctr"/>
        <c:lblOffset val="100"/>
      </c:catAx>
      <c:valAx>
        <c:axId val="87040768"/>
        <c:scaling>
          <c:orientation val="minMax"/>
          <c:max val="5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p>
            </c:rich>
          </c:tx>
          <c:layout>
            <c:manualLayout>
              <c:xMode val="edge"/>
              <c:yMode val="edge"/>
              <c:x val="0"/>
              <c:y val="6.6684893554972294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7120512"/>
        <c:crosses val="autoZero"/>
        <c:crossBetween val="between"/>
      </c:valAx>
      <c:spPr>
        <a:noFill/>
        <a:ln>
          <a:noFill/>
        </a:ln>
        <a:effectLst/>
      </c:spPr>
    </c:plotArea>
    <c:legend>
      <c:legendPos val="b"/>
      <c:layout>
        <c:manualLayout>
          <c:xMode val="edge"/>
          <c:yMode val="edge"/>
          <c:x val="4.8674540682414665E-3"/>
          <c:y val="0.92187445319335171"/>
          <c:w val="0.99304286964129507"/>
          <c:h val="7.8125546806649168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chartSpace>
</file>

<file path=word/charts/chart32.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824515317127229"/>
          <c:y val="8.4727186879417868E-2"/>
          <c:w val="0.86020905371875767"/>
          <c:h val="0.61318797306300077"/>
        </c:manualLayout>
      </c:layout>
      <c:lineChart>
        <c:grouping val="standard"/>
        <c:ser>
          <c:idx val="0"/>
          <c:order val="0"/>
          <c:tx>
            <c:strRef>
              <c:f>'Водозатр.здат+Трансп.'!$B$1</c:f>
              <c:strCache>
                <c:ptCount val="1"/>
                <c:pt idx="0">
                  <c:v>5 хв.</c:v>
                </c:pt>
              </c:strCache>
            </c:strRef>
          </c:tx>
          <c:spPr>
            <a:ln w="28575" cap="rnd">
              <a:solidFill>
                <a:sysClr val="windowText" lastClr="000000"/>
              </a:solidFill>
              <a:round/>
            </a:ln>
            <a:effectLst/>
          </c:spPr>
          <c:marker>
            <c:symbol val="diamond"/>
            <c:size val="5"/>
            <c:spPr>
              <a:solidFill>
                <a:sysClr val="windowText" lastClr="000000"/>
              </a:solidFill>
              <a:ln w="9525">
                <a:solidFill>
                  <a:sysClr val="windowText" lastClr="000000"/>
                </a:solidFill>
              </a:ln>
              <a:effectLst/>
            </c:spPr>
          </c:marker>
          <c:cat>
            <c:numRef>
              <c:f>'Водозатр.здат+Трансп.'!$A$2:$A$6</c:f>
              <c:numCache>
                <c:formatCode>General</c:formatCode>
                <c:ptCount val="5"/>
                <c:pt idx="0">
                  <c:v>1</c:v>
                </c:pt>
                <c:pt idx="1">
                  <c:v>2</c:v>
                </c:pt>
                <c:pt idx="2">
                  <c:v>3</c:v>
                </c:pt>
                <c:pt idx="3">
                  <c:v>4</c:v>
                </c:pt>
                <c:pt idx="4">
                  <c:v>5</c:v>
                </c:pt>
              </c:numCache>
            </c:numRef>
          </c:cat>
          <c:val>
            <c:numRef>
              <c:f>'Водозатр.здат+Трансп.'!$B$2:$B$6</c:f>
              <c:numCache>
                <c:formatCode>0.000</c:formatCode>
                <c:ptCount val="5"/>
                <c:pt idx="0">
                  <c:v>7.811111111110834E-3</c:v>
                </c:pt>
                <c:pt idx="1">
                  <c:v>6.4033333333329921E-3</c:v>
                </c:pt>
                <c:pt idx="2">
                  <c:v>6.5555555555559955E-3</c:v>
                </c:pt>
                <c:pt idx="3">
                  <c:v>5.1222222222222415E-3</c:v>
                </c:pt>
                <c:pt idx="4">
                  <c:v>6.1666666666666996E-3</c:v>
                </c:pt>
              </c:numCache>
            </c:numRef>
          </c:val>
          <c:extLst xmlns:c16r2="http://schemas.microsoft.com/office/drawing/2015/06/chart">
            <c:ext xmlns:c16="http://schemas.microsoft.com/office/drawing/2014/chart" uri="{C3380CC4-5D6E-409C-BE32-E72D297353CC}">
              <c16:uniqueId val="{00000000-8320-41E4-86C5-D740A0AD9091}"/>
            </c:ext>
          </c:extLst>
        </c:ser>
        <c:ser>
          <c:idx val="1"/>
          <c:order val="1"/>
          <c:tx>
            <c:strRef>
              <c:f>'Водозатр.здат+Трансп.'!$C$1</c:f>
              <c:strCache>
                <c:ptCount val="1"/>
                <c:pt idx="0">
                  <c:v>10 хв.</c:v>
                </c:pt>
              </c:strCache>
            </c:strRef>
          </c:tx>
          <c:spPr>
            <a:ln w="28575" cap="rnd">
              <a:solidFill>
                <a:sysClr val="windowText" lastClr="000000"/>
              </a:solidFill>
              <a:round/>
            </a:ln>
            <a:effectLst/>
          </c:spPr>
          <c:marker>
            <c:symbol val="square"/>
            <c:size val="5"/>
            <c:spPr>
              <a:solidFill>
                <a:sysClr val="windowText" lastClr="000000"/>
              </a:solidFill>
              <a:ln w="9525">
                <a:solidFill>
                  <a:sysClr val="windowText" lastClr="000000"/>
                </a:solidFill>
              </a:ln>
              <a:effectLst/>
            </c:spPr>
          </c:marker>
          <c:cat>
            <c:numRef>
              <c:f>'Водозатр.здат+Трансп.'!$A$2:$A$6</c:f>
              <c:numCache>
                <c:formatCode>General</c:formatCode>
                <c:ptCount val="5"/>
                <c:pt idx="0">
                  <c:v>1</c:v>
                </c:pt>
                <c:pt idx="1">
                  <c:v>2</c:v>
                </c:pt>
                <c:pt idx="2">
                  <c:v>3</c:v>
                </c:pt>
                <c:pt idx="3">
                  <c:v>4</c:v>
                </c:pt>
                <c:pt idx="4">
                  <c:v>5</c:v>
                </c:pt>
              </c:numCache>
            </c:numRef>
          </c:cat>
          <c:val>
            <c:numRef>
              <c:f>'Водозатр.здат+Трансп.'!$C$2:$C$6</c:f>
              <c:numCache>
                <c:formatCode>0.000</c:formatCode>
                <c:ptCount val="5"/>
                <c:pt idx="0">
                  <c:v>1.408333333333284E-2</c:v>
                </c:pt>
                <c:pt idx="1">
                  <c:v>9.4833333333330209E-3</c:v>
                </c:pt>
                <c:pt idx="2">
                  <c:v>9.3777777777783507E-3</c:v>
                </c:pt>
                <c:pt idx="3">
                  <c:v>6.7111111111111017E-3</c:v>
                </c:pt>
                <c:pt idx="4">
                  <c:v>7.2111111111113095E-3</c:v>
                </c:pt>
              </c:numCache>
            </c:numRef>
          </c:val>
          <c:extLst xmlns:c16r2="http://schemas.microsoft.com/office/drawing/2015/06/chart">
            <c:ext xmlns:c16="http://schemas.microsoft.com/office/drawing/2014/chart" uri="{C3380CC4-5D6E-409C-BE32-E72D297353CC}">
              <c16:uniqueId val="{00000001-8320-41E4-86C5-D740A0AD9091}"/>
            </c:ext>
          </c:extLst>
        </c:ser>
        <c:ser>
          <c:idx val="2"/>
          <c:order val="2"/>
          <c:tx>
            <c:strRef>
              <c:f>'Водозатр.здат+Трансп.'!$D$1</c:f>
              <c:strCache>
                <c:ptCount val="1"/>
                <c:pt idx="0">
                  <c:v>15 хв.</c:v>
                </c:pt>
              </c:strCache>
            </c:strRef>
          </c:tx>
          <c:spPr>
            <a:ln w="28575" cap="rnd">
              <a:solidFill>
                <a:sysClr val="windowText" lastClr="000000"/>
              </a:solidFill>
              <a:round/>
            </a:ln>
            <a:effectLst/>
          </c:spPr>
          <c:marker>
            <c:symbol val="triangle"/>
            <c:size val="5"/>
            <c:spPr>
              <a:solidFill>
                <a:sysClr val="windowText" lastClr="000000"/>
              </a:solidFill>
              <a:ln w="9525">
                <a:solidFill>
                  <a:sysClr val="windowText" lastClr="000000"/>
                </a:solidFill>
              </a:ln>
              <a:effectLst/>
            </c:spPr>
          </c:marker>
          <c:cat>
            <c:numRef>
              <c:f>'Водозатр.здат+Трансп.'!$A$2:$A$6</c:f>
              <c:numCache>
                <c:formatCode>General</c:formatCode>
                <c:ptCount val="5"/>
                <c:pt idx="0">
                  <c:v>1</c:v>
                </c:pt>
                <c:pt idx="1">
                  <c:v>2</c:v>
                </c:pt>
                <c:pt idx="2">
                  <c:v>3</c:v>
                </c:pt>
                <c:pt idx="3">
                  <c:v>4</c:v>
                </c:pt>
                <c:pt idx="4">
                  <c:v>5</c:v>
                </c:pt>
              </c:numCache>
            </c:numRef>
          </c:cat>
          <c:val>
            <c:numRef>
              <c:f>'Водозатр.здат+Трансп.'!$D$2:$D$6</c:f>
              <c:numCache>
                <c:formatCode>0.000</c:formatCode>
                <c:ptCount val="5"/>
                <c:pt idx="0">
                  <c:v>1.6861111111111243E-2</c:v>
                </c:pt>
                <c:pt idx="1">
                  <c:v>1.2283333333333321E-2</c:v>
                </c:pt>
                <c:pt idx="2">
                  <c:v>1.2400000000000327E-2</c:v>
                </c:pt>
                <c:pt idx="3">
                  <c:v>1.0411111111110901E-2</c:v>
                </c:pt>
                <c:pt idx="4">
                  <c:v>8.0422222222222509E-3</c:v>
                </c:pt>
              </c:numCache>
            </c:numRef>
          </c:val>
          <c:extLst xmlns:c16r2="http://schemas.microsoft.com/office/drawing/2015/06/chart">
            <c:ext xmlns:c16="http://schemas.microsoft.com/office/drawing/2014/chart" uri="{C3380CC4-5D6E-409C-BE32-E72D297353CC}">
              <c16:uniqueId val="{00000002-8320-41E4-86C5-D740A0AD9091}"/>
            </c:ext>
          </c:extLst>
        </c:ser>
        <c:ser>
          <c:idx val="3"/>
          <c:order val="3"/>
          <c:tx>
            <c:strRef>
              <c:f>'Водозатр.здат+Трансп.'!$E$1</c:f>
              <c:strCache>
                <c:ptCount val="1"/>
                <c:pt idx="0">
                  <c:v>20 хв. </c:v>
                </c:pt>
              </c:strCache>
            </c:strRef>
          </c:tx>
          <c:spPr>
            <a:ln w="28575" cap="rnd">
              <a:solidFill>
                <a:sysClr val="windowText" lastClr="000000"/>
              </a:solidFill>
              <a:round/>
            </a:ln>
            <a:effectLst/>
          </c:spPr>
          <c:marker>
            <c:symbol val="x"/>
            <c:size val="5"/>
            <c:spPr>
              <a:solidFill>
                <a:schemeClr val="bg1"/>
              </a:solidFill>
              <a:ln w="9525">
                <a:solidFill>
                  <a:sysClr val="windowText" lastClr="000000"/>
                </a:solidFill>
              </a:ln>
              <a:effectLst/>
            </c:spPr>
          </c:marker>
          <c:cat>
            <c:numRef>
              <c:f>'Водозатр.здат+Трансп.'!$A$2:$A$6</c:f>
              <c:numCache>
                <c:formatCode>General</c:formatCode>
                <c:ptCount val="5"/>
                <c:pt idx="0">
                  <c:v>1</c:v>
                </c:pt>
                <c:pt idx="1">
                  <c:v>2</c:v>
                </c:pt>
                <c:pt idx="2">
                  <c:v>3</c:v>
                </c:pt>
                <c:pt idx="3">
                  <c:v>4</c:v>
                </c:pt>
                <c:pt idx="4">
                  <c:v>5</c:v>
                </c:pt>
              </c:numCache>
            </c:numRef>
          </c:cat>
          <c:val>
            <c:numRef>
              <c:f>'Водозатр.здат+Трансп.'!$E$2:$E$6</c:f>
              <c:numCache>
                <c:formatCode>0.000</c:formatCode>
                <c:ptCount val="5"/>
                <c:pt idx="0">
                  <c:v>3.3583333333333132E-2</c:v>
                </c:pt>
                <c:pt idx="1">
                  <c:v>2.8299999999999992E-2</c:v>
                </c:pt>
                <c:pt idx="2">
                  <c:v>1.7400000000000342E-2</c:v>
                </c:pt>
                <c:pt idx="3">
                  <c:v>1.3533333333332901E-2</c:v>
                </c:pt>
                <c:pt idx="4">
                  <c:v>1.1977777777778005E-2</c:v>
                </c:pt>
              </c:numCache>
            </c:numRef>
          </c:val>
          <c:extLst xmlns:c16r2="http://schemas.microsoft.com/office/drawing/2015/06/chart">
            <c:ext xmlns:c16="http://schemas.microsoft.com/office/drawing/2014/chart" uri="{C3380CC4-5D6E-409C-BE32-E72D297353CC}">
              <c16:uniqueId val="{00000003-8320-41E4-86C5-D740A0AD9091}"/>
            </c:ext>
          </c:extLst>
        </c:ser>
        <c:ser>
          <c:idx val="4"/>
          <c:order val="4"/>
          <c:tx>
            <c:strRef>
              <c:f>'Водозатр.здат+Трансп.'!$F$1</c:f>
              <c:strCache>
                <c:ptCount val="1"/>
                <c:pt idx="0">
                  <c:v>30 хв.</c:v>
                </c:pt>
              </c:strCache>
            </c:strRef>
          </c:tx>
          <c:spPr>
            <a:ln w="28575" cap="rnd">
              <a:solidFill>
                <a:sysClr val="windowText" lastClr="000000"/>
              </a:solidFill>
              <a:round/>
            </a:ln>
            <a:effectLst/>
          </c:spPr>
          <c:marker>
            <c:symbol val="star"/>
            <c:size val="5"/>
            <c:spPr>
              <a:solidFill>
                <a:schemeClr val="bg1"/>
              </a:solidFill>
              <a:ln w="9525">
                <a:solidFill>
                  <a:sysClr val="windowText" lastClr="000000"/>
                </a:solidFill>
              </a:ln>
              <a:effectLst/>
            </c:spPr>
          </c:marker>
          <c:cat>
            <c:numRef>
              <c:f>'Водозатр.здат+Трансп.'!$A$2:$A$6</c:f>
              <c:numCache>
                <c:formatCode>General</c:formatCode>
                <c:ptCount val="5"/>
                <c:pt idx="0">
                  <c:v>1</c:v>
                </c:pt>
                <c:pt idx="1">
                  <c:v>2</c:v>
                </c:pt>
                <c:pt idx="2">
                  <c:v>3</c:v>
                </c:pt>
                <c:pt idx="3">
                  <c:v>4</c:v>
                </c:pt>
                <c:pt idx="4">
                  <c:v>5</c:v>
                </c:pt>
              </c:numCache>
            </c:numRef>
          </c:cat>
          <c:val>
            <c:numRef>
              <c:f>'Водозатр.здат+Трансп.'!$F$2:$F$6</c:f>
              <c:numCache>
                <c:formatCode>0.000</c:formatCode>
                <c:ptCount val="5"/>
                <c:pt idx="0">
                  <c:v>4.7922222222222192E-2</c:v>
                </c:pt>
                <c:pt idx="1">
                  <c:v>4.4844444444444409E-2</c:v>
                </c:pt>
                <c:pt idx="2">
                  <c:v>2.8711111111111361E-2</c:v>
                </c:pt>
                <c:pt idx="3">
                  <c:v>2.3428888888888787E-2</c:v>
                </c:pt>
                <c:pt idx="4">
                  <c:v>1.8100000000000303E-2</c:v>
                </c:pt>
              </c:numCache>
            </c:numRef>
          </c:val>
          <c:extLst xmlns:c16r2="http://schemas.microsoft.com/office/drawing/2015/06/chart">
            <c:ext xmlns:c16="http://schemas.microsoft.com/office/drawing/2014/chart" uri="{C3380CC4-5D6E-409C-BE32-E72D297353CC}">
              <c16:uniqueId val="{00000004-8320-41E4-86C5-D740A0AD9091}"/>
            </c:ext>
          </c:extLst>
        </c:ser>
        <c:ser>
          <c:idx val="5"/>
          <c:order val="5"/>
          <c:tx>
            <c:strRef>
              <c:f>'Водозатр.здат+Трансп.'!$G$1</c:f>
              <c:strCache>
                <c:ptCount val="1"/>
                <c:pt idx="0">
                  <c:v>60 хв.</c:v>
                </c:pt>
              </c:strCache>
            </c:strRef>
          </c:tx>
          <c:spPr>
            <a:ln w="28575" cap="rnd">
              <a:solidFill>
                <a:sysClr val="windowText" lastClr="000000"/>
              </a:solidFill>
              <a:round/>
            </a:ln>
            <a:effectLst/>
          </c:spPr>
          <c:marker>
            <c:symbol val="circle"/>
            <c:size val="5"/>
            <c:spPr>
              <a:solidFill>
                <a:sysClr val="windowText" lastClr="000000"/>
              </a:solidFill>
              <a:ln w="9525">
                <a:solidFill>
                  <a:sysClr val="windowText" lastClr="000000"/>
                </a:solidFill>
              </a:ln>
              <a:effectLst/>
            </c:spPr>
          </c:marker>
          <c:cat>
            <c:numRef>
              <c:f>'Водозатр.здат+Трансп.'!$A$2:$A$6</c:f>
              <c:numCache>
                <c:formatCode>General</c:formatCode>
                <c:ptCount val="5"/>
                <c:pt idx="0">
                  <c:v>1</c:v>
                </c:pt>
                <c:pt idx="1">
                  <c:v>2</c:v>
                </c:pt>
                <c:pt idx="2">
                  <c:v>3</c:v>
                </c:pt>
                <c:pt idx="3">
                  <c:v>4</c:v>
                </c:pt>
                <c:pt idx="4">
                  <c:v>5</c:v>
                </c:pt>
              </c:numCache>
            </c:numRef>
          </c:cat>
          <c:val>
            <c:numRef>
              <c:f>'Водозатр.здат+Трансп.'!$G$2:$G$6</c:f>
              <c:numCache>
                <c:formatCode>0.000</c:formatCode>
                <c:ptCount val="5"/>
                <c:pt idx="0">
                  <c:v>8.016111111111085E-2</c:v>
                </c:pt>
                <c:pt idx="1">
                  <c:v>7.627122222222199E-2</c:v>
                </c:pt>
                <c:pt idx="2">
                  <c:v>4.8211111111111322E-2</c:v>
                </c:pt>
                <c:pt idx="3">
                  <c:v>4.03444444444441E-2</c:v>
                </c:pt>
                <c:pt idx="4">
                  <c:v>2.7000000000000031E-2</c:v>
                </c:pt>
              </c:numCache>
            </c:numRef>
          </c:val>
          <c:extLst xmlns:c16r2="http://schemas.microsoft.com/office/drawing/2015/06/chart">
            <c:ext xmlns:c16="http://schemas.microsoft.com/office/drawing/2014/chart" uri="{C3380CC4-5D6E-409C-BE32-E72D297353CC}">
              <c16:uniqueId val="{00000005-8320-41E4-86C5-D740A0AD9091}"/>
            </c:ext>
          </c:extLst>
        </c:ser>
        <c:dLbls/>
        <c:marker val="1"/>
        <c:axId val="87189760"/>
        <c:axId val="87208320"/>
      </c:lineChart>
      <c:catAx>
        <c:axId val="87189760"/>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baseline="0">
                    <a:effectLst/>
                  </a:rPr>
                  <a:t>Варіанти досліду</a:t>
                </a:r>
                <a:endParaRPr lang="en-US" sz="1000">
                  <a:effectLst/>
                </a:endParaRPr>
              </a:p>
            </c:rich>
          </c:tx>
          <c:layout>
            <c:manualLayout>
              <c:xMode val="edge"/>
              <c:yMode val="edge"/>
              <c:x val="0.80548931177595651"/>
              <c:y val="0.80750852892780156"/>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7208320"/>
        <c:crosses val="autoZero"/>
        <c:auto val="1"/>
        <c:lblAlgn val="ctr"/>
        <c:lblOffset val="100"/>
      </c:catAx>
      <c:valAx>
        <c:axId val="87208320"/>
        <c:scaling>
          <c:orientation val="minMax"/>
          <c:max val="0.2"/>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г</a:t>
                </a:r>
              </a:p>
            </c:rich>
          </c:tx>
          <c:layout>
            <c:manualLayout>
              <c:xMode val="edge"/>
              <c:yMode val="edge"/>
              <c:x val="1.8789132109757445E-3"/>
              <c:y val="6.2492188476440478E-3"/>
            </c:manualLayout>
          </c:layout>
          <c:spPr>
            <a:noFill/>
            <a:ln>
              <a:noFill/>
            </a:ln>
            <a:effectLst/>
          </c:spPr>
        </c:title>
        <c:numFmt formatCode="#,##0.00"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7189760"/>
        <c:crosses val="autoZero"/>
        <c:crossBetween val="between"/>
        <c:majorUnit val="4.0000000000000022E-2"/>
      </c:valAx>
      <c:spPr>
        <a:noFill/>
        <a:ln>
          <a:noFill/>
        </a:ln>
        <a:effectLst/>
      </c:spPr>
    </c:plotArea>
    <c:legend>
      <c:legendPos val="b"/>
      <c:layout>
        <c:manualLayout>
          <c:xMode val="edge"/>
          <c:yMode val="edge"/>
          <c:x val="3.1708498822206783E-3"/>
          <c:y val="0.88693302076152936"/>
          <c:w val="0.99158280217566885"/>
          <c:h val="0.11306697923847071"/>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ysClr val="windowText" lastClr="000000"/>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chartSpace>
</file>

<file path=word/charts/chart33.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1832971087356713"/>
          <c:y val="8.9414834706355334E-2"/>
          <c:w val="0.85619150565413205"/>
          <c:h val="0.60502305737679318"/>
        </c:manualLayout>
      </c:layout>
      <c:lineChart>
        <c:grouping val="standard"/>
        <c:ser>
          <c:idx val="0"/>
          <c:order val="0"/>
          <c:tx>
            <c:strRef>
              <c:f>'Водозатр.здат+Трансп.'!$B$7</c:f>
              <c:strCache>
                <c:ptCount val="1"/>
                <c:pt idx="0">
                  <c:v>5 хв.</c:v>
                </c:pt>
              </c:strCache>
            </c:strRef>
          </c:tx>
          <c:spPr>
            <a:ln w="28575" cap="rnd">
              <a:solidFill>
                <a:sysClr val="windowText" lastClr="000000"/>
              </a:solidFill>
              <a:round/>
            </a:ln>
            <a:effectLst/>
          </c:spPr>
          <c:marker>
            <c:symbol val="diamond"/>
            <c:size val="5"/>
            <c:spPr>
              <a:solidFill>
                <a:sysClr val="windowText" lastClr="000000"/>
              </a:solidFill>
              <a:ln w="9525">
                <a:solidFill>
                  <a:sysClr val="windowText" lastClr="000000"/>
                </a:solidFill>
              </a:ln>
              <a:effectLst/>
            </c:spPr>
          </c:marker>
          <c:cat>
            <c:numRef>
              <c:f>'Водозатр.здат+Трансп.'!$A$8:$A$12</c:f>
              <c:numCache>
                <c:formatCode>General</c:formatCode>
                <c:ptCount val="5"/>
                <c:pt idx="0">
                  <c:v>1</c:v>
                </c:pt>
                <c:pt idx="1">
                  <c:v>2</c:v>
                </c:pt>
                <c:pt idx="2">
                  <c:v>3</c:v>
                </c:pt>
                <c:pt idx="3">
                  <c:v>4</c:v>
                </c:pt>
                <c:pt idx="4">
                  <c:v>5</c:v>
                </c:pt>
              </c:numCache>
            </c:numRef>
          </c:cat>
          <c:val>
            <c:numRef>
              <c:f>'Водозатр.здат+Трансп.'!$B$8:$B$12</c:f>
              <c:numCache>
                <c:formatCode>0.000</c:formatCode>
                <c:ptCount val="5"/>
                <c:pt idx="0">
                  <c:v>8.2444444444440546E-3</c:v>
                </c:pt>
                <c:pt idx="1">
                  <c:v>7.6833333333329408E-3</c:v>
                </c:pt>
                <c:pt idx="2">
                  <c:v>6.6111111111106765E-3</c:v>
                </c:pt>
                <c:pt idx="3">
                  <c:v>7.4333333333333491E-3</c:v>
                </c:pt>
                <c:pt idx="4">
                  <c:v>7.4333333333333161E-3</c:v>
                </c:pt>
              </c:numCache>
            </c:numRef>
          </c:val>
          <c:extLst xmlns:c16r2="http://schemas.microsoft.com/office/drawing/2015/06/chart">
            <c:ext xmlns:c16="http://schemas.microsoft.com/office/drawing/2014/chart" uri="{C3380CC4-5D6E-409C-BE32-E72D297353CC}">
              <c16:uniqueId val="{00000000-8FE7-4CD6-8B9F-295F204F6522}"/>
            </c:ext>
          </c:extLst>
        </c:ser>
        <c:ser>
          <c:idx val="1"/>
          <c:order val="1"/>
          <c:tx>
            <c:strRef>
              <c:f>'Водозатр.здат+Трансп.'!$C$7</c:f>
              <c:strCache>
                <c:ptCount val="1"/>
                <c:pt idx="0">
                  <c:v>10 хв.</c:v>
                </c:pt>
              </c:strCache>
            </c:strRef>
          </c:tx>
          <c:spPr>
            <a:ln w="28575" cap="rnd">
              <a:solidFill>
                <a:sysClr val="windowText" lastClr="000000"/>
              </a:solidFill>
              <a:round/>
            </a:ln>
            <a:effectLst/>
          </c:spPr>
          <c:marker>
            <c:symbol val="square"/>
            <c:size val="5"/>
            <c:spPr>
              <a:solidFill>
                <a:sysClr val="windowText" lastClr="000000"/>
              </a:solidFill>
              <a:ln w="9525">
                <a:solidFill>
                  <a:sysClr val="windowText" lastClr="000000"/>
                </a:solidFill>
              </a:ln>
              <a:effectLst/>
            </c:spPr>
          </c:marker>
          <c:cat>
            <c:numRef>
              <c:f>'Водозатр.здат+Трансп.'!$A$8:$A$12</c:f>
              <c:numCache>
                <c:formatCode>General</c:formatCode>
                <c:ptCount val="5"/>
                <c:pt idx="0">
                  <c:v>1</c:v>
                </c:pt>
                <c:pt idx="1">
                  <c:v>2</c:v>
                </c:pt>
                <c:pt idx="2">
                  <c:v>3</c:v>
                </c:pt>
                <c:pt idx="3">
                  <c:v>4</c:v>
                </c:pt>
                <c:pt idx="4">
                  <c:v>5</c:v>
                </c:pt>
              </c:numCache>
            </c:numRef>
          </c:cat>
          <c:val>
            <c:numRef>
              <c:f>'Водозатр.здат+Трансп.'!$C$8:$C$12</c:f>
              <c:numCache>
                <c:formatCode>0.000</c:formatCode>
                <c:ptCount val="5"/>
                <c:pt idx="0">
                  <c:v>9.2333333333333156E-3</c:v>
                </c:pt>
                <c:pt idx="1">
                  <c:v>8.0555555555549552E-3</c:v>
                </c:pt>
                <c:pt idx="2">
                  <c:v>8.5333333333330041E-3</c:v>
                </c:pt>
                <c:pt idx="3">
                  <c:v>9.1222222222223006E-3</c:v>
                </c:pt>
                <c:pt idx="4">
                  <c:v>7.6333333333333114E-3</c:v>
                </c:pt>
              </c:numCache>
            </c:numRef>
          </c:val>
          <c:extLst xmlns:c16r2="http://schemas.microsoft.com/office/drawing/2015/06/chart">
            <c:ext xmlns:c16="http://schemas.microsoft.com/office/drawing/2014/chart" uri="{C3380CC4-5D6E-409C-BE32-E72D297353CC}">
              <c16:uniqueId val="{00000001-8FE7-4CD6-8B9F-295F204F6522}"/>
            </c:ext>
          </c:extLst>
        </c:ser>
        <c:ser>
          <c:idx val="2"/>
          <c:order val="2"/>
          <c:tx>
            <c:strRef>
              <c:f>'Водозатр.здат+Трансп.'!$D$7</c:f>
              <c:strCache>
                <c:ptCount val="1"/>
                <c:pt idx="0">
                  <c:v>15 хв.</c:v>
                </c:pt>
              </c:strCache>
            </c:strRef>
          </c:tx>
          <c:spPr>
            <a:ln w="28575" cap="rnd">
              <a:solidFill>
                <a:sysClr val="windowText" lastClr="000000"/>
              </a:solidFill>
              <a:round/>
            </a:ln>
            <a:effectLst/>
          </c:spPr>
          <c:marker>
            <c:symbol val="triangle"/>
            <c:size val="5"/>
            <c:spPr>
              <a:solidFill>
                <a:sysClr val="windowText" lastClr="000000"/>
              </a:solidFill>
              <a:ln w="9525">
                <a:solidFill>
                  <a:sysClr val="windowText" lastClr="000000"/>
                </a:solidFill>
              </a:ln>
              <a:effectLst/>
            </c:spPr>
          </c:marker>
          <c:cat>
            <c:numRef>
              <c:f>'Водозатр.здат+Трансп.'!$A$8:$A$12</c:f>
              <c:numCache>
                <c:formatCode>General</c:formatCode>
                <c:ptCount val="5"/>
                <c:pt idx="0">
                  <c:v>1</c:v>
                </c:pt>
                <c:pt idx="1">
                  <c:v>2</c:v>
                </c:pt>
                <c:pt idx="2">
                  <c:v>3</c:v>
                </c:pt>
                <c:pt idx="3">
                  <c:v>4</c:v>
                </c:pt>
                <c:pt idx="4">
                  <c:v>5</c:v>
                </c:pt>
              </c:numCache>
            </c:numRef>
          </c:cat>
          <c:val>
            <c:numRef>
              <c:f>'Водозатр.здат+Трансп.'!$D$8:$D$12</c:f>
              <c:numCache>
                <c:formatCode>0.000</c:formatCode>
                <c:ptCount val="5"/>
                <c:pt idx="0">
                  <c:v>1.2394444444444375E-2</c:v>
                </c:pt>
                <c:pt idx="1">
                  <c:v>1.3082999999999959E-2</c:v>
                </c:pt>
                <c:pt idx="2">
                  <c:v>1.0111111111111001E-2</c:v>
                </c:pt>
                <c:pt idx="3">
                  <c:v>1.0488888888889013E-2</c:v>
                </c:pt>
                <c:pt idx="4">
                  <c:v>9.1444444444447048E-3</c:v>
                </c:pt>
              </c:numCache>
            </c:numRef>
          </c:val>
          <c:extLst xmlns:c16r2="http://schemas.microsoft.com/office/drawing/2015/06/chart">
            <c:ext xmlns:c16="http://schemas.microsoft.com/office/drawing/2014/chart" uri="{C3380CC4-5D6E-409C-BE32-E72D297353CC}">
              <c16:uniqueId val="{00000002-8FE7-4CD6-8B9F-295F204F6522}"/>
            </c:ext>
          </c:extLst>
        </c:ser>
        <c:ser>
          <c:idx val="3"/>
          <c:order val="3"/>
          <c:tx>
            <c:strRef>
              <c:f>'Водозатр.здат+Трансп.'!$E$7</c:f>
              <c:strCache>
                <c:ptCount val="1"/>
                <c:pt idx="0">
                  <c:v>20 хв. </c:v>
                </c:pt>
              </c:strCache>
            </c:strRef>
          </c:tx>
          <c:spPr>
            <a:ln w="28575" cap="rnd">
              <a:solidFill>
                <a:sysClr val="windowText" lastClr="000000"/>
              </a:solidFill>
              <a:round/>
            </a:ln>
            <a:effectLst/>
          </c:spPr>
          <c:marker>
            <c:symbol val="x"/>
            <c:size val="5"/>
            <c:spPr>
              <a:solidFill>
                <a:schemeClr val="bg1"/>
              </a:solidFill>
              <a:ln w="9525">
                <a:solidFill>
                  <a:sysClr val="windowText" lastClr="000000"/>
                </a:solidFill>
              </a:ln>
              <a:effectLst/>
            </c:spPr>
          </c:marker>
          <c:cat>
            <c:numRef>
              <c:f>'Водозатр.здат+Трансп.'!$A$8:$A$12</c:f>
              <c:numCache>
                <c:formatCode>General</c:formatCode>
                <c:ptCount val="5"/>
                <c:pt idx="0">
                  <c:v>1</c:v>
                </c:pt>
                <c:pt idx="1">
                  <c:v>2</c:v>
                </c:pt>
                <c:pt idx="2">
                  <c:v>3</c:v>
                </c:pt>
                <c:pt idx="3">
                  <c:v>4</c:v>
                </c:pt>
                <c:pt idx="4">
                  <c:v>5</c:v>
                </c:pt>
              </c:numCache>
            </c:numRef>
          </c:cat>
          <c:val>
            <c:numRef>
              <c:f>'Водозатр.здат+Трансп.'!$E$8:$E$12</c:f>
              <c:numCache>
                <c:formatCode>0.000</c:formatCode>
                <c:ptCount val="5"/>
                <c:pt idx="0">
                  <c:v>3.9094444444444265E-2</c:v>
                </c:pt>
                <c:pt idx="1">
                  <c:v>2.5949999999999942E-2</c:v>
                </c:pt>
                <c:pt idx="2">
                  <c:v>1.4766666666666341E-2</c:v>
                </c:pt>
                <c:pt idx="3">
                  <c:v>1.8577777777777707E-2</c:v>
                </c:pt>
                <c:pt idx="4">
                  <c:v>1.4288888888889005E-2</c:v>
                </c:pt>
              </c:numCache>
            </c:numRef>
          </c:val>
          <c:extLst xmlns:c16r2="http://schemas.microsoft.com/office/drawing/2015/06/chart">
            <c:ext xmlns:c16="http://schemas.microsoft.com/office/drawing/2014/chart" uri="{C3380CC4-5D6E-409C-BE32-E72D297353CC}">
              <c16:uniqueId val="{00000003-8FE7-4CD6-8B9F-295F204F6522}"/>
            </c:ext>
          </c:extLst>
        </c:ser>
        <c:ser>
          <c:idx val="4"/>
          <c:order val="4"/>
          <c:tx>
            <c:strRef>
              <c:f>'Водозатр.здат+Трансп.'!$F$7</c:f>
              <c:strCache>
                <c:ptCount val="1"/>
                <c:pt idx="0">
                  <c:v>30 хв.</c:v>
                </c:pt>
              </c:strCache>
            </c:strRef>
          </c:tx>
          <c:spPr>
            <a:ln w="28575" cap="rnd">
              <a:solidFill>
                <a:sysClr val="windowText" lastClr="000000"/>
              </a:solidFill>
              <a:round/>
            </a:ln>
            <a:effectLst/>
          </c:spPr>
          <c:marker>
            <c:symbol val="star"/>
            <c:size val="5"/>
            <c:spPr>
              <a:solidFill>
                <a:schemeClr val="bg1"/>
              </a:solidFill>
              <a:ln w="9525">
                <a:solidFill>
                  <a:sysClr val="windowText" lastClr="000000"/>
                </a:solidFill>
              </a:ln>
              <a:effectLst/>
            </c:spPr>
          </c:marker>
          <c:cat>
            <c:numRef>
              <c:f>'Водозатр.здат+Трансп.'!$A$8:$A$12</c:f>
              <c:numCache>
                <c:formatCode>General</c:formatCode>
                <c:ptCount val="5"/>
                <c:pt idx="0">
                  <c:v>1</c:v>
                </c:pt>
                <c:pt idx="1">
                  <c:v>2</c:v>
                </c:pt>
                <c:pt idx="2">
                  <c:v>3</c:v>
                </c:pt>
                <c:pt idx="3">
                  <c:v>4</c:v>
                </c:pt>
                <c:pt idx="4">
                  <c:v>5</c:v>
                </c:pt>
              </c:numCache>
            </c:numRef>
          </c:cat>
          <c:val>
            <c:numRef>
              <c:f>'Водозатр.здат+Трансп.'!$F$8:$F$12</c:f>
              <c:numCache>
                <c:formatCode>0.000</c:formatCode>
                <c:ptCount val="5"/>
                <c:pt idx="0">
                  <c:v>5.5772222222222355E-2</c:v>
                </c:pt>
                <c:pt idx="1">
                  <c:v>4.5111111111111282E-2</c:v>
                </c:pt>
                <c:pt idx="2">
                  <c:v>2.4588888888889004E-2</c:v>
                </c:pt>
                <c:pt idx="3">
                  <c:v>3.0211111111111029E-2</c:v>
                </c:pt>
                <c:pt idx="4">
                  <c:v>2.3933333333333001E-2</c:v>
                </c:pt>
              </c:numCache>
            </c:numRef>
          </c:val>
          <c:extLst xmlns:c16r2="http://schemas.microsoft.com/office/drawing/2015/06/chart">
            <c:ext xmlns:c16="http://schemas.microsoft.com/office/drawing/2014/chart" uri="{C3380CC4-5D6E-409C-BE32-E72D297353CC}">
              <c16:uniqueId val="{00000004-8FE7-4CD6-8B9F-295F204F6522}"/>
            </c:ext>
          </c:extLst>
        </c:ser>
        <c:ser>
          <c:idx val="5"/>
          <c:order val="5"/>
          <c:tx>
            <c:strRef>
              <c:f>'Водозатр.здат+Трансп.'!$G$7</c:f>
              <c:strCache>
                <c:ptCount val="1"/>
                <c:pt idx="0">
                  <c:v>60 хв.</c:v>
                </c:pt>
              </c:strCache>
            </c:strRef>
          </c:tx>
          <c:spPr>
            <a:ln w="28575" cap="rnd">
              <a:solidFill>
                <a:sysClr val="windowText" lastClr="000000"/>
              </a:solidFill>
              <a:round/>
            </a:ln>
            <a:effectLst/>
          </c:spPr>
          <c:marker>
            <c:symbol val="circle"/>
            <c:size val="5"/>
            <c:spPr>
              <a:solidFill>
                <a:sysClr val="windowText" lastClr="000000"/>
              </a:solidFill>
              <a:ln w="9525">
                <a:solidFill>
                  <a:sysClr val="windowText" lastClr="000000"/>
                </a:solidFill>
              </a:ln>
              <a:effectLst/>
            </c:spPr>
          </c:marker>
          <c:cat>
            <c:numRef>
              <c:f>'Водозатр.здат+Трансп.'!$A$8:$A$12</c:f>
              <c:numCache>
                <c:formatCode>General</c:formatCode>
                <c:ptCount val="5"/>
                <c:pt idx="0">
                  <c:v>1</c:v>
                </c:pt>
                <c:pt idx="1">
                  <c:v>2</c:v>
                </c:pt>
                <c:pt idx="2">
                  <c:v>3</c:v>
                </c:pt>
                <c:pt idx="3">
                  <c:v>4</c:v>
                </c:pt>
                <c:pt idx="4">
                  <c:v>5</c:v>
                </c:pt>
              </c:numCache>
            </c:numRef>
          </c:cat>
          <c:val>
            <c:numRef>
              <c:f>'Водозатр.здат+Трансп.'!$G$8:$G$12</c:f>
              <c:numCache>
                <c:formatCode>0.000</c:formatCode>
                <c:ptCount val="5"/>
                <c:pt idx="0">
                  <c:v>0.10056111111111109</c:v>
                </c:pt>
                <c:pt idx="1">
                  <c:v>7.4605555555554856E-2</c:v>
                </c:pt>
                <c:pt idx="2">
                  <c:v>6.0788888888888823E-2</c:v>
                </c:pt>
                <c:pt idx="3">
                  <c:v>6.3777777777778002E-2</c:v>
                </c:pt>
                <c:pt idx="4">
                  <c:v>4.9033333333333422E-2</c:v>
                </c:pt>
              </c:numCache>
            </c:numRef>
          </c:val>
          <c:extLst xmlns:c16r2="http://schemas.microsoft.com/office/drawing/2015/06/chart">
            <c:ext xmlns:c16="http://schemas.microsoft.com/office/drawing/2014/chart" uri="{C3380CC4-5D6E-409C-BE32-E72D297353CC}">
              <c16:uniqueId val="{00000005-8FE7-4CD6-8B9F-295F204F6522}"/>
            </c:ext>
          </c:extLst>
        </c:ser>
        <c:dLbls/>
        <c:marker val="1"/>
        <c:axId val="87357312"/>
        <c:axId val="87248896"/>
      </c:lineChart>
      <c:catAx>
        <c:axId val="8735731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u="none" strike="noStrike" kern="1200" baseline="0">
                    <a:solidFill>
                      <a:sysClr val="windowText" lastClr="000000"/>
                    </a:solidFill>
                    <a:latin typeface="Times New Roman" panose="02020603050405020304" pitchFamily="18" charset="0"/>
                    <a:cs typeface="Times New Roman" panose="02020603050405020304" pitchFamily="18" charset="0"/>
                  </a:rPr>
                  <a:t>Варіанти досліду</a:t>
                </a:r>
              </a:p>
            </c:rich>
          </c:tx>
          <c:layout>
            <c:manualLayout>
              <c:xMode val="edge"/>
              <c:yMode val="edge"/>
              <c:x val="0.80513077841989189"/>
              <c:y val="0.79665932310241339"/>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7248896"/>
        <c:crosses val="autoZero"/>
        <c:auto val="1"/>
        <c:lblAlgn val="ctr"/>
        <c:lblOffset val="100"/>
      </c:catAx>
      <c:valAx>
        <c:axId val="87248896"/>
        <c:scaling>
          <c:orientation val="minMax"/>
          <c:max val="0.2"/>
          <c:min val="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г</a:t>
                </a:r>
              </a:p>
            </c:rich>
          </c:tx>
          <c:layout>
            <c:manualLayout>
              <c:xMode val="edge"/>
              <c:yMode val="edge"/>
              <c:x val="2.1147169823653791E-3"/>
              <c:y val="4.552592053160995E-3"/>
            </c:manualLayout>
          </c:layout>
          <c:spPr>
            <a:noFill/>
            <a:ln>
              <a:noFill/>
            </a:ln>
            <a:effectLst/>
          </c:spPr>
        </c:title>
        <c:numFmt formatCode="#,##0.00"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7357312"/>
        <c:crosses val="autoZero"/>
        <c:crossBetween val="between"/>
        <c:majorUnit val="4.0000000000000022E-2"/>
      </c:valAx>
      <c:spPr>
        <a:noFill/>
        <a:ln>
          <a:noFill/>
        </a:ln>
        <a:effectLst/>
      </c:spPr>
    </c:plotArea>
    <c:legend>
      <c:legendPos val="b"/>
      <c:layout>
        <c:manualLayout>
          <c:xMode val="edge"/>
          <c:yMode val="edge"/>
          <c:x val="8.2071663421378661E-4"/>
          <c:y val="0.88277566897763249"/>
          <c:w val="0.99516276686816063"/>
          <c:h val="0.11259466072717014"/>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chartSpace>
</file>

<file path=word/charts/chart34.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255295634200511"/>
          <c:y val="0.10498236107583327"/>
          <c:w val="0.85678822180483361"/>
          <c:h val="0.56523431669687418"/>
        </c:manualLayout>
      </c:layout>
      <c:lineChart>
        <c:grouping val="standard"/>
        <c:ser>
          <c:idx val="0"/>
          <c:order val="0"/>
          <c:tx>
            <c:strRef>
              <c:f>'Водозатр.здат+Трансп.'!$B$13</c:f>
              <c:strCache>
                <c:ptCount val="1"/>
                <c:pt idx="0">
                  <c:v>5 хв.</c:v>
                </c:pt>
              </c:strCache>
            </c:strRef>
          </c:tx>
          <c:spPr>
            <a:ln w="28575" cap="rnd">
              <a:solidFill>
                <a:sysClr val="windowText" lastClr="000000"/>
              </a:solidFill>
              <a:round/>
            </a:ln>
            <a:effectLst/>
          </c:spPr>
          <c:marker>
            <c:symbol val="diamond"/>
            <c:size val="5"/>
            <c:spPr>
              <a:solidFill>
                <a:sysClr val="windowText" lastClr="000000"/>
              </a:solidFill>
              <a:ln w="9525">
                <a:solidFill>
                  <a:sysClr val="windowText" lastClr="000000"/>
                </a:solidFill>
              </a:ln>
              <a:effectLst/>
            </c:spPr>
          </c:marker>
          <c:cat>
            <c:numRef>
              <c:f>'Водозатр.здат+Трансп.'!$A$14:$A$18</c:f>
              <c:numCache>
                <c:formatCode>General</c:formatCode>
                <c:ptCount val="5"/>
                <c:pt idx="0">
                  <c:v>1</c:v>
                </c:pt>
                <c:pt idx="1">
                  <c:v>2</c:v>
                </c:pt>
                <c:pt idx="2">
                  <c:v>3</c:v>
                </c:pt>
                <c:pt idx="3">
                  <c:v>4</c:v>
                </c:pt>
                <c:pt idx="4">
                  <c:v>5</c:v>
                </c:pt>
              </c:numCache>
            </c:numRef>
          </c:cat>
          <c:val>
            <c:numRef>
              <c:f>'Водозатр.здат+Трансп.'!$B$14:$B$18</c:f>
              <c:numCache>
                <c:formatCode>0.000</c:formatCode>
                <c:ptCount val="5"/>
                <c:pt idx="0">
                  <c:v>7.4555555555557151E-3</c:v>
                </c:pt>
                <c:pt idx="1">
                  <c:v>5.3900000000001221E-3</c:v>
                </c:pt>
                <c:pt idx="2">
                  <c:v>7.7111111111110089E-3</c:v>
                </c:pt>
                <c:pt idx="3">
                  <c:v>7.7555555555553404E-3</c:v>
                </c:pt>
                <c:pt idx="4">
                  <c:v>7.0444444444443359E-3</c:v>
                </c:pt>
              </c:numCache>
            </c:numRef>
          </c:val>
          <c:extLst xmlns:c16r2="http://schemas.microsoft.com/office/drawing/2015/06/chart">
            <c:ext xmlns:c16="http://schemas.microsoft.com/office/drawing/2014/chart" uri="{C3380CC4-5D6E-409C-BE32-E72D297353CC}">
              <c16:uniqueId val="{00000000-1F0A-4901-BE41-F23EE35D1EE6}"/>
            </c:ext>
          </c:extLst>
        </c:ser>
        <c:ser>
          <c:idx val="1"/>
          <c:order val="1"/>
          <c:tx>
            <c:strRef>
              <c:f>'Водозатр.здат+Трансп.'!$C$13</c:f>
              <c:strCache>
                <c:ptCount val="1"/>
                <c:pt idx="0">
                  <c:v>10 хв.</c:v>
                </c:pt>
              </c:strCache>
            </c:strRef>
          </c:tx>
          <c:spPr>
            <a:ln w="28575" cap="rnd">
              <a:solidFill>
                <a:sysClr val="windowText" lastClr="000000"/>
              </a:solidFill>
              <a:round/>
            </a:ln>
            <a:effectLst/>
          </c:spPr>
          <c:marker>
            <c:symbol val="square"/>
            <c:size val="5"/>
            <c:spPr>
              <a:solidFill>
                <a:sysClr val="windowText" lastClr="000000"/>
              </a:solidFill>
              <a:ln w="9525">
                <a:solidFill>
                  <a:sysClr val="windowText" lastClr="000000"/>
                </a:solidFill>
              </a:ln>
              <a:effectLst/>
            </c:spPr>
          </c:marker>
          <c:cat>
            <c:numRef>
              <c:f>'Водозатр.здат+Трансп.'!$A$14:$A$18</c:f>
              <c:numCache>
                <c:formatCode>General</c:formatCode>
                <c:ptCount val="5"/>
                <c:pt idx="0">
                  <c:v>1</c:v>
                </c:pt>
                <c:pt idx="1">
                  <c:v>2</c:v>
                </c:pt>
                <c:pt idx="2">
                  <c:v>3</c:v>
                </c:pt>
                <c:pt idx="3">
                  <c:v>4</c:v>
                </c:pt>
                <c:pt idx="4">
                  <c:v>5</c:v>
                </c:pt>
              </c:numCache>
            </c:numRef>
          </c:cat>
          <c:val>
            <c:numRef>
              <c:f>'Водозатр.здат+Трансп.'!$C$14:$C$18</c:f>
              <c:numCache>
                <c:formatCode>0.000</c:formatCode>
                <c:ptCount val="5"/>
                <c:pt idx="0">
                  <c:v>9.0999999999997385E-3</c:v>
                </c:pt>
                <c:pt idx="1">
                  <c:v>8.4000000000001296E-3</c:v>
                </c:pt>
                <c:pt idx="2">
                  <c:v>9.1111111111109987E-3</c:v>
                </c:pt>
                <c:pt idx="3">
                  <c:v>9.4222222222220126E-3</c:v>
                </c:pt>
                <c:pt idx="4">
                  <c:v>8.4666666666663275E-3</c:v>
                </c:pt>
              </c:numCache>
            </c:numRef>
          </c:val>
          <c:extLst xmlns:c16r2="http://schemas.microsoft.com/office/drawing/2015/06/chart">
            <c:ext xmlns:c16="http://schemas.microsoft.com/office/drawing/2014/chart" uri="{C3380CC4-5D6E-409C-BE32-E72D297353CC}">
              <c16:uniqueId val="{00000001-1F0A-4901-BE41-F23EE35D1EE6}"/>
            </c:ext>
          </c:extLst>
        </c:ser>
        <c:ser>
          <c:idx val="2"/>
          <c:order val="2"/>
          <c:tx>
            <c:strRef>
              <c:f>'Водозатр.здат+Трансп.'!$D$13</c:f>
              <c:strCache>
                <c:ptCount val="1"/>
                <c:pt idx="0">
                  <c:v>15 хв.</c:v>
                </c:pt>
              </c:strCache>
            </c:strRef>
          </c:tx>
          <c:spPr>
            <a:ln w="28575" cap="rnd">
              <a:solidFill>
                <a:sysClr val="windowText" lastClr="000000"/>
              </a:solidFill>
              <a:round/>
            </a:ln>
            <a:effectLst/>
          </c:spPr>
          <c:marker>
            <c:symbol val="triangle"/>
            <c:size val="5"/>
            <c:spPr>
              <a:solidFill>
                <a:sysClr val="windowText" lastClr="000000"/>
              </a:solidFill>
              <a:ln w="9525">
                <a:solidFill>
                  <a:sysClr val="windowText" lastClr="000000"/>
                </a:solidFill>
              </a:ln>
              <a:effectLst/>
            </c:spPr>
          </c:marker>
          <c:cat>
            <c:numRef>
              <c:f>'Водозатр.здат+Трансп.'!$A$14:$A$18</c:f>
              <c:numCache>
                <c:formatCode>General</c:formatCode>
                <c:ptCount val="5"/>
                <c:pt idx="0">
                  <c:v>1</c:v>
                </c:pt>
                <c:pt idx="1">
                  <c:v>2</c:v>
                </c:pt>
                <c:pt idx="2">
                  <c:v>3</c:v>
                </c:pt>
                <c:pt idx="3">
                  <c:v>4</c:v>
                </c:pt>
                <c:pt idx="4">
                  <c:v>5</c:v>
                </c:pt>
              </c:numCache>
            </c:numRef>
          </c:cat>
          <c:val>
            <c:numRef>
              <c:f>'Водозатр.здат+Трансп.'!$D$14:$D$18</c:f>
              <c:numCache>
                <c:formatCode>0.000</c:formatCode>
                <c:ptCount val="5"/>
                <c:pt idx="0">
                  <c:v>1.9483333333333429E-2</c:v>
                </c:pt>
                <c:pt idx="1">
                  <c:v>1.5622222222222103E-2</c:v>
                </c:pt>
                <c:pt idx="2">
                  <c:v>1.1100000000000013E-2</c:v>
                </c:pt>
                <c:pt idx="3">
                  <c:v>1.0511111111111001E-2</c:v>
                </c:pt>
                <c:pt idx="4">
                  <c:v>9.6444444444443028E-3</c:v>
                </c:pt>
              </c:numCache>
            </c:numRef>
          </c:val>
          <c:extLst xmlns:c16r2="http://schemas.microsoft.com/office/drawing/2015/06/chart">
            <c:ext xmlns:c16="http://schemas.microsoft.com/office/drawing/2014/chart" uri="{C3380CC4-5D6E-409C-BE32-E72D297353CC}">
              <c16:uniqueId val="{00000002-1F0A-4901-BE41-F23EE35D1EE6}"/>
            </c:ext>
          </c:extLst>
        </c:ser>
        <c:ser>
          <c:idx val="3"/>
          <c:order val="3"/>
          <c:tx>
            <c:strRef>
              <c:f>'Водозатр.здат+Трансп.'!$E$13</c:f>
              <c:strCache>
                <c:ptCount val="1"/>
                <c:pt idx="0">
                  <c:v>20 хв. </c:v>
                </c:pt>
              </c:strCache>
            </c:strRef>
          </c:tx>
          <c:spPr>
            <a:ln w="28575" cap="rnd">
              <a:solidFill>
                <a:sysClr val="windowText" lastClr="000000"/>
              </a:solidFill>
              <a:round/>
            </a:ln>
            <a:effectLst/>
          </c:spPr>
          <c:marker>
            <c:symbol val="x"/>
            <c:size val="5"/>
            <c:spPr>
              <a:solidFill>
                <a:schemeClr val="bg1"/>
              </a:solidFill>
              <a:ln w="9525">
                <a:solidFill>
                  <a:sysClr val="windowText" lastClr="000000"/>
                </a:solidFill>
              </a:ln>
              <a:effectLst/>
            </c:spPr>
          </c:marker>
          <c:cat>
            <c:numRef>
              <c:f>'Водозатр.здат+Трансп.'!$A$14:$A$18</c:f>
              <c:numCache>
                <c:formatCode>General</c:formatCode>
                <c:ptCount val="5"/>
                <c:pt idx="0">
                  <c:v>1</c:v>
                </c:pt>
                <c:pt idx="1">
                  <c:v>2</c:v>
                </c:pt>
                <c:pt idx="2">
                  <c:v>3</c:v>
                </c:pt>
                <c:pt idx="3">
                  <c:v>4</c:v>
                </c:pt>
                <c:pt idx="4">
                  <c:v>5</c:v>
                </c:pt>
              </c:numCache>
            </c:numRef>
          </c:cat>
          <c:val>
            <c:numRef>
              <c:f>'Водозатр.здат+Трансп.'!$E$14:$E$18</c:f>
              <c:numCache>
                <c:formatCode>0.000</c:formatCode>
                <c:ptCount val="5"/>
                <c:pt idx="0">
                  <c:v>3.9255555555555752E-2</c:v>
                </c:pt>
                <c:pt idx="1">
                  <c:v>2.9000000000000168E-2</c:v>
                </c:pt>
                <c:pt idx="2">
                  <c:v>2.6366666666666701E-2</c:v>
                </c:pt>
                <c:pt idx="3">
                  <c:v>2.1022222222221682E-2</c:v>
                </c:pt>
                <c:pt idx="4">
                  <c:v>2.0311111111111002E-2</c:v>
                </c:pt>
              </c:numCache>
            </c:numRef>
          </c:val>
          <c:extLst xmlns:c16r2="http://schemas.microsoft.com/office/drawing/2015/06/chart">
            <c:ext xmlns:c16="http://schemas.microsoft.com/office/drawing/2014/chart" uri="{C3380CC4-5D6E-409C-BE32-E72D297353CC}">
              <c16:uniqueId val="{00000003-1F0A-4901-BE41-F23EE35D1EE6}"/>
            </c:ext>
          </c:extLst>
        </c:ser>
        <c:ser>
          <c:idx val="4"/>
          <c:order val="4"/>
          <c:tx>
            <c:strRef>
              <c:f>'Водозатр.здат+Трансп.'!$F$13</c:f>
              <c:strCache>
                <c:ptCount val="1"/>
                <c:pt idx="0">
                  <c:v>30 хв.</c:v>
                </c:pt>
              </c:strCache>
            </c:strRef>
          </c:tx>
          <c:spPr>
            <a:ln w="28575" cap="rnd">
              <a:solidFill>
                <a:sysClr val="windowText" lastClr="000000"/>
              </a:solidFill>
              <a:round/>
            </a:ln>
            <a:effectLst/>
          </c:spPr>
          <c:marker>
            <c:symbol val="star"/>
            <c:size val="5"/>
            <c:spPr>
              <a:solidFill>
                <a:schemeClr val="bg1"/>
              </a:solidFill>
              <a:ln w="9525">
                <a:solidFill>
                  <a:sysClr val="windowText" lastClr="000000"/>
                </a:solidFill>
              </a:ln>
              <a:effectLst/>
            </c:spPr>
          </c:marker>
          <c:cat>
            <c:numRef>
              <c:f>'Водозатр.здат+Трансп.'!$A$14:$A$18</c:f>
              <c:numCache>
                <c:formatCode>General</c:formatCode>
                <c:ptCount val="5"/>
                <c:pt idx="0">
                  <c:v>1</c:v>
                </c:pt>
                <c:pt idx="1">
                  <c:v>2</c:v>
                </c:pt>
                <c:pt idx="2">
                  <c:v>3</c:v>
                </c:pt>
                <c:pt idx="3">
                  <c:v>4</c:v>
                </c:pt>
                <c:pt idx="4">
                  <c:v>5</c:v>
                </c:pt>
              </c:numCache>
            </c:numRef>
          </c:cat>
          <c:val>
            <c:numRef>
              <c:f>'Водозатр.здат+Трансп.'!$F$14:$F$18</c:f>
              <c:numCache>
                <c:formatCode>0.000</c:formatCode>
                <c:ptCount val="5"/>
                <c:pt idx="0">
                  <c:v>6.0711111111111139E-2</c:v>
                </c:pt>
                <c:pt idx="1">
                  <c:v>4.5966111111111256E-2</c:v>
                </c:pt>
                <c:pt idx="2">
                  <c:v>3.7011111111111043E-2</c:v>
                </c:pt>
                <c:pt idx="3">
                  <c:v>3.4322222222221997E-2</c:v>
                </c:pt>
                <c:pt idx="4">
                  <c:v>2.7933333333333345E-2</c:v>
                </c:pt>
              </c:numCache>
            </c:numRef>
          </c:val>
          <c:extLst xmlns:c16r2="http://schemas.microsoft.com/office/drawing/2015/06/chart">
            <c:ext xmlns:c16="http://schemas.microsoft.com/office/drawing/2014/chart" uri="{C3380CC4-5D6E-409C-BE32-E72D297353CC}">
              <c16:uniqueId val="{00000004-1F0A-4901-BE41-F23EE35D1EE6}"/>
            </c:ext>
          </c:extLst>
        </c:ser>
        <c:ser>
          <c:idx val="5"/>
          <c:order val="5"/>
          <c:tx>
            <c:strRef>
              <c:f>'Водозатр.здат+Трансп.'!$G$13</c:f>
              <c:strCache>
                <c:ptCount val="1"/>
                <c:pt idx="0">
                  <c:v>60 хв.</c:v>
                </c:pt>
              </c:strCache>
            </c:strRef>
          </c:tx>
          <c:spPr>
            <a:ln w="28575" cap="rnd">
              <a:solidFill>
                <a:sysClr val="windowText" lastClr="000000"/>
              </a:solidFill>
              <a:round/>
            </a:ln>
            <a:effectLst/>
          </c:spPr>
          <c:marker>
            <c:symbol val="circle"/>
            <c:size val="5"/>
            <c:spPr>
              <a:solidFill>
                <a:sysClr val="windowText" lastClr="000000"/>
              </a:solidFill>
              <a:ln w="9525">
                <a:solidFill>
                  <a:sysClr val="windowText" lastClr="000000"/>
                </a:solidFill>
              </a:ln>
              <a:effectLst/>
            </c:spPr>
          </c:marker>
          <c:cat>
            <c:numRef>
              <c:f>'Водозатр.здат+Трансп.'!$A$14:$A$18</c:f>
              <c:numCache>
                <c:formatCode>General</c:formatCode>
                <c:ptCount val="5"/>
                <c:pt idx="0">
                  <c:v>1</c:v>
                </c:pt>
                <c:pt idx="1">
                  <c:v>2</c:v>
                </c:pt>
                <c:pt idx="2">
                  <c:v>3</c:v>
                </c:pt>
                <c:pt idx="3">
                  <c:v>4</c:v>
                </c:pt>
                <c:pt idx="4">
                  <c:v>5</c:v>
                </c:pt>
              </c:numCache>
            </c:numRef>
          </c:cat>
          <c:val>
            <c:numRef>
              <c:f>'Водозатр.здат+Трансп.'!$G$14:$G$18</c:f>
              <c:numCache>
                <c:formatCode>0.000</c:formatCode>
                <c:ptCount val="5"/>
                <c:pt idx="0">
                  <c:v>0.12317777777777772</c:v>
                </c:pt>
                <c:pt idx="1">
                  <c:v>7.8533333333333524E-2</c:v>
                </c:pt>
                <c:pt idx="2">
                  <c:v>7.3914444444444477E-2</c:v>
                </c:pt>
                <c:pt idx="3">
                  <c:v>6.1599999999999801E-2</c:v>
                </c:pt>
                <c:pt idx="4">
                  <c:v>5.3133333333333151E-2</c:v>
                </c:pt>
              </c:numCache>
            </c:numRef>
          </c:val>
          <c:extLst xmlns:c16r2="http://schemas.microsoft.com/office/drawing/2015/06/chart">
            <c:ext xmlns:c16="http://schemas.microsoft.com/office/drawing/2014/chart" uri="{C3380CC4-5D6E-409C-BE32-E72D297353CC}">
              <c16:uniqueId val="{00000005-1F0A-4901-BE41-F23EE35D1EE6}"/>
            </c:ext>
          </c:extLst>
        </c:ser>
        <c:dLbls/>
        <c:marker val="1"/>
        <c:axId val="87393792"/>
        <c:axId val="87395712"/>
      </c:lineChart>
      <c:catAx>
        <c:axId val="8739379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baseline="0">
                    <a:effectLst/>
                  </a:rPr>
                  <a:t>Варіанти досліду</a:t>
                </a:r>
                <a:endParaRPr lang="en-US" sz="1000">
                  <a:effectLst/>
                </a:endParaRPr>
              </a:p>
            </c:rich>
          </c:tx>
          <c:layout>
            <c:manualLayout>
              <c:xMode val="edge"/>
              <c:yMode val="edge"/>
              <c:x val="0.80389311041664624"/>
              <c:y val="0.7859053488057971"/>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7395712"/>
        <c:crosses val="autoZero"/>
        <c:auto val="1"/>
        <c:lblAlgn val="ctr"/>
        <c:lblOffset val="100"/>
      </c:catAx>
      <c:valAx>
        <c:axId val="87395712"/>
        <c:scaling>
          <c:orientation val="minMax"/>
          <c:max val="0.2"/>
          <c:min val="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г</a:t>
                </a:r>
              </a:p>
            </c:rich>
          </c:tx>
          <c:layout>
            <c:manualLayout>
              <c:xMode val="edge"/>
              <c:yMode val="edge"/>
              <c:x val="4.3760146874864672E-3"/>
              <c:y val="1.5519431038862103E-2"/>
            </c:manualLayout>
          </c:layout>
          <c:spPr>
            <a:noFill/>
            <a:ln>
              <a:noFill/>
            </a:ln>
            <a:effectLst/>
          </c:spPr>
        </c:title>
        <c:numFmt formatCode="#,##0.00"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7393792"/>
        <c:crosses val="autoZero"/>
        <c:crossBetween val="between"/>
        <c:majorUnit val="4.0000000000000022E-2"/>
        <c:minorUnit val="2.0000000000000031E-3"/>
      </c:valAx>
      <c:spPr>
        <a:noFill/>
        <a:ln>
          <a:noFill/>
        </a:ln>
        <a:effectLst/>
      </c:spPr>
    </c:plotArea>
    <c:legend>
      <c:legendPos val="b"/>
      <c:layout>
        <c:manualLayout>
          <c:xMode val="edge"/>
          <c:yMode val="edge"/>
          <c:x val="1.0955152345087354E-3"/>
          <c:y val="0.89896525990344045"/>
          <c:w val="0.99890448476549132"/>
          <c:h val="0.10103474009655969"/>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chartSpace>
</file>

<file path=word/charts/chart35.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543627669478105"/>
          <c:y val="0.10424831224455151"/>
          <c:w val="0.85230680068891662"/>
          <c:h val="0.56661955182528312"/>
        </c:manualLayout>
      </c:layout>
      <c:lineChart>
        <c:grouping val="standard"/>
        <c:ser>
          <c:idx val="0"/>
          <c:order val="0"/>
          <c:tx>
            <c:strRef>
              <c:f>'Водозатр.здат+Трансп.'!$B$19</c:f>
              <c:strCache>
                <c:ptCount val="1"/>
                <c:pt idx="0">
                  <c:v>5 хв.</c:v>
                </c:pt>
              </c:strCache>
            </c:strRef>
          </c:tx>
          <c:spPr>
            <a:ln w="28575" cap="rnd">
              <a:solidFill>
                <a:sysClr val="windowText" lastClr="000000"/>
              </a:solidFill>
              <a:round/>
            </a:ln>
            <a:effectLst/>
          </c:spPr>
          <c:marker>
            <c:symbol val="diamond"/>
            <c:size val="5"/>
            <c:spPr>
              <a:solidFill>
                <a:sysClr val="windowText" lastClr="000000"/>
              </a:solidFill>
              <a:ln w="9525">
                <a:solidFill>
                  <a:sysClr val="windowText" lastClr="000000"/>
                </a:solidFill>
              </a:ln>
              <a:effectLst/>
            </c:spPr>
          </c:marker>
          <c:cat>
            <c:numRef>
              <c:f>'Водозатр.здат+Трансп.'!$A$20:$A$24</c:f>
              <c:numCache>
                <c:formatCode>General</c:formatCode>
                <c:ptCount val="5"/>
                <c:pt idx="0">
                  <c:v>1</c:v>
                </c:pt>
                <c:pt idx="1">
                  <c:v>2</c:v>
                </c:pt>
                <c:pt idx="2">
                  <c:v>3</c:v>
                </c:pt>
                <c:pt idx="3">
                  <c:v>4</c:v>
                </c:pt>
                <c:pt idx="4">
                  <c:v>5</c:v>
                </c:pt>
              </c:numCache>
            </c:numRef>
          </c:cat>
          <c:val>
            <c:numRef>
              <c:f>'Водозатр.здат+Трансп.'!$B$20:$B$24</c:f>
              <c:numCache>
                <c:formatCode>0.000</c:formatCode>
                <c:ptCount val="5"/>
                <c:pt idx="0">
                  <c:v>5.6500000000000994E-3</c:v>
                </c:pt>
                <c:pt idx="1">
                  <c:v>5.4000000000000792E-3</c:v>
                </c:pt>
                <c:pt idx="2">
                  <c:v>3.0666666666666642E-3</c:v>
                </c:pt>
                <c:pt idx="3">
                  <c:v>5.2666666666666695E-3</c:v>
                </c:pt>
                <c:pt idx="4">
                  <c:v>3.6333333333333356E-3</c:v>
                </c:pt>
              </c:numCache>
            </c:numRef>
          </c:val>
          <c:extLst xmlns:c16r2="http://schemas.microsoft.com/office/drawing/2015/06/chart">
            <c:ext xmlns:c16="http://schemas.microsoft.com/office/drawing/2014/chart" uri="{C3380CC4-5D6E-409C-BE32-E72D297353CC}">
              <c16:uniqueId val="{00000000-38FB-4D71-895B-D21EA99118D5}"/>
            </c:ext>
          </c:extLst>
        </c:ser>
        <c:ser>
          <c:idx val="1"/>
          <c:order val="1"/>
          <c:tx>
            <c:strRef>
              <c:f>'Водозатр.здат+Трансп.'!$C$19</c:f>
              <c:strCache>
                <c:ptCount val="1"/>
                <c:pt idx="0">
                  <c:v>10 хв.</c:v>
                </c:pt>
              </c:strCache>
            </c:strRef>
          </c:tx>
          <c:spPr>
            <a:ln w="28575" cap="rnd">
              <a:solidFill>
                <a:sysClr val="windowText" lastClr="000000"/>
              </a:solidFill>
              <a:round/>
            </a:ln>
            <a:effectLst/>
          </c:spPr>
          <c:marker>
            <c:symbol val="square"/>
            <c:size val="5"/>
            <c:spPr>
              <a:solidFill>
                <a:sysClr val="windowText" lastClr="000000"/>
              </a:solidFill>
              <a:ln w="9525">
                <a:solidFill>
                  <a:sysClr val="windowText" lastClr="000000"/>
                </a:solidFill>
              </a:ln>
              <a:effectLst/>
            </c:spPr>
          </c:marker>
          <c:cat>
            <c:numRef>
              <c:f>'Водозатр.здат+Трансп.'!$A$20:$A$24</c:f>
              <c:numCache>
                <c:formatCode>General</c:formatCode>
                <c:ptCount val="5"/>
                <c:pt idx="0">
                  <c:v>1</c:v>
                </c:pt>
                <c:pt idx="1">
                  <c:v>2</c:v>
                </c:pt>
                <c:pt idx="2">
                  <c:v>3</c:v>
                </c:pt>
                <c:pt idx="3">
                  <c:v>4</c:v>
                </c:pt>
                <c:pt idx="4">
                  <c:v>5</c:v>
                </c:pt>
              </c:numCache>
            </c:numRef>
          </c:cat>
          <c:val>
            <c:numRef>
              <c:f>'Водозатр.здат+Трансп.'!$C$20:$C$24</c:f>
              <c:numCache>
                <c:formatCode>0.000</c:formatCode>
                <c:ptCount val="5"/>
                <c:pt idx="0">
                  <c:v>8.050000000000123E-3</c:v>
                </c:pt>
                <c:pt idx="1">
                  <c:v>8.1000000000000568E-3</c:v>
                </c:pt>
                <c:pt idx="2">
                  <c:v>5.7666666666666665E-3</c:v>
                </c:pt>
                <c:pt idx="3">
                  <c:v>6.4333333333333152E-3</c:v>
                </c:pt>
                <c:pt idx="4">
                  <c:v>5.2666666666666764E-3</c:v>
                </c:pt>
              </c:numCache>
            </c:numRef>
          </c:val>
          <c:extLst xmlns:c16r2="http://schemas.microsoft.com/office/drawing/2015/06/chart">
            <c:ext xmlns:c16="http://schemas.microsoft.com/office/drawing/2014/chart" uri="{C3380CC4-5D6E-409C-BE32-E72D297353CC}">
              <c16:uniqueId val="{00000001-38FB-4D71-895B-D21EA99118D5}"/>
            </c:ext>
          </c:extLst>
        </c:ser>
        <c:ser>
          <c:idx val="2"/>
          <c:order val="2"/>
          <c:tx>
            <c:strRef>
              <c:f>'Водозатр.здат+Трансп.'!$D$19</c:f>
              <c:strCache>
                <c:ptCount val="1"/>
                <c:pt idx="0">
                  <c:v>15 хв.</c:v>
                </c:pt>
              </c:strCache>
            </c:strRef>
          </c:tx>
          <c:spPr>
            <a:ln w="28575" cap="rnd">
              <a:solidFill>
                <a:sysClr val="windowText" lastClr="000000"/>
              </a:solidFill>
              <a:round/>
            </a:ln>
            <a:effectLst/>
          </c:spPr>
          <c:marker>
            <c:symbol val="triangle"/>
            <c:size val="5"/>
            <c:spPr>
              <a:solidFill>
                <a:sysClr val="windowText" lastClr="000000"/>
              </a:solidFill>
              <a:ln w="9525">
                <a:solidFill>
                  <a:sysClr val="windowText" lastClr="000000"/>
                </a:solidFill>
              </a:ln>
              <a:effectLst/>
            </c:spPr>
          </c:marker>
          <c:cat>
            <c:numRef>
              <c:f>'Водозатр.здат+Трансп.'!$A$20:$A$24</c:f>
              <c:numCache>
                <c:formatCode>General</c:formatCode>
                <c:ptCount val="5"/>
                <c:pt idx="0">
                  <c:v>1</c:v>
                </c:pt>
                <c:pt idx="1">
                  <c:v>2</c:v>
                </c:pt>
                <c:pt idx="2">
                  <c:v>3</c:v>
                </c:pt>
                <c:pt idx="3">
                  <c:v>4</c:v>
                </c:pt>
                <c:pt idx="4">
                  <c:v>5</c:v>
                </c:pt>
              </c:numCache>
            </c:numRef>
          </c:cat>
          <c:val>
            <c:numRef>
              <c:f>'Водозатр.здат+Трансп.'!$D$20:$D$24</c:f>
              <c:numCache>
                <c:formatCode>0.000</c:formatCode>
                <c:ptCount val="5"/>
                <c:pt idx="0">
                  <c:v>1.4800000000000159E-2</c:v>
                </c:pt>
                <c:pt idx="1">
                  <c:v>1.4450000000000077E-2</c:v>
                </c:pt>
                <c:pt idx="2">
                  <c:v>6.8666666666666676E-3</c:v>
                </c:pt>
                <c:pt idx="3">
                  <c:v>7.5444444444443095E-3</c:v>
                </c:pt>
                <c:pt idx="4">
                  <c:v>6.9333333333333469E-3</c:v>
                </c:pt>
              </c:numCache>
            </c:numRef>
          </c:val>
          <c:extLst xmlns:c16r2="http://schemas.microsoft.com/office/drawing/2015/06/chart">
            <c:ext xmlns:c16="http://schemas.microsoft.com/office/drawing/2014/chart" uri="{C3380CC4-5D6E-409C-BE32-E72D297353CC}">
              <c16:uniqueId val="{00000002-38FB-4D71-895B-D21EA99118D5}"/>
            </c:ext>
          </c:extLst>
        </c:ser>
        <c:ser>
          <c:idx val="3"/>
          <c:order val="3"/>
          <c:tx>
            <c:strRef>
              <c:f>'Водозатр.здат+Трансп.'!$E$19</c:f>
              <c:strCache>
                <c:ptCount val="1"/>
                <c:pt idx="0">
                  <c:v>20 хв. </c:v>
                </c:pt>
              </c:strCache>
            </c:strRef>
          </c:tx>
          <c:spPr>
            <a:ln w="28575" cap="rnd">
              <a:solidFill>
                <a:sysClr val="windowText" lastClr="000000"/>
              </a:solidFill>
              <a:round/>
            </a:ln>
            <a:effectLst/>
          </c:spPr>
          <c:marker>
            <c:symbol val="x"/>
            <c:size val="5"/>
            <c:spPr>
              <a:solidFill>
                <a:schemeClr val="bg1"/>
              </a:solidFill>
              <a:ln w="9525">
                <a:solidFill>
                  <a:sysClr val="windowText" lastClr="000000"/>
                </a:solidFill>
              </a:ln>
              <a:effectLst/>
            </c:spPr>
          </c:marker>
          <c:cat>
            <c:numRef>
              <c:f>'Водозатр.здат+Трансп.'!$A$20:$A$24</c:f>
              <c:numCache>
                <c:formatCode>General</c:formatCode>
                <c:ptCount val="5"/>
                <c:pt idx="0">
                  <c:v>1</c:v>
                </c:pt>
                <c:pt idx="1">
                  <c:v>2</c:v>
                </c:pt>
                <c:pt idx="2">
                  <c:v>3</c:v>
                </c:pt>
                <c:pt idx="3">
                  <c:v>4</c:v>
                </c:pt>
                <c:pt idx="4">
                  <c:v>5</c:v>
                </c:pt>
              </c:numCache>
            </c:numRef>
          </c:cat>
          <c:val>
            <c:numRef>
              <c:f>'Водозатр.здат+Трансп.'!$E$20:$E$24</c:f>
              <c:numCache>
                <c:formatCode>0.000</c:formatCode>
                <c:ptCount val="5"/>
                <c:pt idx="0">
                  <c:v>2.7050000000000091E-2</c:v>
                </c:pt>
                <c:pt idx="1">
                  <c:v>1.9380000000000088E-2</c:v>
                </c:pt>
                <c:pt idx="2">
                  <c:v>7.8222222222223328E-3</c:v>
                </c:pt>
                <c:pt idx="3">
                  <c:v>1.00222222222223E-2</c:v>
                </c:pt>
                <c:pt idx="4">
                  <c:v>8.6666666666667148E-3</c:v>
                </c:pt>
              </c:numCache>
            </c:numRef>
          </c:val>
          <c:extLst xmlns:c16r2="http://schemas.microsoft.com/office/drawing/2015/06/chart">
            <c:ext xmlns:c16="http://schemas.microsoft.com/office/drawing/2014/chart" uri="{C3380CC4-5D6E-409C-BE32-E72D297353CC}">
              <c16:uniqueId val="{00000003-38FB-4D71-895B-D21EA99118D5}"/>
            </c:ext>
          </c:extLst>
        </c:ser>
        <c:ser>
          <c:idx val="4"/>
          <c:order val="4"/>
          <c:tx>
            <c:strRef>
              <c:f>'Водозатр.здат+Трансп.'!$F$19</c:f>
              <c:strCache>
                <c:ptCount val="1"/>
                <c:pt idx="0">
                  <c:v>30 хв.</c:v>
                </c:pt>
              </c:strCache>
            </c:strRef>
          </c:tx>
          <c:spPr>
            <a:ln w="28575" cap="rnd">
              <a:solidFill>
                <a:sysClr val="windowText" lastClr="000000"/>
              </a:solidFill>
              <a:round/>
            </a:ln>
            <a:effectLst/>
          </c:spPr>
          <c:marker>
            <c:symbol val="star"/>
            <c:size val="5"/>
            <c:spPr>
              <a:solidFill>
                <a:schemeClr val="bg1"/>
              </a:solidFill>
              <a:ln w="9525">
                <a:solidFill>
                  <a:sysClr val="windowText" lastClr="000000"/>
                </a:solidFill>
              </a:ln>
              <a:effectLst/>
            </c:spPr>
          </c:marker>
          <c:cat>
            <c:numRef>
              <c:f>'Водозатр.здат+Трансп.'!$A$20:$A$24</c:f>
              <c:numCache>
                <c:formatCode>General</c:formatCode>
                <c:ptCount val="5"/>
                <c:pt idx="0">
                  <c:v>1</c:v>
                </c:pt>
                <c:pt idx="1">
                  <c:v>2</c:v>
                </c:pt>
                <c:pt idx="2">
                  <c:v>3</c:v>
                </c:pt>
                <c:pt idx="3">
                  <c:v>4</c:v>
                </c:pt>
                <c:pt idx="4">
                  <c:v>5</c:v>
                </c:pt>
              </c:numCache>
            </c:numRef>
          </c:cat>
          <c:val>
            <c:numRef>
              <c:f>'Водозатр.здат+Трансп.'!$F$20:$F$24</c:f>
              <c:numCache>
                <c:formatCode>0.000</c:formatCode>
                <c:ptCount val="5"/>
                <c:pt idx="0">
                  <c:v>4.1450000000000098E-2</c:v>
                </c:pt>
                <c:pt idx="1">
                  <c:v>2.3900000000000029E-2</c:v>
                </c:pt>
                <c:pt idx="2">
                  <c:v>1.6911111111111023E-2</c:v>
                </c:pt>
                <c:pt idx="3">
                  <c:v>1.932222222222232E-2</c:v>
                </c:pt>
                <c:pt idx="4">
                  <c:v>1.5744444444444328E-2</c:v>
                </c:pt>
              </c:numCache>
            </c:numRef>
          </c:val>
          <c:extLst xmlns:c16r2="http://schemas.microsoft.com/office/drawing/2015/06/chart">
            <c:ext xmlns:c16="http://schemas.microsoft.com/office/drawing/2014/chart" uri="{C3380CC4-5D6E-409C-BE32-E72D297353CC}">
              <c16:uniqueId val="{00000004-38FB-4D71-895B-D21EA99118D5}"/>
            </c:ext>
          </c:extLst>
        </c:ser>
        <c:ser>
          <c:idx val="5"/>
          <c:order val="5"/>
          <c:tx>
            <c:strRef>
              <c:f>'Водозатр.здат+Трансп.'!$G$19</c:f>
              <c:strCache>
                <c:ptCount val="1"/>
                <c:pt idx="0">
                  <c:v>60 хв.</c:v>
                </c:pt>
              </c:strCache>
            </c:strRef>
          </c:tx>
          <c:spPr>
            <a:ln w="28575" cap="rnd">
              <a:solidFill>
                <a:sysClr val="windowText" lastClr="000000"/>
              </a:solidFill>
              <a:round/>
            </a:ln>
            <a:effectLst/>
          </c:spPr>
          <c:marker>
            <c:symbol val="circle"/>
            <c:size val="5"/>
            <c:spPr>
              <a:solidFill>
                <a:sysClr val="windowText" lastClr="000000"/>
              </a:solidFill>
              <a:ln w="9525">
                <a:solidFill>
                  <a:sysClr val="windowText" lastClr="000000"/>
                </a:solidFill>
              </a:ln>
              <a:effectLst/>
            </c:spPr>
          </c:marker>
          <c:cat>
            <c:numRef>
              <c:f>'Водозатр.здат+Трансп.'!$A$20:$A$24</c:f>
              <c:numCache>
                <c:formatCode>General</c:formatCode>
                <c:ptCount val="5"/>
                <c:pt idx="0">
                  <c:v>1</c:v>
                </c:pt>
                <c:pt idx="1">
                  <c:v>2</c:v>
                </c:pt>
                <c:pt idx="2">
                  <c:v>3</c:v>
                </c:pt>
                <c:pt idx="3">
                  <c:v>4</c:v>
                </c:pt>
                <c:pt idx="4">
                  <c:v>5</c:v>
                </c:pt>
              </c:numCache>
            </c:numRef>
          </c:cat>
          <c:val>
            <c:numRef>
              <c:f>'Водозатр.здат+Трансп.'!$G$20:$G$24</c:f>
              <c:numCache>
                <c:formatCode>0.000</c:formatCode>
                <c:ptCount val="5"/>
                <c:pt idx="0">
                  <c:v>6.2000000000000124E-2</c:v>
                </c:pt>
                <c:pt idx="1">
                  <c:v>4.2180000000000092E-2</c:v>
                </c:pt>
                <c:pt idx="2">
                  <c:v>3.1355555555555699E-2</c:v>
                </c:pt>
                <c:pt idx="3">
                  <c:v>3.5477777777778066E-2</c:v>
                </c:pt>
                <c:pt idx="4">
                  <c:v>2.6122222222222099E-2</c:v>
                </c:pt>
              </c:numCache>
            </c:numRef>
          </c:val>
          <c:extLst xmlns:c16r2="http://schemas.microsoft.com/office/drawing/2015/06/chart">
            <c:ext xmlns:c16="http://schemas.microsoft.com/office/drawing/2014/chart" uri="{C3380CC4-5D6E-409C-BE32-E72D297353CC}">
              <c16:uniqueId val="{00000005-38FB-4D71-895B-D21EA99118D5}"/>
            </c:ext>
          </c:extLst>
        </c:ser>
        <c:dLbls/>
        <c:marker val="1"/>
        <c:axId val="88536192"/>
        <c:axId val="88538112"/>
      </c:lineChart>
      <c:catAx>
        <c:axId val="8853619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u="none" strike="noStrike" kern="1200" baseline="0">
                    <a:solidFill>
                      <a:sysClr val="windowText" lastClr="000000"/>
                    </a:solidFill>
                    <a:latin typeface="Times New Roman" panose="02020603050405020304" pitchFamily="18" charset="0"/>
                    <a:cs typeface="Times New Roman" panose="02020603050405020304" pitchFamily="18" charset="0"/>
                  </a:rPr>
                  <a:t>Варіанти досліду</a:t>
                </a:r>
              </a:p>
            </c:rich>
          </c:tx>
          <c:layout>
            <c:manualLayout>
              <c:xMode val="edge"/>
              <c:yMode val="edge"/>
              <c:x val="0.80379743058254804"/>
              <c:y val="0.79059533401588467"/>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538112"/>
        <c:crosses val="autoZero"/>
        <c:auto val="1"/>
        <c:lblAlgn val="ctr"/>
        <c:lblOffset val="100"/>
      </c:catAx>
      <c:valAx>
        <c:axId val="88538112"/>
        <c:scaling>
          <c:orientation val="minMax"/>
          <c:max val="0.2"/>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г</a:t>
                </a:r>
              </a:p>
            </c:rich>
          </c:tx>
          <c:layout>
            <c:manualLayout>
              <c:xMode val="edge"/>
              <c:yMode val="edge"/>
              <c:x val="1.7653417479710353E-3"/>
              <c:y val="1.309077097832626E-2"/>
            </c:manualLayout>
          </c:layout>
          <c:spPr>
            <a:noFill/>
            <a:ln>
              <a:noFill/>
            </a:ln>
            <a:effectLst/>
          </c:spPr>
        </c:title>
        <c:numFmt formatCode="#,##0.00"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536192"/>
        <c:crosses val="autoZero"/>
        <c:crossBetween val="between"/>
        <c:majorUnit val="4.0000000000000022E-2"/>
      </c:valAx>
      <c:spPr>
        <a:noFill/>
        <a:ln>
          <a:noFill/>
        </a:ln>
        <a:effectLst/>
      </c:spPr>
    </c:plotArea>
    <c:legend>
      <c:legendPos val="b"/>
      <c:layout>
        <c:manualLayout>
          <c:xMode val="edge"/>
          <c:yMode val="edge"/>
          <c:x val="7.3515985699994691E-4"/>
          <c:y val="0.89079446880101054"/>
          <c:w val="0.99693138084338451"/>
          <c:h val="0.10457555990568709"/>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chartSpace>
</file>

<file path=word/charts/chart36.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4087966212775214E-2"/>
          <c:y val="0.20412293853073471"/>
          <c:w val="0.88535636353241176"/>
          <c:h val="0.52155674131438157"/>
        </c:manualLayout>
      </c:layout>
      <c:barChart>
        <c:barDir val="col"/>
        <c:grouping val="clustered"/>
        <c:ser>
          <c:idx val="0"/>
          <c:order val="0"/>
          <c:tx>
            <c:strRef>
              <c:f>'Остаточне інтенсвність тр'!$I$1</c:f>
              <c:strCache>
                <c:ptCount val="1"/>
                <c:pt idx="0">
                  <c:v>5 хв.</c:v>
                </c:pt>
              </c:strCache>
            </c:strRef>
          </c:tx>
          <c:spPr>
            <a:solidFill>
              <a:schemeClr val="tx1">
                <a:lumMod val="50000"/>
                <a:lumOff val="50000"/>
              </a:schemeClr>
            </a:solidFill>
            <a:ln>
              <a:solidFill>
                <a:sysClr val="windowText" lastClr="000000"/>
              </a:solidFill>
            </a:ln>
            <a:effectLst/>
          </c:spPr>
          <c:cat>
            <c:numRef>
              <c:f>'Остаточне інтенсвність тр'!$H$2:$H$13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інтенсвність тр'!$I$2:$I$13</c:f>
              <c:numCache>
                <c:formatCode>0.0</c:formatCode>
                <c:ptCount val="12"/>
                <c:pt idx="0">
                  <c:v>2.7690792712948231</c:v>
                </c:pt>
                <c:pt idx="1">
                  <c:v>2.1614627285512182</c:v>
                </c:pt>
                <c:pt idx="2">
                  <c:v>1.6094527363183169</c:v>
                </c:pt>
                <c:pt idx="3">
                  <c:v>1.4861995753716124</c:v>
                </c:pt>
                <c:pt idx="4">
                  <c:v>1.2820512820512751</c:v>
                </c:pt>
                <c:pt idx="5">
                  <c:v>1.2412327311369784</c:v>
                </c:pt>
                <c:pt idx="6">
                  <c:v>1.0201058201057374</c:v>
                </c:pt>
                <c:pt idx="7">
                  <c:v>0.87674074074077135</c:v>
                </c:pt>
                <c:pt idx="8">
                  <c:v>0.82222222222214403</c:v>
                </c:pt>
                <c:pt idx="9">
                  <c:v>1.0334655681009135</c:v>
                </c:pt>
                <c:pt idx="10">
                  <c:v>1.0323089046493845</c:v>
                </c:pt>
                <c:pt idx="11">
                  <c:v>0.83208020050127862</c:v>
                </c:pt>
              </c:numCache>
            </c:numRef>
          </c:val>
          <c:extLst xmlns:c16r2="http://schemas.microsoft.com/office/drawing/2015/06/chart">
            <c:ext xmlns:c16="http://schemas.microsoft.com/office/drawing/2014/chart" uri="{C3380CC4-5D6E-409C-BE32-E72D297353CC}">
              <c16:uniqueId val="{00000000-EA7C-47DC-BE44-B1ED58CAC681}"/>
            </c:ext>
          </c:extLst>
        </c:ser>
        <c:ser>
          <c:idx val="1"/>
          <c:order val="1"/>
          <c:tx>
            <c:strRef>
              <c:f>'Остаточне інтенсвність тр'!$J$1</c:f>
              <c:strCache>
                <c:ptCount val="1"/>
                <c:pt idx="0">
                  <c:v>10 хв.</c:v>
                </c:pt>
              </c:strCache>
            </c:strRef>
          </c:tx>
          <c:spPr>
            <a:solidFill>
              <a:schemeClr val="bg1"/>
            </a:solidFill>
            <a:ln>
              <a:solidFill>
                <a:sysClr val="windowText" lastClr="000000"/>
              </a:solidFill>
            </a:ln>
            <a:effectLst/>
          </c:spPr>
          <c:cat>
            <c:numRef>
              <c:f>'Остаточне інтенсвність тр'!$H$2:$H$13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інтенсвність тр'!$J$2:$J$13</c:f>
              <c:numCache>
                <c:formatCode>0.0</c:formatCode>
                <c:ptCount val="12"/>
                <c:pt idx="0">
                  <c:v>9.9852289512551682</c:v>
                </c:pt>
                <c:pt idx="1">
                  <c:v>6.402250351617222</c:v>
                </c:pt>
                <c:pt idx="2">
                  <c:v>8.2537313432836505</c:v>
                </c:pt>
                <c:pt idx="3">
                  <c:v>7.288322717622032</c:v>
                </c:pt>
                <c:pt idx="4">
                  <c:v>7.6630036630036482</c:v>
                </c:pt>
                <c:pt idx="5">
                  <c:v>4.6673751328375355</c:v>
                </c:pt>
                <c:pt idx="6">
                  <c:v>4.1894975661375575</c:v>
                </c:pt>
                <c:pt idx="7">
                  <c:v>3.8666666666666232</c:v>
                </c:pt>
                <c:pt idx="8">
                  <c:v>4.2814814814816371</c:v>
                </c:pt>
                <c:pt idx="9">
                  <c:v>2.6569016376765942</c:v>
                </c:pt>
                <c:pt idx="10">
                  <c:v>5.2847911741526721</c:v>
                </c:pt>
                <c:pt idx="11">
                  <c:v>2.991478696742083</c:v>
                </c:pt>
              </c:numCache>
            </c:numRef>
          </c:val>
          <c:extLst xmlns:c16r2="http://schemas.microsoft.com/office/drawing/2015/06/chart">
            <c:ext xmlns:c16="http://schemas.microsoft.com/office/drawing/2014/chart" uri="{C3380CC4-5D6E-409C-BE32-E72D297353CC}">
              <c16:uniqueId val="{00000001-EA7C-47DC-BE44-B1ED58CAC681}"/>
            </c:ext>
          </c:extLst>
        </c:ser>
        <c:dLbls/>
        <c:gapWidth val="219"/>
        <c:overlap val="-27"/>
        <c:axId val="88602496"/>
        <c:axId val="88608768"/>
      </c:barChart>
      <c:catAx>
        <c:axId val="88602496"/>
        <c:scaling>
          <c:orientation val="minMax"/>
        </c:scaling>
        <c:axPos val="b"/>
        <c:title>
          <c:tx>
            <c:rich>
              <a:bodyPr rot="0" spcFirstLastPara="1" vertOverflow="ellipsis" vert="horz" wrap="square" anchor="ctr" anchorCtr="1"/>
              <a:lstStyle/>
              <a:p>
                <a:pPr>
                  <a:defRPr sz="7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baseline="0">
                    <a:effectLst/>
                  </a:rPr>
                  <a:t>Варіанти досліду</a:t>
                </a:r>
                <a:endParaRPr lang="en-US" sz="700">
                  <a:effectLst/>
                </a:endParaRPr>
              </a:p>
            </c:rich>
          </c:tx>
          <c:layout>
            <c:manualLayout>
              <c:xMode val="edge"/>
              <c:yMode val="edge"/>
              <c:x val="0.78422740521694556"/>
              <c:y val="0.87312531557472173"/>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608768"/>
        <c:crosses val="autoZero"/>
        <c:auto val="1"/>
        <c:lblAlgn val="ctr"/>
        <c:lblOffset val="100"/>
      </c:catAx>
      <c:valAx>
        <c:axId val="88608768"/>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г</a:t>
                </a:r>
                <a:r>
                  <a:rPr lang="uk-UA" sz="1000">
                    <a:latin typeface="Times New Roman" panose="02020603050405020304" pitchFamily="18" charset="0"/>
                    <a:cs typeface="Times New Roman" panose="02020603050405020304" pitchFamily="18" charset="0"/>
                  </a:rPr>
                  <a:t>/</a:t>
                </a:r>
                <a:r>
                  <a:rPr lang="uk-UA" sz="1000"/>
                  <a:t>(м</a:t>
                </a:r>
                <a:r>
                  <a:rPr lang="uk-UA" sz="1000" baseline="30000"/>
                  <a:t>2</a:t>
                </a:r>
                <a:r>
                  <a:rPr lang="uk-UA" sz="1000">
                    <a:latin typeface="Times New Roman" panose="02020603050405020304" pitchFamily="18" charset="0"/>
                    <a:cs typeface="Times New Roman" panose="02020603050405020304" pitchFamily="18" charset="0"/>
                  </a:rPr>
                  <a:t>×</a:t>
                </a:r>
                <a:r>
                  <a:rPr lang="uk-UA" sz="1000"/>
                  <a:t>год)</a:t>
                </a:r>
              </a:p>
            </c:rich>
          </c:tx>
          <c:layout>
            <c:manualLayout>
              <c:xMode val="edge"/>
              <c:yMode val="edge"/>
              <c:x val="2.7777777777777861E-3"/>
              <c:y val="1.3618037328667249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602496"/>
        <c:crosses val="autoZero"/>
        <c:crossBetween val="between"/>
        <c:majorUnit val="4"/>
      </c:valAx>
      <c:spPr>
        <a:noFill/>
        <a:ln>
          <a:noFill/>
        </a:ln>
        <a:effectLst/>
      </c:spPr>
    </c:plotArea>
    <c:legend>
      <c:legendPos val="b"/>
      <c:layout>
        <c:manualLayout>
          <c:xMode val="edge"/>
          <c:yMode val="edge"/>
          <c:x val="2.8929475852747027E-3"/>
          <c:y val="0.89439847005631068"/>
          <c:w val="0.99421410482944961"/>
          <c:h val="0.1056015299436898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lgn="just">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chartSpace>
</file>

<file path=word/charts/chart37.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3982111867574418E-2"/>
          <c:y val="0.21009810360119441"/>
          <c:w val="0.90932762359450836"/>
          <c:h val="0.51240140554227798"/>
        </c:manualLayout>
      </c:layout>
      <c:barChart>
        <c:barDir val="col"/>
        <c:grouping val="clustered"/>
        <c:ser>
          <c:idx val="0"/>
          <c:order val="0"/>
          <c:tx>
            <c:strRef>
              <c:f>'Остаточне інтенсвність тр'!$I$16</c:f>
              <c:strCache>
                <c:ptCount val="1"/>
                <c:pt idx="0">
                  <c:v>5 хв.</c:v>
                </c:pt>
              </c:strCache>
            </c:strRef>
          </c:tx>
          <c:spPr>
            <a:solidFill>
              <a:schemeClr val="tx1">
                <a:lumMod val="50000"/>
                <a:lumOff val="50000"/>
              </a:schemeClr>
            </a:solidFill>
            <a:ln>
              <a:solidFill>
                <a:sysClr val="windowText" lastClr="000000"/>
              </a:solidFill>
            </a:ln>
            <a:effectLst/>
          </c:spPr>
          <c:cat>
            <c:numRef>
              <c:f>'Остаточне інтенсвність тр'!$H$17:$H$28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інтенсвність тр'!$I$17:$I$28</c:f>
              <c:numCache>
                <c:formatCode>0.0</c:formatCode>
                <c:ptCount val="12"/>
                <c:pt idx="0">
                  <c:v>2.6666666666665408</c:v>
                </c:pt>
                <c:pt idx="1">
                  <c:v>2.6267806267804894</c:v>
                </c:pt>
                <c:pt idx="2">
                  <c:v>1.8114413550654109</c:v>
                </c:pt>
                <c:pt idx="3">
                  <c:v>1.6025236593060554</c:v>
                </c:pt>
                <c:pt idx="4">
                  <c:v>1.7664319248826141</c:v>
                </c:pt>
                <c:pt idx="5">
                  <c:v>1.3890109890110878</c:v>
                </c:pt>
                <c:pt idx="6">
                  <c:v>1.5465498357065421</c:v>
                </c:pt>
                <c:pt idx="7">
                  <c:v>1.3348765432097101</c:v>
                </c:pt>
                <c:pt idx="8">
                  <c:v>1.1942583732057921</c:v>
                </c:pt>
                <c:pt idx="9">
                  <c:v>1.2253829321662837</c:v>
                </c:pt>
                <c:pt idx="10">
                  <c:v>1.4881516587676724</c:v>
                </c:pt>
                <c:pt idx="11">
                  <c:v>1.5631901840490856</c:v>
                </c:pt>
              </c:numCache>
            </c:numRef>
          </c:val>
          <c:extLst xmlns:c16r2="http://schemas.microsoft.com/office/drawing/2015/06/chart">
            <c:ext xmlns:c16="http://schemas.microsoft.com/office/drawing/2014/chart" uri="{C3380CC4-5D6E-409C-BE32-E72D297353CC}">
              <c16:uniqueId val="{00000000-097D-4A91-98BC-582E1F8FFCB3}"/>
            </c:ext>
          </c:extLst>
        </c:ser>
        <c:ser>
          <c:idx val="1"/>
          <c:order val="1"/>
          <c:tx>
            <c:strRef>
              <c:f>'Остаточне інтенсвність тр'!$J$16</c:f>
              <c:strCache>
                <c:ptCount val="1"/>
                <c:pt idx="0">
                  <c:v>10 хв.</c:v>
                </c:pt>
              </c:strCache>
            </c:strRef>
          </c:tx>
          <c:spPr>
            <a:solidFill>
              <a:sysClr val="window" lastClr="FFFFFF"/>
            </a:solidFill>
            <a:ln>
              <a:solidFill>
                <a:sysClr val="windowText" lastClr="000000"/>
              </a:solidFill>
            </a:ln>
            <a:effectLst/>
          </c:spPr>
          <c:cat>
            <c:numRef>
              <c:f>'Остаточне інтенсвність тр'!$H$17:$H$28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інтенсвність тр'!$J$17:$J$28</c:f>
              <c:numCache>
                <c:formatCode>0.0</c:formatCode>
                <c:ptCount val="12"/>
                <c:pt idx="0">
                  <c:v>5.9730458221024154</c:v>
                </c:pt>
                <c:pt idx="1">
                  <c:v>5.5080721747384125</c:v>
                </c:pt>
                <c:pt idx="2">
                  <c:v>4.4154682007032564</c:v>
                </c:pt>
                <c:pt idx="3">
                  <c:v>3.8668068699611378</c:v>
                </c:pt>
                <c:pt idx="4">
                  <c:v>4.1056338028170556</c:v>
                </c:pt>
                <c:pt idx="5">
                  <c:v>3.9032967032967192</c:v>
                </c:pt>
                <c:pt idx="6">
                  <c:v>3.8729463307776388</c:v>
                </c:pt>
                <c:pt idx="7">
                  <c:v>3.2901234567900004</c:v>
                </c:pt>
                <c:pt idx="8">
                  <c:v>3.1770334928227482</c:v>
                </c:pt>
                <c:pt idx="9">
                  <c:v>2.7483588621445549</c:v>
                </c:pt>
                <c:pt idx="10">
                  <c:v>3.2037914691940936</c:v>
                </c:pt>
                <c:pt idx="11">
                  <c:v>3.2883435582822407</c:v>
                </c:pt>
              </c:numCache>
            </c:numRef>
          </c:val>
          <c:extLst xmlns:c16r2="http://schemas.microsoft.com/office/drawing/2015/06/chart">
            <c:ext xmlns:c16="http://schemas.microsoft.com/office/drawing/2014/chart" uri="{C3380CC4-5D6E-409C-BE32-E72D297353CC}">
              <c16:uniqueId val="{00000001-097D-4A91-98BC-582E1F8FFCB3}"/>
            </c:ext>
          </c:extLst>
        </c:ser>
        <c:dLbls/>
        <c:gapWidth val="219"/>
        <c:overlap val="-27"/>
        <c:axId val="88644224"/>
        <c:axId val="88670976"/>
      </c:barChart>
      <c:catAx>
        <c:axId val="88644224"/>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78578283441442065"/>
              <c:y val="0.87198529461547369"/>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670976"/>
        <c:crosses val="autoZero"/>
        <c:auto val="1"/>
        <c:lblAlgn val="ctr"/>
        <c:lblOffset val="100"/>
      </c:catAx>
      <c:valAx>
        <c:axId val="88670976"/>
        <c:scaling>
          <c:orientation val="minMax"/>
          <c:max val="12"/>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г/(м</a:t>
                </a:r>
                <a:r>
                  <a:rPr lang="uk-UA" sz="1000" baseline="30000"/>
                  <a:t>2</a:t>
                </a:r>
                <a:r>
                  <a:rPr lang="uk-UA" sz="1000">
                    <a:latin typeface="Times New Roman" panose="02020603050405020304" pitchFamily="18" charset="0"/>
                    <a:cs typeface="Times New Roman" panose="02020603050405020304" pitchFamily="18" charset="0"/>
                  </a:rPr>
                  <a:t>×</a:t>
                </a:r>
                <a:r>
                  <a:rPr lang="uk-UA" sz="1000"/>
                  <a:t>год)</a:t>
                </a:r>
                <a:endParaRPr lang="en-US" sz="1000"/>
              </a:p>
            </c:rich>
          </c:tx>
          <c:layout>
            <c:manualLayout>
              <c:xMode val="edge"/>
              <c:yMode val="edge"/>
              <c:x val="9.6921235414342607E-3"/>
              <c:y val="8.9882967527609766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644224"/>
        <c:crosses val="autoZero"/>
        <c:crossBetween val="between"/>
        <c:majorUnit val="4"/>
      </c:valAx>
      <c:spPr>
        <a:noFill/>
        <a:ln>
          <a:noFill/>
        </a:ln>
        <a:effectLst/>
      </c:spPr>
    </c:plotArea>
    <c:legend>
      <c:legendPos val="b"/>
      <c:layout>
        <c:manualLayout>
          <c:xMode val="edge"/>
          <c:yMode val="edge"/>
          <c:x val="4.5797739439558532E-3"/>
          <c:y val="0.88722297910272185"/>
          <c:w val="0.99542016622922136"/>
          <c:h val="0.11277702089727744"/>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chartSpace>
</file>

<file path=word/charts/chart38.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1092651510326214E-2"/>
          <c:y val="0.18168463165405288"/>
          <c:w val="0.89869302406685969"/>
          <c:h val="0.52442218994470235"/>
        </c:manualLayout>
      </c:layout>
      <c:barChart>
        <c:barDir val="col"/>
        <c:grouping val="clustered"/>
        <c:ser>
          <c:idx val="0"/>
          <c:order val="0"/>
          <c:tx>
            <c:strRef>
              <c:f>'Остаточне інтенсвність тр'!$I$31</c:f>
              <c:strCache>
                <c:ptCount val="1"/>
                <c:pt idx="0">
                  <c:v>5 хв.</c:v>
                </c:pt>
              </c:strCache>
            </c:strRef>
          </c:tx>
          <c:spPr>
            <a:solidFill>
              <a:schemeClr val="tx1">
                <a:lumMod val="50000"/>
                <a:lumOff val="50000"/>
              </a:schemeClr>
            </a:solidFill>
            <a:ln>
              <a:solidFill>
                <a:sysClr val="windowText" lastClr="000000"/>
              </a:solidFill>
            </a:ln>
            <a:effectLst/>
          </c:spPr>
          <c:cat>
            <c:numRef>
              <c:f>'Остаточне інтенсвність тр'!$H$32:$H$43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інтенсвність тр'!$I$32:$I$43</c:f>
              <c:numCache>
                <c:formatCode>0.0</c:formatCode>
                <c:ptCount val="12"/>
                <c:pt idx="0">
                  <c:v>2.7784679089027602</c:v>
                </c:pt>
                <c:pt idx="1">
                  <c:v>1.8912280701754798</c:v>
                </c:pt>
                <c:pt idx="2">
                  <c:v>1.9913043478261498</c:v>
                </c:pt>
                <c:pt idx="3">
                  <c:v>1.503649635036491</c:v>
                </c:pt>
                <c:pt idx="4">
                  <c:v>1.7270693512305315</c:v>
                </c:pt>
                <c:pt idx="5">
                  <c:v>1.797647058823431</c:v>
                </c:pt>
                <c:pt idx="6">
                  <c:v>1.5436986039396208</c:v>
                </c:pt>
                <c:pt idx="7">
                  <c:v>1.6040868454660318</c:v>
                </c:pt>
                <c:pt idx="8">
                  <c:v>1.6275071633237832</c:v>
                </c:pt>
                <c:pt idx="9">
                  <c:v>1.2977777777778718</c:v>
                </c:pt>
                <c:pt idx="10">
                  <c:v>1.6618610747051055</c:v>
                </c:pt>
                <c:pt idx="11">
                  <c:v>1.6990154711673719</c:v>
                </c:pt>
              </c:numCache>
            </c:numRef>
          </c:val>
          <c:extLst xmlns:c16r2="http://schemas.microsoft.com/office/drawing/2015/06/chart">
            <c:ext xmlns:c16="http://schemas.microsoft.com/office/drawing/2014/chart" uri="{C3380CC4-5D6E-409C-BE32-E72D297353CC}">
              <c16:uniqueId val="{00000000-20E3-4FAB-9EB8-16D92D5998DD}"/>
            </c:ext>
          </c:extLst>
        </c:ser>
        <c:ser>
          <c:idx val="1"/>
          <c:order val="1"/>
          <c:tx>
            <c:strRef>
              <c:f>'Остаточне інтенсвність тр'!$J$31</c:f>
              <c:strCache>
                <c:ptCount val="1"/>
                <c:pt idx="0">
                  <c:v>10 хв.</c:v>
                </c:pt>
              </c:strCache>
            </c:strRef>
          </c:tx>
          <c:spPr>
            <a:solidFill>
              <a:sysClr val="window" lastClr="FFFFFF"/>
            </a:solidFill>
            <a:ln>
              <a:solidFill>
                <a:sysClr val="windowText" lastClr="000000"/>
              </a:solidFill>
            </a:ln>
            <a:effectLst/>
          </c:spPr>
          <c:cat>
            <c:numRef>
              <c:f>'Остаточне інтенсвність тр'!$H$32:$H$43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інтенсвність тр'!$J$32:$J$43</c:f>
              <c:numCache>
                <c:formatCode>0.0</c:formatCode>
                <c:ptCount val="12"/>
                <c:pt idx="0">
                  <c:v>6.7826086956519926</c:v>
                </c:pt>
                <c:pt idx="1">
                  <c:v>5.8947368421053437</c:v>
                </c:pt>
                <c:pt idx="2">
                  <c:v>5.4956521739131414</c:v>
                </c:pt>
                <c:pt idx="3">
                  <c:v>5.6545012165448041</c:v>
                </c:pt>
                <c:pt idx="4">
                  <c:v>5.7002237136465697</c:v>
                </c:pt>
                <c:pt idx="5">
                  <c:v>5.2235294117649129</c:v>
                </c:pt>
                <c:pt idx="6">
                  <c:v>4.0940906483077315</c:v>
                </c:pt>
                <c:pt idx="7">
                  <c:v>4.3729246487864657</c:v>
                </c:pt>
                <c:pt idx="8">
                  <c:v>4.0267430754535134</c:v>
                </c:pt>
                <c:pt idx="9">
                  <c:v>3.5800888888890841</c:v>
                </c:pt>
                <c:pt idx="10">
                  <c:v>4.1520314547839261</c:v>
                </c:pt>
                <c:pt idx="11">
                  <c:v>4.1518987341774327</c:v>
                </c:pt>
              </c:numCache>
            </c:numRef>
          </c:val>
          <c:extLst xmlns:c16r2="http://schemas.microsoft.com/office/drawing/2015/06/chart">
            <c:ext xmlns:c16="http://schemas.microsoft.com/office/drawing/2014/chart" uri="{C3380CC4-5D6E-409C-BE32-E72D297353CC}">
              <c16:uniqueId val="{00000001-20E3-4FAB-9EB8-16D92D5998DD}"/>
            </c:ext>
          </c:extLst>
        </c:ser>
        <c:dLbls/>
        <c:gapWidth val="219"/>
        <c:overlap val="-27"/>
        <c:axId val="88759680"/>
        <c:axId val="88761856"/>
      </c:barChart>
      <c:catAx>
        <c:axId val="88759680"/>
        <c:scaling>
          <c:orientation val="minMax"/>
        </c:scaling>
        <c:axPos val="b"/>
        <c:title>
          <c:tx>
            <c:rich>
              <a:bodyPr rot="0" spcFirstLastPara="1" vertOverflow="ellipsis" vert="horz" wrap="square" anchor="ctr" anchorCtr="1"/>
              <a:lstStyle/>
              <a:p>
                <a:pPr>
                  <a:defRPr sz="7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baseline="0">
                    <a:effectLst/>
                  </a:rPr>
                  <a:t>Варіанти досліду</a:t>
                </a:r>
                <a:endParaRPr lang="en-US" sz="700">
                  <a:effectLst/>
                </a:endParaRPr>
              </a:p>
            </c:rich>
          </c:tx>
          <c:layout>
            <c:manualLayout>
              <c:xMode val="edge"/>
              <c:yMode val="edge"/>
              <c:x val="0.78970958758785303"/>
              <c:y val="0.87619002736529605"/>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761856"/>
        <c:crosses val="autoZero"/>
        <c:auto val="1"/>
        <c:lblAlgn val="ctr"/>
        <c:lblOffset val="100"/>
      </c:catAx>
      <c:valAx>
        <c:axId val="88761856"/>
        <c:scaling>
          <c:orientation val="minMax"/>
          <c:max val="12"/>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г</a:t>
                </a:r>
                <a:r>
                  <a:rPr lang="uk-UA" sz="1000">
                    <a:latin typeface="Times New Roman" panose="02020603050405020304" pitchFamily="18" charset="0"/>
                    <a:cs typeface="Times New Roman" panose="02020603050405020304" pitchFamily="18" charset="0"/>
                  </a:rPr>
                  <a:t>/</a:t>
                </a:r>
                <a:r>
                  <a:rPr lang="uk-UA" sz="1000"/>
                  <a:t>(м</a:t>
                </a:r>
                <a:r>
                  <a:rPr lang="uk-UA" sz="1000" baseline="30000"/>
                  <a:t>2</a:t>
                </a:r>
                <a:r>
                  <a:rPr lang="uk-UA" sz="1000">
                    <a:latin typeface="Times New Roman" panose="02020603050405020304" pitchFamily="18" charset="0"/>
                    <a:cs typeface="Times New Roman" panose="02020603050405020304" pitchFamily="18" charset="0"/>
                  </a:rPr>
                  <a:t>×</a:t>
                </a:r>
                <a:r>
                  <a:rPr lang="uk-UA" sz="1000"/>
                  <a:t>год)</a:t>
                </a:r>
                <a:endParaRPr lang="en-US" sz="1000"/>
              </a:p>
            </c:rich>
          </c:tx>
          <c:layout>
            <c:manualLayout>
              <c:xMode val="edge"/>
              <c:yMode val="edge"/>
              <c:x val="5.5555555555555558E-3"/>
              <c:y val="4.3587780694079774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759680"/>
        <c:crosses val="autoZero"/>
        <c:crossBetween val="between"/>
        <c:majorUnit val="4"/>
      </c:valAx>
      <c:spPr>
        <a:noFill/>
        <a:ln>
          <a:noFill/>
        </a:ln>
        <a:effectLst/>
      </c:spPr>
    </c:plotArea>
    <c:legend>
      <c:legendPos val="b"/>
      <c:layout>
        <c:manualLayout>
          <c:xMode val="edge"/>
          <c:yMode val="edge"/>
          <c:x val="2.8929475852747027E-3"/>
          <c:y val="0.90265708021253444"/>
          <c:w val="0.99628235715623348"/>
          <c:h val="9.7342919787465579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chartSpace>
</file>

<file path=word/charts/chart39.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7.858748842745672E-2"/>
          <c:y val="0.18574987448602862"/>
          <c:w val="0.88327773999814629"/>
          <c:h val="0.54492129161820946"/>
        </c:manualLayout>
      </c:layout>
      <c:barChart>
        <c:barDir val="col"/>
        <c:grouping val="clustered"/>
        <c:ser>
          <c:idx val="0"/>
          <c:order val="0"/>
          <c:tx>
            <c:strRef>
              <c:f>'Остаточне інтенсвність тр'!$I$46</c:f>
              <c:strCache>
                <c:ptCount val="1"/>
                <c:pt idx="0">
                  <c:v>5 хв.</c:v>
                </c:pt>
              </c:strCache>
            </c:strRef>
          </c:tx>
          <c:spPr>
            <a:solidFill>
              <a:schemeClr val="tx1">
                <a:lumMod val="50000"/>
                <a:lumOff val="50000"/>
              </a:schemeClr>
            </a:solidFill>
            <a:ln>
              <a:solidFill>
                <a:sysClr val="windowText" lastClr="000000"/>
              </a:solidFill>
            </a:ln>
            <a:effectLst/>
          </c:spPr>
          <c:cat>
            <c:numRef>
              <c:f>'Остаточне інтенсвність тр'!$H$47:$H$58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інтенсвність тр'!$I$47:$I$58</c:f>
              <c:numCache>
                <c:formatCode>0.0</c:formatCode>
                <c:ptCount val="12"/>
                <c:pt idx="0">
                  <c:v>2.0705451213926147</c:v>
                </c:pt>
                <c:pt idx="1">
                  <c:v>1.9221357063404041</c:v>
                </c:pt>
                <c:pt idx="2">
                  <c:v>1.8220042046250891</c:v>
                </c:pt>
                <c:pt idx="3">
                  <c:v>1.5037593984962252</c:v>
                </c:pt>
                <c:pt idx="4">
                  <c:v>1.8380314049848767</c:v>
                </c:pt>
                <c:pt idx="5">
                  <c:v>1.4699646643109552</c:v>
                </c:pt>
                <c:pt idx="6">
                  <c:v>1.2880396319886447</c:v>
                </c:pt>
                <c:pt idx="7">
                  <c:v>1.3117408906882582</c:v>
                </c:pt>
                <c:pt idx="8">
                  <c:v>1.2269938650306758</c:v>
                </c:pt>
                <c:pt idx="9">
                  <c:v>1.2049861495844778</c:v>
                </c:pt>
                <c:pt idx="10">
                  <c:v>1.3437499999999734</c:v>
                </c:pt>
                <c:pt idx="11">
                  <c:v>1.506976744186046</c:v>
                </c:pt>
              </c:numCache>
            </c:numRef>
          </c:val>
          <c:extLst xmlns:c16r2="http://schemas.microsoft.com/office/drawing/2015/06/chart">
            <c:ext xmlns:c16="http://schemas.microsoft.com/office/drawing/2014/chart" uri="{C3380CC4-5D6E-409C-BE32-E72D297353CC}">
              <c16:uniqueId val="{00000000-474E-4A0C-A206-13FA3C5F3DCC}"/>
            </c:ext>
          </c:extLst>
        </c:ser>
        <c:ser>
          <c:idx val="1"/>
          <c:order val="1"/>
          <c:tx>
            <c:strRef>
              <c:f>'Остаточне інтенсвність тр'!$J$46</c:f>
              <c:strCache>
                <c:ptCount val="1"/>
                <c:pt idx="0">
                  <c:v>10 хв.</c:v>
                </c:pt>
              </c:strCache>
            </c:strRef>
          </c:tx>
          <c:spPr>
            <a:solidFill>
              <a:sysClr val="window" lastClr="FFFFFF"/>
            </a:solidFill>
            <a:ln>
              <a:solidFill>
                <a:sysClr val="windowText" lastClr="000000"/>
              </a:solidFill>
            </a:ln>
            <a:effectLst/>
          </c:spPr>
          <c:cat>
            <c:numRef>
              <c:f>'Остаточне інтенсвність тр'!$H$47:$H$58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інтенсвність тр'!$J$47:$J$58</c:f>
              <c:numCache>
                <c:formatCode>0.0</c:formatCode>
                <c:ptCount val="12"/>
                <c:pt idx="0">
                  <c:v>5.9001374255612404</c:v>
                </c:pt>
                <c:pt idx="1">
                  <c:v>5.7664071190211734</c:v>
                </c:pt>
                <c:pt idx="2">
                  <c:v>4.9334267694463794</c:v>
                </c:pt>
                <c:pt idx="3">
                  <c:v>3.9699248120300408</c:v>
                </c:pt>
                <c:pt idx="4">
                  <c:v>4.2591624281028828</c:v>
                </c:pt>
                <c:pt idx="5">
                  <c:v>3.5053003533568972</c:v>
                </c:pt>
                <c:pt idx="6">
                  <c:v>3.1139419674450948</c:v>
                </c:pt>
                <c:pt idx="7">
                  <c:v>3.3360323886639587</c:v>
                </c:pt>
                <c:pt idx="8">
                  <c:v>2.9447852760736226</c:v>
                </c:pt>
                <c:pt idx="9">
                  <c:v>2.4376731301938781</c:v>
                </c:pt>
                <c:pt idx="10">
                  <c:v>3.2499999999999551</c:v>
                </c:pt>
                <c:pt idx="11">
                  <c:v>4.0930232558139572</c:v>
                </c:pt>
              </c:numCache>
            </c:numRef>
          </c:val>
          <c:extLst xmlns:c16r2="http://schemas.microsoft.com/office/drawing/2015/06/chart">
            <c:ext xmlns:c16="http://schemas.microsoft.com/office/drawing/2014/chart" uri="{C3380CC4-5D6E-409C-BE32-E72D297353CC}">
              <c16:uniqueId val="{00000001-474E-4A0C-A206-13FA3C5F3DCC}"/>
            </c:ext>
          </c:extLst>
        </c:ser>
        <c:dLbls/>
        <c:gapWidth val="219"/>
        <c:overlap val="-27"/>
        <c:axId val="88813952"/>
        <c:axId val="88815872"/>
      </c:barChart>
      <c:catAx>
        <c:axId val="8881395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78779380906951813"/>
              <c:y val="0.87043178440581559"/>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815872"/>
        <c:crosses val="autoZero"/>
        <c:auto val="1"/>
        <c:lblAlgn val="ctr"/>
        <c:lblOffset val="100"/>
      </c:catAx>
      <c:valAx>
        <c:axId val="88815872"/>
        <c:scaling>
          <c:orientation val="minMax"/>
          <c:max val="12"/>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г/(м</a:t>
                </a:r>
                <a:r>
                  <a:rPr lang="uk-UA" sz="1000" baseline="30000"/>
                  <a:t>2</a:t>
                </a:r>
                <a:r>
                  <a:rPr lang="uk-UA" sz="1000">
                    <a:latin typeface="Times New Roman" panose="02020603050405020304" pitchFamily="18" charset="0"/>
                    <a:cs typeface="Times New Roman" panose="02020603050405020304" pitchFamily="18" charset="0"/>
                  </a:rPr>
                  <a:t>×</a:t>
                </a:r>
                <a:r>
                  <a:rPr lang="uk-UA" sz="1000"/>
                  <a:t>год)</a:t>
                </a:r>
                <a:endParaRPr lang="en-US" sz="1000"/>
              </a:p>
            </c:rich>
          </c:tx>
          <c:layout>
            <c:manualLayout>
              <c:xMode val="edge"/>
              <c:yMode val="edge"/>
              <c:x val="5.5555555555555558E-3"/>
              <c:y val="1.3618037328667249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813952"/>
        <c:crosses val="autoZero"/>
        <c:crossBetween val="between"/>
        <c:majorUnit val="4"/>
      </c:valAx>
      <c:spPr>
        <a:noFill/>
        <a:ln>
          <a:noFill/>
        </a:ln>
        <a:effectLst/>
      </c:spPr>
    </c:plotArea>
    <c:legend>
      <c:legendPos val="b"/>
      <c:layout>
        <c:manualLayout>
          <c:xMode val="edge"/>
          <c:yMode val="edge"/>
          <c:x val="1.8020559930008884E-3"/>
          <c:y val="0.87095447814785865"/>
          <c:w val="0.99084033245844361"/>
          <c:h val="0.12904552185214141"/>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chartSpace>
</file>

<file path=word/charts/chart40.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9.3165881737310413E-2"/>
          <c:y val="0.22429235192121488"/>
          <c:w val="0.86931257034447962"/>
          <c:h val="0.4410499741220254"/>
        </c:manualLayout>
      </c:layout>
      <c:barChart>
        <c:barDir val="col"/>
        <c:grouping val="clustered"/>
        <c:ser>
          <c:idx val="0"/>
          <c:order val="0"/>
          <c:tx>
            <c:strRef>
              <c:f>'Інтенсивність транспірації'!$J$2</c:f>
              <c:strCache>
                <c:ptCount val="1"/>
                <c:pt idx="0">
                  <c:v>5 хв. </c:v>
                </c:pt>
              </c:strCache>
            </c:strRef>
          </c:tx>
          <c:spPr>
            <a:solidFill>
              <a:schemeClr val="tx1"/>
            </a:solidFill>
            <a:ln>
              <a:solidFill>
                <a:schemeClr val="tx1"/>
              </a:solidFill>
            </a:ln>
            <a:effectLst/>
          </c:spPr>
          <c:cat>
            <c:numRef>
              <c:f>'Інтенсивність транспірації'!$I$3:$I$7</c:f>
              <c:numCache>
                <c:formatCode>General</c:formatCode>
                <c:ptCount val="5"/>
                <c:pt idx="0">
                  <c:v>1</c:v>
                </c:pt>
                <c:pt idx="1">
                  <c:v>2</c:v>
                </c:pt>
                <c:pt idx="2">
                  <c:v>3</c:v>
                </c:pt>
                <c:pt idx="3">
                  <c:v>4</c:v>
                </c:pt>
                <c:pt idx="4">
                  <c:v>5</c:v>
                </c:pt>
              </c:numCache>
            </c:numRef>
          </c:cat>
          <c:val>
            <c:numRef>
              <c:f>'Інтенсивність транспірації'!$J$3:$J$7</c:f>
              <c:numCache>
                <c:formatCode>0.0</c:formatCode>
                <c:ptCount val="5"/>
                <c:pt idx="0">
                  <c:v>2.7638326585695032</c:v>
                </c:pt>
                <c:pt idx="1">
                  <c:v>2.2233473980309646</c:v>
                </c:pt>
                <c:pt idx="2">
                  <c:v>1.4336917562726703</c:v>
                </c:pt>
                <c:pt idx="3">
                  <c:v>1.5894538606404525</c:v>
                </c:pt>
                <c:pt idx="4">
                  <c:v>1.8351254480292358</c:v>
                </c:pt>
              </c:numCache>
            </c:numRef>
          </c:val>
          <c:extLst xmlns:c16r2="http://schemas.microsoft.com/office/drawing/2015/06/chart">
            <c:ext xmlns:c16="http://schemas.microsoft.com/office/drawing/2014/chart" uri="{C3380CC4-5D6E-409C-BE32-E72D297353CC}">
              <c16:uniqueId val="{00000000-B592-48A5-A547-48868A719846}"/>
            </c:ext>
          </c:extLst>
        </c:ser>
        <c:ser>
          <c:idx val="1"/>
          <c:order val="1"/>
          <c:tx>
            <c:strRef>
              <c:f>'Інтенсивність транспірації'!$K$2</c:f>
              <c:strCache>
                <c:ptCount val="1"/>
                <c:pt idx="0">
                  <c:v>10 хв. </c:v>
                </c:pt>
              </c:strCache>
            </c:strRef>
          </c:tx>
          <c:spPr>
            <a:pattFill prst="dkUpDiag">
              <a:fgClr>
                <a:sysClr val="windowText" lastClr="000000"/>
              </a:fgClr>
              <a:bgClr>
                <a:schemeClr val="bg1"/>
              </a:bgClr>
            </a:pattFill>
            <a:ln>
              <a:solidFill>
                <a:schemeClr val="tx1"/>
              </a:solidFill>
            </a:ln>
            <a:effectLst/>
          </c:spPr>
          <c:cat>
            <c:numRef>
              <c:f>'Інтенсивність транспірації'!$I$3:$I$7</c:f>
              <c:numCache>
                <c:formatCode>General</c:formatCode>
                <c:ptCount val="5"/>
                <c:pt idx="0">
                  <c:v>1</c:v>
                </c:pt>
                <c:pt idx="1">
                  <c:v>2</c:v>
                </c:pt>
                <c:pt idx="2">
                  <c:v>3</c:v>
                </c:pt>
                <c:pt idx="3">
                  <c:v>4</c:v>
                </c:pt>
                <c:pt idx="4">
                  <c:v>5</c:v>
                </c:pt>
              </c:numCache>
            </c:numRef>
          </c:cat>
          <c:val>
            <c:numRef>
              <c:f>'Інтенсивність транспірації'!$K$3:$K$7</c:f>
              <c:numCache>
                <c:formatCode>0.0</c:formatCode>
                <c:ptCount val="5"/>
                <c:pt idx="0">
                  <c:v>10.029689599360877</c:v>
                </c:pt>
                <c:pt idx="1">
                  <c:v>6.3797468354430222</c:v>
                </c:pt>
                <c:pt idx="2">
                  <c:v>5.0465949820782496</c:v>
                </c:pt>
                <c:pt idx="3">
                  <c:v>4.5047080979290444</c:v>
                </c:pt>
                <c:pt idx="4">
                  <c:v>5.2473118279569748</c:v>
                </c:pt>
              </c:numCache>
            </c:numRef>
          </c:val>
          <c:extLst xmlns:c16r2="http://schemas.microsoft.com/office/drawing/2015/06/chart">
            <c:ext xmlns:c16="http://schemas.microsoft.com/office/drawing/2014/chart" uri="{C3380CC4-5D6E-409C-BE32-E72D297353CC}">
              <c16:uniqueId val="{00000001-B592-48A5-A547-48868A719846}"/>
            </c:ext>
          </c:extLst>
        </c:ser>
        <c:dLbls/>
        <c:gapWidth val="219"/>
        <c:overlap val="-27"/>
        <c:axId val="88851200"/>
        <c:axId val="88853120"/>
      </c:barChart>
      <c:catAx>
        <c:axId val="88851200"/>
        <c:scaling>
          <c:orientation val="minMax"/>
        </c:scaling>
        <c:axPos val="b"/>
        <c:title>
          <c:tx>
            <c:rich>
              <a:bodyPr rot="0" spcFirstLastPara="1" vertOverflow="ellipsis" vert="horz" wrap="square" anchor="ctr" anchorCtr="1"/>
              <a:lstStyle/>
              <a:p>
                <a:pPr>
                  <a:defRPr sz="7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baseline="0">
                    <a:effectLst/>
                  </a:rPr>
                  <a:t>Варіанти досліду</a:t>
                </a:r>
                <a:endParaRPr lang="en-US" sz="700">
                  <a:effectLst/>
                </a:endParaRPr>
              </a:p>
            </c:rich>
          </c:tx>
          <c:layout>
            <c:manualLayout>
              <c:xMode val="edge"/>
              <c:yMode val="edge"/>
              <c:x val="0.76736787456885114"/>
              <c:y val="0.82452996789261757"/>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853120"/>
        <c:crossesAt val="0"/>
        <c:auto val="1"/>
        <c:lblAlgn val="ctr"/>
        <c:lblOffset val="100"/>
      </c:catAx>
      <c:valAx>
        <c:axId val="88853120"/>
        <c:scaling>
          <c:orientation val="minMax"/>
          <c:max val="12"/>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г/(м</a:t>
                </a:r>
                <a:r>
                  <a:rPr lang="uk-UA" sz="1000" baseline="30000"/>
                  <a:t>2</a:t>
                </a:r>
                <a:r>
                  <a:rPr lang="uk-UA" sz="1000"/>
                  <a:t>×год)</a:t>
                </a:r>
              </a:p>
            </c:rich>
          </c:tx>
          <c:layout>
            <c:manualLayout>
              <c:xMode val="edge"/>
              <c:yMode val="edge"/>
              <c:x val="0"/>
              <c:y val="1.1574074074074073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851200"/>
        <c:crosses val="autoZero"/>
        <c:crossBetween val="between"/>
        <c:majorUnit val="4"/>
      </c:valAx>
      <c:spPr>
        <a:noFill/>
        <a:ln>
          <a:noFill/>
        </a:ln>
        <a:effectLst/>
      </c:spPr>
    </c:plotArea>
    <c:legend>
      <c:legendPos val="b"/>
      <c:layout>
        <c:manualLayout>
          <c:xMode val="edge"/>
          <c:yMode val="edge"/>
          <c:x val="0"/>
          <c:y val="0.86227148000716969"/>
          <c:w val="0.92157991703632003"/>
          <c:h val="0.13041066482514288"/>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41.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9.9601677148847115E-2"/>
          <c:y val="0.2241023063606411"/>
          <c:w val="0.87104821802935106"/>
          <c:h val="0.4666674112544445"/>
        </c:manualLayout>
      </c:layout>
      <c:barChart>
        <c:barDir val="col"/>
        <c:grouping val="clustered"/>
        <c:ser>
          <c:idx val="0"/>
          <c:order val="0"/>
          <c:tx>
            <c:strRef>
              <c:f>'Інтенсивність транспірації'!$J$8</c:f>
              <c:strCache>
                <c:ptCount val="1"/>
                <c:pt idx="0">
                  <c:v>5 хв. </c:v>
                </c:pt>
              </c:strCache>
            </c:strRef>
          </c:tx>
          <c:spPr>
            <a:solidFill>
              <a:schemeClr val="tx1"/>
            </a:solidFill>
            <a:ln>
              <a:solidFill>
                <a:schemeClr val="tx1"/>
              </a:solidFill>
            </a:ln>
            <a:effectLst/>
          </c:spPr>
          <c:cat>
            <c:numRef>
              <c:f>'Інтенсивність транспірації'!$I$9:$I$13</c:f>
              <c:numCache>
                <c:formatCode>General</c:formatCode>
                <c:ptCount val="5"/>
                <c:pt idx="0">
                  <c:v>1</c:v>
                </c:pt>
                <c:pt idx="1">
                  <c:v>2</c:v>
                </c:pt>
                <c:pt idx="2">
                  <c:v>3</c:v>
                </c:pt>
                <c:pt idx="3">
                  <c:v>4</c:v>
                </c:pt>
                <c:pt idx="4">
                  <c:v>5</c:v>
                </c:pt>
              </c:numCache>
            </c:numRef>
          </c:cat>
          <c:val>
            <c:numRef>
              <c:f>'Інтенсивність транспірації'!$J$9:$J$13</c:f>
              <c:numCache>
                <c:formatCode>0.0</c:formatCode>
                <c:ptCount val="5"/>
                <c:pt idx="0">
                  <c:v>2.6702222222222831</c:v>
                </c:pt>
                <c:pt idx="1">
                  <c:v>2.5846156125356354</c:v>
                </c:pt>
                <c:pt idx="2">
                  <c:v>1.4938917975568655</c:v>
                </c:pt>
                <c:pt idx="3">
                  <c:v>1.5012345679012555</c:v>
                </c:pt>
                <c:pt idx="4">
                  <c:v>1.5244371224601065</c:v>
                </c:pt>
              </c:numCache>
            </c:numRef>
          </c:val>
          <c:extLst xmlns:c16r2="http://schemas.microsoft.com/office/drawing/2015/06/chart">
            <c:ext xmlns:c16="http://schemas.microsoft.com/office/drawing/2014/chart" uri="{C3380CC4-5D6E-409C-BE32-E72D297353CC}">
              <c16:uniqueId val="{00000000-6280-409C-9077-454FF0526ABC}"/>
            </c:ext>
          </c:extLst>
        </c:ser>
        <c:ser>
          <c:idx val="1"/>
          <c:order val="1"/>
          <c:tx>
            <c:strRef>
              <c:f>'Інтенсивність транспірації'!$K$8</c:f>
              <c:strCache>
                <c:ptCount val="1"/>
                <c:pt idx="0">
                  <c:v>10 хв. </c:v>
                </c:pt>
              </c:strCache>
            </c:strRef>
          </c:tx>
          <c:spPr>
            <a:pattFill prst="dkUpDiag">
              <a:fgClr>
                <a:schemeClr val="tx1"/>
              </a:fgClr>
              <a:bgClr>
                <a:schemeClr val="bg1"/>
              </a:bgClr>
            </a:pattFill>
            <a:ln>
              <a:solidFill>
                <a:schemeClr val="tx1"/>
              </a:solidFill>
            </a:ln>
            <a:effectLst/>
          </c:spPr>
          <c:cat>
            <c:numRef>
              <c:f>'Інтенсивність транспірації'!$I$9:$I$13</c:f>
              <c:numCache>
                <c:formatCode>General</c:formatCode>
                <c:ptCount val="5"/>
                <c:pt idx="0">
                  <c:v>1</c:v>
                </c:pt>
                <c:pt idx="1">
                  <c:v>2</c:v>
                </c:pt>
                <c:pt idx="2">
                  <c:v>3</c:v>
                </c:pt>
                <c:pt idx="3">
                  <c:v>4</c:v>
                </c:pt>
                <c:pt idx="4">
                  <c:v>5</c:v>
                </c:pt>
              </c:numCache>
            </c:numRef>
          </c:cat>
          <c:val>
            <c:numRef>
              <c:f>'Інтенсивність транспірації'!$K$9:$K$13</c:f>
              <c:numCache>
                <c:formatCode>0.0</c:formatCode>
                <c:ptCount val="5"/>
                <c:pt idx="0">
                  <c:v>5.9520000000000008</c:v>
                </c:pt>
                <c:pt idx="1">
                  <c:v>5.5080721747378734</c:v>
                </c:pt>
                <c:pt idx="2">
                  <c:v>4.9563699825482921</c:v>
                </c:pt>
                <c:pt idx="3">
                  <c:v>4.4444444444444491</c:v>
                </c:pt>
                <c:pt idx="4">
                  <c:v>5.298187808896202</c:v>
                </c:pt>
              </c:numCache>
            </c:numRef>
          </c:val>
          <c:extLst xmlns:c16r2="http://schemas.microsoft.com/office/drawing/2015/06/chart">
            <c:ext xmlns:c16="http://schemas.microsoft.com/office/drawing/2014/chart" uri="{C3380CC4-5D6E-409C-BE32-E72D297353CC}">
              <c16:uniqueId val="{00000001-6280-409C-9077-454FF0526ABC}"/>
            </c:ext>
          </c:extLst>
        </c:ser>
        <c:dLbls/>
        <c:gapWidth val="219"/>
        <c:overlap val="-27"/>
        <c:axId val="88896640"/>
        <c:axId val="88898560"/>
      </c:barChart>
      <c:catAx>
        <c:axId val="88896640"/>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76764480534483315"/>
              <c:y val="0.82020614174161155"/>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898560"/>
        <c:crosses val="autoZero"/>
        <c:auto val="1"/>
        <c:lblAlgn val="ctr"/>
        <c:lblOffset val="100"/>
      </c:catAx>
      <c:valAx>
        <c:axId val="88898560"/>
        <c:scaling>
          <c:orientation val="minMax"/>
          <c:max val="12"/>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7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baseline="0">
                    <a:effectLst/>
                  </a:rPr>
                  <a:t>г/(м</a:t>
                </a:r>
                <a:r>
                  <a:rPr lang="uk-UA" sz="1000" b="0" i="0" baseline="30000">
                    <a:effectLst/>
                  </a:rPr>
                  <a:t>2</a:t>
                </a:r>
                <a:r>
                  <a:rPr lang="uk-UA" sz="1000" b="0" i="0" baseline="0">
                    <a:effectLst/>
                  </a:rPr>
                  <a:t>×год)</a:t>
                </a:r>
                <a:endParaRPr lang="en-US" sz="700">
                  <a:effectLst/>
                </a:endParaRPr>
              </a:p>
            </c:rich>
          </c:tx>
          <c:layout>
            <c:manualLayout>
              <c:xMode val="edge"/>
              <c:yMode val="edge"/>
              <c:x val="0"/>
              <c:y val="4.3273049082120886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896640"/>
        <c:crosses val="autoZero"/>
        <c:crossBetween val="between"/>
        <c:majorUnit val="4"/>
      </c:valAx>
      <c:spPr>
        <a:noFill/>
        <a:ln>
          <a:noFill/>
        </a:ln>
        <a:effectLst/>
      </c:spPr>
    </c:plotArea>
    <c:legend>
      <c:legendPos val="r"/>
      <c:layout>
        <c:manualLayout>
          <c:xMode val="edge"/>
          <c:yMode val="edge"/>
          <c:x val="0"/>
          <c:y val="0.86248331805970302"/>
          <c:w val="0.95076031860970345"/>
          <c:h val="0.13476763933920033"/>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42.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9.9915878023133661E-2"/>
          <c:y val="0.23235728346456694"/>
          <c:w val="0.86012618296529952"/>
          <c:h val="0.45363106955380578"/>
        </c:manualLayout>
      </c:layout>
      <c:barChart>
        <c:barDir val="col"/>
        <c:grouping val="clustered"/>
        <c:ser>
          <c:idx val="0"/>
          <c:order val="0"/>
          <c:tx>
            <c:strRef>
              <c:f>'Інтенсивність транспірації'!$J$14</c:f>
              <c:strCache>
                <c:ptCount val="1"/>
                <c:pt idx="0">
                  <c:v>5 хв. </c:v>
                </c:pt>
              </c:strCache>
            </c:strRef>
          </c:tx>
          <c:spPr>
            <a:solidFill>
              <a:schemeClr val="tx1"/>
            </a:solidFill>
            <a:ln>
              <a:solidFill>
                <a:schemeClr val="tx1"/>
              </a:solidFill>
            </a:ln>
            <a:effectLst/>
          </c:spPr>
          <c:cat>
            <c:numRef>
              <c:f>'Інтенсивність транспірації'!$I$15:$I$19</c:f>
              <c:numCache>
                <c:formatCode>General</c:formatCode>
                <c:ptCount val="5"/>
                <c:pt idx="0">
                  <c:v>1</c:v>
                </c:pt>
                <c:pt idx="1">
                  <c:v>2</c:v>
                </c:pt>
                <c:pt idx="2">
                  <c:v>3</c:v>
                </c:pt>
                <c:pt idx="3">
                  <c:v>4</c:v>
                </c:pt>
                <c:pt idx="4">
                  <c:v>5</c:v>
                </c:pt>
              </c:numCache>
            </c:numRef>
          </c:cat>
          <c:val>
            <c:numRef>
              <c:f>'Інтенсивність транспірації'!$J$15:$J$19</c:f>
              <c:numCache>
                <c:formatCode>0.0</c:formatCode>
                <c:ptCount val="5"/>
                <c:pt idx="0">
                  <c:v>2.8370628019324045</c:v>
                </c:pt>
                <c:pt idx="1">
                  <c:v>1.9404761904804759</c:v>
                </c:pt>
                <c:pt idx="2">
                  <c:v>1.2645161290322635</c:v>
                </c:pt>
                <c:pt idx="3">
                  <c:v>1.3150684931506809</c:v>
                </c:pt>
                <c:pt idx="4">
                  <c:v>1.3279012345679966</c:v>
                </c:pt>
              </c:numCache>
            </c:numRef>
          </c:val>
          <c:extLst xmlns:c16r2="http://schemas.microsoft.com/office/drawing/2015/06/chart">
            <c:ext xmlns:c16="http://schemas.microsoft.com/office/drawing/2014/chart" uri="{C3380CC4-5D6E-409C-BE32-E72D297353CC}">
              <c16:uniqueId val="{00000000-78A6-4346-A9FB-187E69AE56D0}"/>
            </c:ext>
          </c:extLst>
        </c:ser>
        <c:ser>
          <c:idx val="1"/>
          <c:order val="1"/>
          <c:tx>
            <c:strRef>
              <c:f>'Інтенсивність транспірації'!$K$14</c:f>
              <c:strCache>
                <c:ptCount val="1"/>
                <c:pt idx="0">
                  <c:v>10 хв. </c:v>
                </c:pt>
              </c:strCache>
            </c:strRef>
          </c:tx>
          <c:spPr>
            <a:pattFill prst="dkUpDiag">
              <a:fgClr>
                <a:schemeClr val="tx1"/>
              </a:fgClr>
              <a:bgClr>
                <a:schemeClr val="bg1"/>
              </a:bgClr>
            </a:pattFill>
            <a:ln>
              <a:solidFill>
                <a:schemeClr val="tx1"/>
              </a:solidFill>
            </a:ln>
            <a:effectLst/>
          </c:spPr>
          <c:cat>
            <c:numRef>
              <c:f>'Інтенсивність транспірації'!$I$15:$I$19</c:f>
              <c:numCache>
                <c:formatCode>General</c:formatCode>
                <c:ptCount val="5"/>
                <c:pt idx="0">
                  <c:v>1</c:v>
                </c:pt>
                <c:pt idx="1">
                  <c:v>2</c:v>
                </c:pt>
                <c:pt idx="2">
                  <c:v>3</c:v>
                </c:pt>
                <c:pt idx="3">
                  <c:v>4</c:v>
                </c:pt>
                <c:pt idx="4">
                  <c:v>5</c:v>
                </c:pt>
              </c:numCache>
            </c:numRef>
          </c:cat>
          <c:val>
            <c:numRef>
              <c:f>'Інтенсивність транспірації'!$K$15:$K$19</c:f>
              <c:numCache>
                <c:formatCode>0.0</c:formatCode>
                <c:ptCount val="5"/>
                <c:pt idx="0">
                  <c:v>6.8220289878260845</c:v>
                </c:pt>
                <c:pt idx="1">
                  <c:v>5.9404761904880807</c:v>
                </c:pt>
                <c:pt idx="2">
                  <c:v>5.5397849462369173</c:v>
                </c:pt>
                <c:pt idx="3">
                  <c:v>5.5038051750378107</c:v>
                </c:pt>
                <c:pt idx="4">
                  <c:v>5.7876543209872455</c:v>
                </c:pt>
              </c:numCache>
            </c:numRef>
          </c:val>
          <c:extLst xmlns:c16r2="http://schemas.microsoft.com/office/drawing/2015/06/chart">
            <c:ext xmlns:c16="http://schemas.microsoft.com/office/drawing/2014/chart" uri="{C3380CC4-5D6E-409C-BE32-E72D297353CC}">
              <c16:uniqueId val="{00000001-78A6-4346-A9FB-187E69AE56D0}"/>
            </c:ext>
          </c:extLst>
        </c:ser>
        <c:dLbls/>
        <c:gapWidth val="219"/>
        <c:overlap val="-27"/>
        <c:axId val="89011712"/>
        <c:axId val="89013632"/>
      </c:barChart>
      <c:catAx>
        <c:axId val="89011712"/>
        <c:scaling>
          <c:orientation val="minMax"/>
        </c:scaling>
        <c:axPos val="b"/>
        <c:title>
          <c:tx>
            <c:rich>
              <a:bodyPr rot="0" spcFirstLastPara="1" vertOverflow="ellipsis" vert="horz" wrap="square" anchor="ctr" anchorCtr="1"/>
              <a:lstStyle/>
              <a:p>
                <a:pPr>
                  <a:defRPr sz="7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baseline="0">
                    <a:effectLst/>
                  </a:rPr>
                  <a:t>Варіанти досліду</a:t>
                </a:r>
                <a:endParaRPr lang="en-US" sz="700">
                  <a:effectLst/>
                </a:endParaRPr>
              </a:p>
            </c:rich>
          </c:tx>
          <c:layout>
            <c:manualLayout>
              <c:xMode val="edge"/>
              <c:yMode val="edge"/>
              <c:x val="0.76919658969690641"/>
              <c:y val="0.8230941935813586"/>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9013632"/>
        <c:crosses val="autoZero"/>
        <c:auto val="1"/>
        <c:lblAlgn val="ctr"/>
        <c:lblOffset val="100"/>
      </c:catAx>
      <c:valAx>
        <c:axId val="89013632"/>
        <c:scaling>
          <c:orientation val="minMax"/>
          <c:max val="12"/>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г/(м</a:t>
                </a:r>
                <a:r>
                  <a:rPr lang="uk-UA" sz="1000" baseline="30000"/>
                  <a:t>2</a:t>
                </a:r>
                <a:r>
                  <a:rPr lang="uk-UA" sz="1000"/>
                  <a:t>×год)</a:t>
                </a:r>
              </a:p>
            </c:rich>
          </c:tx>
          <c:layout>
            <c:manualLayout>
              <c:xMode val="edge"/>
              <c:yMode val="edge"/>
              <c:x val="0"/>
              <c:y val="1.9922410097144168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9011712"/>
        <c:crosses val="autoZero"/>
        <c:crossBetween val="between"/>
        <c:majorUnit val="4"/>
      </c:valAx>
      <c:spPr>
        <a:noFill/>
        <a:ln>
          <a:noFill/>
        </a:ln>
        <a:effectLst/>
      </c:spPr>
    </c:plotArea>
    <c:legend>
      <c:legendPos val="b"/>
      <c:layout>
        <c:manualLayout>
          <c:xMode val="edge"/>
          <c:yMode val="edge"/>
          <c:x val="1.6671116116901761E-3"/>
          <c:y val="0.84922313554272488"/>
          <c:w val="0.93425821772278461"/>
          <c:h val="0.14832001555361135"/>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43.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9.7505241090146744E-2"/>
          <c:y val="0.21634537062177581"/>
          <c:w val="0.87943396226415094"/>
          <c:h val="0.47523431984795023"/>
        </c:manualLayout>
      </c:layout>
      <c:barChart>
        <c:barDir val="col"/>
        <c:grouping val="clustered"/>
        <c:ser>
          <c:idx val="0"/>
          <c:order val="0"/>
          <c:tx>
            <c:strRef>
              <c:f>'Інтенсивність транспірації'!$J$20</c:f>
              <c:strCache>
                <c:ptCount val="1"/>
                <c:pt idx="0">
                  <c:v>5 хв. </c:v>
                </c:pt>
              </c:strCache>
            </c:strRef>
          </c:tx>
          <c:spPr>
            <a:solidFill>
              <a:schemeClr val="tx1"/>
            </a:solidFill>
            <a:ln>
              <a:solidFill>
                <a:sysClr val="windowText" lastClr="000000"/>
              </a:solidFill>
            </a:ln>
            <a:effectLst/>
          </c:spPr>
          <c:cat>
            <c:numRef>
              <c:f>'Інтенсивність транспірації'!$I$21:$I$25</c:f>
              <c:numCache>
                <c:formatCode>General</c:formatCode>
                <c:ptCount val="5"/>
                <c:pt idx="0">
                  <c:v>1</c:v>
                </c:pt>
                <c:pt idx="1">
                  <c:v>2</c:v>
                </c:pt>
                <c:pt idx="2">
                  <c:v>3</c:v>
                </c:pt>
                <c:pt idx="3">
                  <c:v>4</c:v>
                </c:pt>
                <c:pt idx="4">
                  <c:v>5</c:v>
                </c:pt>
              </c:numCache>
            </c:numRef>
          </c:cat>
          <c:val>
            <c:numRef>
              <c:f>'Інтенсивність транспірації'!$J$21:$J$25</c:f>
              <c:numCache>
                <c:formatCode>0.0</c:formatCode>
                <c:ptCount val="5"/>
                <c:pt idx="0">
                  <c:v>2.1114666666666784</c:v>
                </c:pt>
                <c:pt idx="1">
                  <c:v>1.8602381309523803</c:v>
                </c:pt>
                <c:pt idx="2">
                  <c:v>1.7502153316105351</c:v>
                </c:pt>
                <c:pt idx="3">
                  <c:v>1.7819025522041636</c:v>
                </c:pt>
                <c:pt idx="4">
                  <c:v>1.798230088495576</c:v>
                </c:pt>
              </c:numCache>
            </c:numRef>
          </c:val>
          <c:extLst xmlns:c16r2="http://schemas.microsoft.com/office/drawing/2015/06/chart">
            <c:ext xmlns:c16="http://schemas.microsoft.com/office/drawing/2014/chart" uri="{C3380CC4-5D6E-409C-BE32-E72D297353CC}">
              <c16:uniqueId val="{00000000-5DA1-4646-99BC-06DE153F601B}"/>
            </c:ext>
          </c:extLst>
        </c:ser>
        <c:ser>
          <c:idx val="1"/>
          <c:order val="1"/>
          <c:tx>
            <c:strRef>
              <c:f>'Інтенсивність транспірації'!$K$20</c:f>
              <c:strCache>
                <c:ptCount val="1"/>
                <c:pt idx="0">
                  <c:v>10 хв. </c:v>
                </c:pt>
              </c:strCache>
            </c:strRef>
          </c:tx>
          <c:spPr>
            <a:pattFill prst="dkUpDiag">
              <a:fgClr>
                <a:schemeClr val="tx1"/>
              </a:fgClr>
              <a:bgClr>
                <a:schemeClr val="bg1"/>
              </a:bgClr>
            </a:pattFill>
            <a:ln>
              <a:solidFill>
                <a:sysClr val="windowText" lastClr="000000"/>
              </a:solidFill>
            </a:ln>
            <a:effectLst/>
          </c:spPr>
          <c:cat>
            <c:numRef>
              <c:f>'Інтенсивність транспірації'!$I$21:$I$25</c:f>
              <c:numCache>
                <c:formatCode>General</c:formatCode>
                <c:ptCount val="5"/>
                <c:pt idx="0">
                  <c:v>1</c:v>
                </c:pt>
                <c:pt idx="1">
                  <c:v>2</c:v>
                </c:pt>
                <c:pt idx="2">
                  <c:v>3</c:v>
                </c:pt>
                <c:pt idx="3">
                  <c:v>4</c:v>
                </c:pt>
                <c:pt idx="4">
                  <c:v>5</c:v>
                </c:pt>
              </c:numCache>
            </c:numRef>
          </c:cat>
          <c:val>
            <c:numRef>
              <c:f>'Інтенсивність транспірації'!$K$21:$K$25</c:f>
              <c:numCache>
                <c:formatCode>0.0</c:formatCode>
                <c:ptCount val="5"/>
                <c:pt idx="0">
                  <c:v>5.9306690133333495</c:v>
                </c:pt>
                <c:pt idx="1">
                  <c:v>5.7764833357380994</c:v>
                </c:pt>
                <c:pt idx="2">
                  <c:v>4.6304909560723466</c:v>
                </c:pt>
                <c:pt idx="3">
                  <c:v>5.0487238979118132</c:v>
                </c:pt>
                <c:pt idx="4">
                  <c:v>5.5929203539822945</c:v>
                </c:pt>
              </c:numCache>
            </c:numRef>
          </c:val>
          <c:extLst xmlns:c16r2="http://schemas.microsoft.com/office/drawing/2015/06/chart">
            <c:ext xmlns:c16="http://schemas.microsoft.com/office/drawing/2014/chart" uri="{C3380CC4-5D6E-409C-BE32-E72D297353CC}">
              <c16:uniqueId val="{00000001-5DA1-4646-99BC-06DE153F601B}"/>
            </c:ext>
          </c:extLst>
        </c:ser>
        <c:dLbls/>
        <c:gapWidth val="219"/>
        <c:overlap val="-27"/>
        <c:axId val="89057152"/>
        <c:axId val="88936448"/>
      </c:barChart>
      <c:catAx>
        <c:axId val="8905715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76812036613167078"/>
              <c:y val="0.81424930369587722"/>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8936448"/>
        <c:crosses val="autoZero"/>
        <c:auto val="1"/>
        <c:lblAlgn val="ctr"/>
        <c:lblOffset val="100"/>
      </c:catAx>
      <c:valAx>
        <c:axId val="88936448"/>
        <c:scaling>
          <c:orientation val="minMax"/>
          <c:max val="12"/>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baseline="0">
                    <a:effectLst/>
                  </a:rPr>
                  <a:t>г/(м</a:t>
                </a:r>
                <a:r>
                  <a:rPr lang="uk-UA" sz="1000" b="0" i="0" baseline="30000">
                    <a:effectLst/>
                  </a:rPr>
                  <a:t>2</a:t>
                </a:r>
                <a:r>
                  <a:rPr lang="uk-UA" sz="1000" b="0" i="0" baseline="0">
                    <a:effectLst/>
                  </a:rPr>
                  <a:t>×год)</a:t>
                </a:r>
                <a:endParaRPr lang="en-US" sz="1000">
                  <a:effectLst/>
                </a:endParaRPr>
              </a:p>
            </c:rich>
          </c:tx>
          <c:layout>
            <c:manualLayout>
              <c:xMode val="edge"/>
              <c:yMode val="edge"/>
              <c:x val="0"/>
              <c:y val="3.2649327924918663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89057152"/>
        <c:crosses val="autoZero"/>
        <c:crossBetween val="between"/>
        <c:majorUnit val="4"/>
      </c:valAx>
      <c:spPr>
        <a:noFill/>
        <a:ln>
          <a:noFill/>
        </a:ln>
        <a:effectLst/>
      </c:spPr>
    </c:plotArea>
    <c:legend>
      <c:legendPos val="r"/>
      <c:layout>
        <c:manualLayout>
          <c:xMode val="edge"/>
          <c:yMode val="edge"/>
          <c:x val="0"/>
          <c:y val="0.85129170254649233"/>
          <c:w val="0.91521081076100119"/>
          <c:h val="0.14289114624030774"/>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44.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plotArea>
      <c:layout>
        <c:manualLayout>
          <c:layoutTarget val="inner"/>
          <c:xMode val="edge"/>
          <c:yMode val="edge"/>
          <c:x val="0.11022683390133076"/>
          <c:y val="6.2574096561411816E-2"/>
          <c:w val="0.86676783304419003"/>
          <c:h val="0.59955869970847953"/>
        </c:manualLayout>
      </c:layout>
      <c:barChart>
        <c:barDir val="col"/>
        <c:grouping val="clustered"/>
        <c:ser>
          <c:idx val="0"/>
          <c:order val="0"/>
          <c:tx>
            <c:strRef>
              <c:f>'\Навчання\Кандидатська\Все доки по дис\Чорновик\[20.09.2025 Фізіо-Біохім. Середовища.xlsx]Остаточне корені вод і сух'!$F$1</c:f>
              <c:strCache>
                <c:ptCount val="1"/>
                <c:pt idx="0">
                  <c:v>Вода</c:v>
                </c:pt>
              </c:strCache>
            </c:strRef>
          </c:tx>
          <c:spPr>
            <a:pattFill prst="pct60">
              <a:fgClr>
                <a:schemeClr val="tx1"/>
              </a:fgClr>
              <a:bgClr>
                <a:schemeClr val="bg1"/>
              </a:bgClr>
            </a:pattFill>
            <a:ln>
              <a:solidFill>
                <a:sysClr val="windowText" lastClr="000000"/>
              </a:solidFill>
            </a:ln>
          </c:spPr>
          <c:cat>
            <c:numRef>
              <c:f>'\Навчання\Кандидатська\Все доки по дис\Чорновик\[20.09.2025 Фізіо-Біохім. Середовища.xlsx]Остаточне корені вод і сух'!$E$2:$E$13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'\Навчання\Кандидатська\Все доки по дис\Чорновик\[20.09.2025 Фізіо-Біохім. Середовища.xlsx]Остаточне корені вод і сух'!$F$2:$F$13</c:f>
              <c:numCache>
                <c:formatCode>General</c:formatCode>
                <c:ptCount val="12"/>
                <c:pt idx="0">
                  <c:v>95.178571428571274</c:v>
                </c:pt>
                <c:pt idx="1">
                  <c:v>94.479092117370342</c:v>
                </c:pt>
                <c:pt idx="2">
                  <c:v>97.41409033444431</c:v>
                </c:pt>
                <c:pt idx="3">
                  <c:v>96.445447492770981</c:v>
                </c:pt>
                <c:pt idx="4">
                  <c:v>96.631106120157213</c:v>
                </c:pt>
                <c:pt idx="5">
                  <c:v>96.365943700969083</c:v>
                </c:pt>
                <c:pt idx="6">
                  <c:v>93.18715147233226</c:v>
                </c:pt>
                <c:pt idx="7">
                  <c:v>91.489026360376727</c:v>
                </c:pt>
                <c:pt idx="8">
                  <c:v>91.825560046451415</c:v>
                </c:pt>
                <c:pt idx="9">
                  <c:v>91.178200352871784</c:v>
                </c:pt>
                <c:pt idx="10">
                  <c:v>91.634837416674998</c:v>
                </c:pt>
                <c:pt idx="11">
                  <c:v>91.135042847292766</c:v>
                </c:pt>
              </c:numCache>
            </c:numRef>
          </c:val>
          <c:extLst xmlns:c16r2="http://schemas.microsoft.com/office/drawing/2015/06/chart">
            <c:ext xmlns:c16="http://schemas.microsoft.com/office/drawing/2014/chart" uri="{C3380CC4-5D6E-409C-BE32-E72D297353CC}">
              <c16:uniqueId val="{00000000-85C5-472A-AAE1-F4AB437E01D5}"/>
            </c:ext>
          </c:extLst>
        </c:ser>
        <c:ser>
          <c:idx val="1"/>
          <c:order val="1"/>
          <c:tx>
            <c:strRef>
              <c:f>'\Навчання\Кандидатська\Все доки по дис\Чорновик\[20.09.2025 Фізіо-Біохім. Середовища.xlsx]Остаточне корені вод і сух'!$G$1</c:f>
              <c:strCache>
                <c:ptCount val="1"/>
                <c:pt idx="0">
                  <c:v>Сухі речовини</c:v>
                </c:pt>
              </c:strCache>
            </c:strRef>
          </c:tx>
          <c:spPr>
            <a:solidFill>
              <a:schemeClr val="bg2">
                <a:lumMod val="75000"/>
              </a:schemeClr>
            </a:solidFill>
            <a:ln>
              <a:solidFill>
                <a:sysClr val="windowText" lastClr="000000"/>
              </a:solidFill>
            </a:ln>
          </c:spPr>
          <c:cat>
            <c:numRef>
              <c:f>'\Навчання\Кандидатська\Все доки по дис\Чорновик\[20.09.2025 Фізіо-Біохім. Середовища.xlsx]Остаточне корені вод і сух'!$E$2:$E$13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'\Навчання\Кандидатська\Все доки по дис\Чорновик\[20.09.2025 Фізіо-Біохім. Середовища.xlsx]Остаточне корені вод і сух'!$G$2:$G$13</c:f>
              <c:numCache>
                <c:formatCode>General</c:formatCode>
                <c:ptCount val="12"/>
                <c:pt idx="0">
                  <c:v>4.8214285714285685</c:v>
                </c:pt>
                <c:pt idx="1">
                  <c:v>5.5209078826295706</c:v>
                </c:pt>
                <c:pt idx="2">
                  <c:v>2.5859096655556897</c:v>
                </c:pt>
                <c:pt idx="3">
                  <c:v>3.5545525072290047</c:v>
                </c:pt>
                <c:pt idx="4">
                  <c:v>3.368893879842787</c:v>
                </c:pt>
                <c:pt idx="5">
                  <c:v>3.6340562990309166</c:v>
                </c:pt>
                <c:pt idx="6">
                  <c:v>6.8128485276677342</c:v>
                </c:pt>
                <c:pt idx="7">
                  <c:v>8.510973639623316</c:v>
                </c:pt>
                <c:pt idx="8">
                  <c:v>8.1744399535484291</c:v>
                </c:pt>
                <c:pt idx="9">
                  <c:v>8.8217996471280422</c:v>
                </c:pt>
                <c:pt idx="10">
                  <c:v>8.365162583324901</c:v>
                </c:pt>
                <c:pt idx="11">
                  <c:v>8.8649571527070776</c:v>
                </c:pt>
              </c:numCache>
            </c:numRef>
          </c:val>
          <c:extLst xmlns:c16r2="http://schemas.microsoft.com/office/drawing/2015/06/chart">
            <c:ext xmlns:c16="http://schemas.microsoft.com/office/drawing/2014/chart" uri="{C3380CC4-5D6E-409C-BE32-E72D297353CC}">
              <c16:uniqueId val="{00000001-85C5-472A-AAE1-F4AB437E01D5}"/>
            </c:ext>
          </c:extLst>
        </c:ser>
        <c:dLbls/>
        <c:axId val="88984192"/>
        <c:axId val="73655040"/>
      </c:barChart>
      <c:catAx>
        <c:axId val="88984192"/>
        <c:scaling>
          <c:orientation val="minMax"/>
        </c:scaling>
        <c:axPos val="b"/>
        <c:title>
          <c:tx>
            <c:rich>
              <a:bodyPr/>
              <a:lstStyle/>
              <a:p>
                <a:pPr>
                  <a:defRPr sz="1000"/>
                </a:pPr>
                <a:r>
                  <a:rPr lang="uk-UA" sz="1000"/>
                  <a:t>Варіанти досліду</a:t>
                </a:r>
              </a:p>
            </c:rich>
          </c:tx>
          <c:layout>
            <c:manualLayout>
              <c:xMode val="edge"/>
              <c:yMode val="edge"/>
              <c:x val="0.81389277138030569"/>
              <c:y val="0.78478680030015069"/>
            </c:manualLayout>
          </c:layout>
        </c:title>
        <c:numFmt formatCode="General" sourceLinked="0"/>
        <c:majorTickMark val="in"/>
        <c:tickLblPos val="nextTo"/>
        <c:spPr>
          <a:ln>
            <a:solidFill>
              <a:schemeClr val="tx1"/>
            </a:solidFill>
          </a:ln>
        </c:spPr>
        <c:crossAx val="73655040"/>
        <c:crosses val="autoZero"/>
        <c:auto val="1"/>
        <c:lblAlgn val="ctr"/>
        <c:lblOffset val="100"/>
      </c:catAx>
      <c:valAx>
        <c:axId val="73655040"/>
        <c:scaling>
          <c:orientation val="minMax"/>
          <c:max val="100"/>
        </c:scaling>
        <c:axPos val="l"/>
        <c:majorGridlines/>
        <c:title>
          <c:tx>
            <c:rich>
              <a:bodyPr rot="0" vert="horz"/>
              <a:lstStyle/>
              <a:p>
                <a:pPr>
                  <a:defRPr sz="1000"/>
                </a:pPr>
                <a:r>
                  <a:rPr lang="en-US" sz="1000"/>
                  <a:t>%</a:t>
                </a:r>
              </a:p>
            </c:rich>
          </c:tx>
          <c:layout>
            <c:manualLayout>
              <c:xMode val="edge"/>
              <c:yMode val="edge"/>
              <c:x val="1.3068378155480721E-3"/>
              <c:y val="1.4240434478562177E-3"/>
            </c:manualLayout>
          </c:layout>
        </c:title>
        <c:numFmt formatCode="General" sourceLinked="0"/>
        <c:majorTickMark val="in"/>
        <c:tickLblPos val="nextTo"/>
        <c:spPr>
          <a:ln>
            <a:solidFill>
              <a:schemeClr val="tx1"/>
            </a:solidFill>
          </a:ln>
        </c:spPr>
        <c:crossAx val="88984192"/>
        <c:crosses val="autoZero"/>
        <c:crossBetween val="between"/>
        <c:majorUnit val="20"/>
      </c:valAx>
    </c:plotArea>
    <c:legend>
      <c:legendPos val="b"/>
      <c:layout>
        <c:manualLayout>
          <c:xMode val="edge"/>
          <c:yMode val="edge"/>
          <c:x val="7.7696912491616917E-4"/>
          <c:y val="0.87951076685402696"/>
          <c:w val="0.99289384568253891"/>
          <c:h val="0.11957879053408357"/>
        </c:manualLayout>
      </c:layout>
    </c:legend>
    <c:plotVisOnly val="1"/>
    <c:dispBlanksAs val="gap"/>
  </c:chart>
  <c:spPr>
    <a:ln>
      <a:solidFill>
        <a:schemeClr val="tx1"/>
      </a:solidFill>
    </a:ln>
  </c:spPr>
  <c:txPr>
    <a:bodyPr/>
    <a:lstStyle/>
    <a:p>
      <a:pPr>
        <a:defRPr sz="1200" b="0">
          <a:latin typeface="Times New Roman" panose="02020603050405020304" pitchFamily="18" charset="0"/>
          <a:cs typeface="Times New Roman" panose="02020603050405020304" pitchFamily="18" charset="0"/>
        </a:defRPr>
      </a:pPr>
      <a:endParaRPr lang="ru-RU"/>
    </a:p>
  </c:txPr>
  <c:externalData r:id="rId2"/>
</c:chartSpace>
</file>

<file path=word/charts/chart45.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plotArea>
      <c:layout>
        <c:manualLayout>
          <c:layoutTarget val="inner"/>
          <c:xMode val="edge"/>
          <c:yMode val="edge"/>
          <c:x val="0.10931798327049544"/>
          <c:y val="5.3912219305920134E-2"/>
          <c:w val="0.86014453672742963"/>
          <c:h val="0.65725904053660056"/>
        </c:manualLayout>
      </c:layout>
      <c:barChart>
        <c:barDir val="col"/>
        <c:grouping val="clustered"/>
        <c:ser>
          <c:idx val="0"/>
          <c:order val="0"/>
          <c:tx>
            <c:strRef>
              <c:f>'\Навчання\Кандидатська\Все доки по дис\Чорновик\[20.09.2025 Фізіо-Біохім. Середовища.xlsx]Остаточне корені вод і сух'!$F$15</c:f>
              <c:strCache>
                <c:ptCount val="1"/>
                <c:pt idx="0">
                  <c:v>Вода</c:v>
                </c:pt>
              </c:strCache>
            </c:strRef>
          </c:tx>
          <c:spPr>
            <a:pattFill prst="pct60">
              <a:fgClr>
                <a:schemeClr val="tx1"/>
              </a:fgClr>
              <a:bgClr>
                <a:schemeClr val="bg1"/>
              </a:bgClr>
            </a:pattFill>
            <a:ln>
              <a:solidFill>
                <a:sysClr val="windowText" lastClr="000000"/>
              </a:solidFill>
            </a:ln>
          </c:spPr>
          <c:cat>
            <c:numRef>
              <c:f>'\Навчання\Кандидатська\Все доки по дис\Чорновик\[20.09.2025 Фізіо-Біохім. Середовища.xlsx]Остаточне корені вод і сух'!$E$16:$E$27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'\Навчання\Кандидатська\Все доки по дис\Чорновик\[20.09.2025 Фізіо-Біохім. Середовища.xlsx]Остаточне корені вод і сух'!$F$16:$F$27</c:f>
              <c:numCache>
                <c:formatCode>General</c:formatCode>
                <c:ptCount val="12"/>
                <c:pt idx="0">
                  <c:v>95.959133882281179</c:v>
                </c:pt>
                <c:pt idx="1">
                  <c:v>95.79254930606281</c:v>
                </c:pt>
                <c:pt idx="2">
                  <c:v>96.40632486823192</c:v>
                </c:pt>
                <c:pt idx="3">
                  <c:v>96.099869995666523</c:v>
                </c:pt>
                <c:pt idx="4">
                  <c:v>97.941504417188497</c:v>
                </c:pt>
                <c:pt idx="5">
                  <c:v>97.143861001235393</c:v>
                </c:pt>
                <c:pt idx="6">
                  <c:v>94.143484626647165</c:v>
                </c:pt>
                <c:pt idx="7">
                  <c:v>93.794458681437504</c:v>
                </c:pt>
                <c:pt idx="8">
                  <c:v>95.515308322552627</c:v>
                </c:pt>
                <c:pt idx="9">
                  <c:v>95.059880239520808</c:v>
                </c:pt>
                <c:pt idx="10">
                  <c:v>94.351918899348291</c:v>
                </c:pt>
                <c:pt idx="11">
                  <c:v>94.224413617549217</c:v>
                </c:pt>
              </c:numCache>
            </c:numRef>
          </c:val>
          <c:extLst xmlns:c16r2="http://schemas.microsoft.com/office/drawing/2015/06/chart">
            <c:ext xmlns:c16="http://schemas.microsoft.com/office/drawing/2014/chart" uri="{C3380CC4-5D6E-409C-BE32-E72D297353CC}">
              <c16:uniqueId val="{00000000-91C8-46A8-8DDF-8C31145673E5}"/>
            </c:ext>
          </c:extLst>
        </c:ser>
        <c:ser>
          <c:idx val="1"/>
          <c:order val="1"/>
          <c:tx>
            <c:strRef>
              <c:f>'\Навчання\Кандидатська\Все доки по дис\Чорновик\[20.09.2025 Фізіо-Біохім. Середовища.xlsx]Остаточне корені вод і сух'!$G$15</c:f>
              <c:strCache>
                <c:ptCount val="1"/>
                <c:pt idx="0">
                  <c:v>Сухі речовини</c:v>
                </c:pt>
              </c:strCache>
            </c:strRef>
          </c:tx>
          <c:spPr>
            <a:solidFill>
              <a:schemeClr val="bg2">
                <a:lumMod val="75000"/>
              </a:schemeClr>
            </a:solidFill>
            <a:ln>
              <a:solidFill>
                <a:sysClr val="windowText" lastClr="000000"/>
              </a:solidFill>
            </a:ln>
          </c:spPr>
          <c:cat>
            <c:numRef>
              <c:f>'\Навчання\Кандидатська\Все доки по дис\Чорновик\[20.09.2025 Фізіо-Біохім. Середовища.xlsx]Остаточне корені вод і сух'!$E$16:$E$27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'\Навчання\Кандидатська\Все доки по дис\Чорновик\[20.09.2025 Фізіо-Біохім. Середовища.xlsx]Остаточне корені вод і сух'!$G$16:$G$27</c:f>
              <c:numCache>
                <c:formatCode>General</c:formatCode>
                <c:ptCount val="12"/>
                <c:pt idx="0">
                  <c:v>4.0408661177188234</c:v>
                </c:pt>
                <c:pt idx="1">
                  <c:v>4.2074506939371794</c:v>
                </c:pt>
                <c:pt idx="2">
                  <c:v>3.5936751317680771</c:v>
                </c:pt>
                <c:pt idx="3">
                  <c:v>3.9001300043334792</c:v>
                </c:pt>
                <c:pt idx="4">
                  <c:v>2.0584955828115596</c:v>
                </c:pt>
                <c:pt idx="5">
                  <c:v>2.856138998764604</c:v>
                </c:pt>
                <c:pt idx="6">
                  <c:v>5.8565153733528446</c:v>
                </c:pt>
                <c:pt idx="7">
                  <c:v>6.2055413185625952</c:v>
                </c:pt>
                <c:pt idx="8">
                  <c:v>4.4846916774471737</c:v>
                </c:pt>
                <c:pt idx="9">
                  <c:v>4.9401197604790497</c:v>
                </c:pt>
                <c:pt idx="10">
                  <c:v>5.6480811006517087</c:v>
                </c:pt>
                <c:pt idx="11">
                  <c:v>5.7755863824507827</c:v>
                </c:pt>
              </c:numCache>
            </c:numRef>
          </c:val>
          <c:extLst xmlns:c16r2="http://schemas.microsoft.com/office/drawing/2015/06/chart">
            <c:ext xmlns:c16="http://schemas.microsoft.com/office/drawing/2014/chart" uri="{C3380CC4-5D6E-409C-BE32-E72D297353CC}">
              <c16:uniqueId val="{00000001-91C8-46A8-8DDF-8C31145673E5}"/>
            </c:ext>
          </c:extLst>
        </c:ser>
        <c:dLbls/>
        <c:axId val="88997248"/>
        <c:axId val="89224704"/>
      </c:barChart>
      <c:catAx>
        <c:axId val="88997248"/>
        <c:scaling>
          <c:orientation val="minMax"/>
        </c:scaling>
        <c:axPos val="b"/>
        <c:title>
          <c:tx>
            <c:rich>
              <a:bodyPr/>
              <a:lstStyle/>
              <a:p>
                <a:pPr>
                  <a:defRPr sz="1000"/>
                </a:pPr>
                <a:r>
                  <a:rPr lang="uk-UA" sz="1000"/>
                  <a:t>Варіанти досліду</a:t>
                </a:r>
              </a:p>
            </c:rich>
          </c:tx>
          <c:layout>
            <c:manualLayout>
              <c:xMode val="edge"/>
              <c:yMode val="edge"/>
              <c:x val="0.81334170433925734"/>
              <c:y val="0.82962925057261638"/>
            </c:manualLayout>
          </c:layout>
        </c:title>
        <c:numFmt formatCode="General" sourceLinked="0"/>
        <c:majorTickMark val="in"/>
        <c:tickLblPos val="nextTo"/>
        <c:spPr>
          <a:ln>
            <a:solidFill>
              <a:schemeClr val="tx1"/>
            </a:solidFill>
          </a:ln>
        </c:spPr>
        <c:crossAx val="89224704"/>
        <c:crosses val="autoZero"/>
        <c:auto val="1"/>
        <c:lblAlgn val="ctr"/>
        <c:lblOffset val="100"/>
      </c:catAx>
      <c:valAx>
        <c:axId val="89224704"/>
        <c:scaling>
          <c:orientation val="minMax"/>
          <c:max val="100"/>
        </c:scaling>
        <c:axPos val="l"/>
        <c:majorGridlines/>
        <c:title>
          <c:tx>
            <c:rich>
              <a:bodyPr rot="0" vert="horz"/>
              <a:lstStyle/>
              <a:p>
                <a:pPr>
                  <a:defRPr sz="1000"/>
                </a:pPr>
                <a:r>
                  <a:rPr lang="en-US" sz="1000"/>
                  <a:t>%</a:t>
                </a:r>
              </a:p>
            </c:rich>
          </c:tx>
          <c:layout>
            <c:manualLayout>
              <c:xMode val="edge"/>
              <c:yMode val="edge"/>
              <c:x val="1.3305194793268088E-3"/>
              <c:y val="3.1873826866094562E-3"/>
            </c:manualLayout>
          </c:layout>
        </c:title>
        <c:numFmt formatCode="General" sourceLinked="0"/>
        <c:majorTickMark val="in"/>
        <c:tickLblPos val="nextTo"/>
        <c:spPr>
          <a:ln>
            <a:solidFill>
              <a:schemeClr val="tx1"/>
            </a:solidFill>
          </a:ln>
        </c:spPr>
        <c:crossAx val="88997248"/>
        <c:crosses val="autoZero"/>
        <c:crossBetween val="between"/>
        <c:majorUnit val="20"/>
      </c:valAx>
    </c:plotArea>
    <c:legend>
      <c:legendPos val="b"/>
      <c:layout>
        <c:manualLayout>
          <c:xMode val="edge"/>
          <c:yMode val="edge"/>
          <c:x val="0"/>
          <c:y val="0.88132488873673331"/>
          <c:w val="1"/>
          <c:h val="0.11867511126326613"/>
        </c:manualLayout>
      </c:layout>
    </c:legend>
    <c:plotVisOnly val="1"/>
    <c:dispBlanksAs val="gap"/>
  </c:chart>
  <c:spPr>
    <a:ln>
      <a:solidFill>
        <a:schemeClr val="tx1"/>
      </a:solidFill>
    </a:ln>
  </c:spPr>
  <c:txPr>
    <a:bodyPr/>
    <a:lstStyle/>
    <a:p>
      <a:pPr>
        <a:defRPr sz="1200" b="0">
          <a:latin typeface="Times New Roman" panose="02020603050405020304" pitchFamily="18" charset="0"/>
          <a:cs typeface="Times New Roman" panose="02020603050405020304" pitchFamily="18" charset="0"/>
        </a:defRPr>
      </a:pPr>
      <a:endParaRPr lang="ru-RU"/>
    </a:p>
  </c:txPr>
  <c:externalData r:id="rId2"/>
</c:chartSpace>
</file>

<file path=word/charts/chart46.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plotArea>
      <c:layout>
        <c:manualLayout>
          <c:layoutTarget val="inner"/>
          <c:xMode val="edge"/>
          <c:yMode val="edge"/>
          <c:x val="0.11134682771983345"/>
          <c:y val="5.3912219305920134E-2"/>
          <c:w val="0.85811584284948761"/>
          <c:h val="0.64337015164771072"/>
        </c:manualLayout>
      </c:layout>
      <c:barChart>
        <c:barDir val="col"/>
        <c:grouping val="clustered"/>
        <c:ser>
          <c:idx val="0"/>
          <c:order val="0"/>
          <c:tx>
            <c:strRef>
              <c:f>'\Навчання\Кандидатська\Все доки по дис\Чорновик\[20.09.2025 Фізіо-Біохім. Середовища.xlsx]Остаточне корені вод і сух'!$F$29</c:f>
              <c:strCache>
                <c:ptCount val="1"/>
                <c:pt idx="0">
                  <c:v>Вода</c:v>
                </c:pt>
              </c:strCache>
            </c:strRef>
          </c:tx>
          <c:spPr>
            <a:pattFill prst="wdDnDiag">
              <a:fgClr>
                <a:schemeClr val="tx1"/>
              </a:fgClr>
              <a:bgClr>
                <a:schemeClr val="bg1"/>
              </a:bgClr>
            </a:pattFill>
            <a:ln>
              <a:solidFill>
                <a:sysClr val="windowText" lastClr="000000"/>
              </a:solidFill>
            </a:ln>
          </c:spPr>
          <c:cat>
            <c:numRef>
              <c:f>'\Навчання\Кандидатська\Все доки по дис\Чорновик\[20.09.2025 Фізіо-Біохім. Середовища.xlsx]Остаточне корені вод і сух'!$E$30:$E$41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'\Навчання\Кандидатська\Все доки по дис\Чорновик\[20.09.2025 Фізіо-Біохім. Середовища.xlsx]Остаточне корені вод і сух'!$F$30:$F$41</c:f>
              <c:numCache>
                <c:formatCode>General</c:formatCode>
                <c:ptCount val="12"/>
                <c:pt idx="0">
                  <c:v>95.00853242320818</c:v>
                </c:pt>
                <c:pt idx="1">
                  <c:v>95.44911280684012</c:v>
                </c:pt>
                <c:pt idx="2">
                  <c:v>93.995761714151158</c:v>
                </c:pt>
                <c:pt idx="3">
                  <c:v>93.496169966758316</c:v>
                </c:pt>
                <c:pt idx="4">
                  <c:v>95.073465859982619</c:v>
                </c:pt>
                <c:pt idx="5">
                  <c:v>95.814277962948623</c:v>
                </c:pt>
                <c:pt idx="6">
                  <c:v>90.622595537317252</c:v>
                </c:pt>
                <c:pt idx="7">
                  <c:v>91.670522906062018</c:v>
                </c:pt>
                <c:pt idx="8">
                  <c:v>91.365387997889158</c:v>
                </c:pt>
                <c:pt idx="9">
                  <c:v>90.953258502261619</c:v>
                </c:pt>
                <c:pt idx="10">
                  <c:v>91.448118586088952</c:v>
                </c:pt>
                <c:pt idx="11">
                  <c:v>91.119544592030351</c:v>
                </c:pt>
              </c:numCache>
            </c:numRef>
          </c:val>
          <c:extLst xmlns:c16r2="http://schemas.microsoft.com/office/drawing/2015/06/chart">
            <c:ext xmlns:c16="http://schemas.microsoft.com/office/drawing/2014/chart" uri="{C3380CC4-5D6E-409C-BE32-E72D297353CC}">
              <c16:uniqueId val="{00000000-D416-491E-BF26-D6A8E901E0F5}"/>
            </c:ext>
          </c:extLst>
        </c:ser>
        <c:ser>
          <c:idx val="1"/>
          <c:order val="1"/>
          <c:tx>
            <c:strRef>
              <c:f>'\Навчання\Кандидатська\Все доки по дис\Чорновик\[20.09.2025 Фізіо-Біохім. Середовища.xlsx]Остаточне корені вод і сух'!$G$29</c:f>
              <c:strCache>
                <c:ptCount val="1"/>
                <c:pt idx="0">
                  <c:v>Сухі речовини</c:v>
                </c:pt>
              </c:strCache>
            </c:strRef>
          </c:tx>
          <c:spPr>
            <a:pattFill prst="dkDnDiag">
              <a:fgClr>
                <a:schemeClr val="tx1"/>
              </a:fgClr>
              <a:bgClr>
                <a:schemeClr val="bg1"/>
              </a:bgClr>
            </a:pattFill>
            <a:ln>
              <a:solidFill>
                <a:schemeClr val="tx1"/>
              </a:solidFill>
            </a:ln>
          </c:spPr>
          <c:cat>
            <c:numRef>
              <c:f>'\Навчання\Кандидатська\Все доки по дис\Чорновик\[20.09.2025 Фізіо-Біохім. Середовища.xlsx]Остаточне корені вод і сух'!$E$30:$E$41</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'\Навчання\Кандидатська\Все доки по дис\Чорновик\[20.09.2025 Фізіо-Біохім. Середовища.xlsx]Остаточне корені вод і сух'!$G$30:$G$41</c:f>
              <c:numCache>
                <c:formatCode>General</c:formatCode>
                <c:ptCount val="12"/>
                <c:pt idx="0">
                  <c:v>4.9914675767918064</c:v>
                </c:pt>
                <c:pt idx="1">
                  <c:v>4.5508871931598804</c:v>
                </c:pt>
                <c:pt idx="2">
                  <c:v>6.0042382858488423</c:v>
                </c:pt>
                <c:pt idx="3">
                  <c:v>6.5038300332418117</c:v>
                </c:pt>
                <c:pt idx="4">
                  <c:v>4.9265341400172886</c:v>
                </c:pt>
                <c:pt idx="5">
                  <c:v>4.1857220370513915</c:v>
                </c:pt>
                <c:pt idx="6">
                  <c:v>9.3774044626827546</c:v>
                </c:pt>
                <c:pt idx="7">
                  <c:v>8.3294770939379923</c:v>
                </c:pt>
                <c:pt idx="8">
                  <c:v>8.6346120021106731</c:v>
                </c:pt>
                <c:pt idx="9">
                  <c:v>9.0467414977383207</c:v>
                </c:pt>
                <c:pt idx="10">
                  <c:v>8.5518814139110475</c:v>
                </c:pt>
                <c:pt idx="11">
                  <c:v>8.8804554079696523</c:v>
                </c:pt>
              </c:numCache>
            </c:numRef>
          </c:val>
          <c:extLst xmlns:c16r2="http://schemas.microsoft.com/office/drawing/2015/06/chart">
            <c:ext xmlns:c16="http://schemas.microsoft.com/office/drawing/2014/chart" uri="{C3380CC4-5D6E-409C-BE32-E72D297353CC}">
              <c16:uniqueId val="{00000001-D416-491E-BF26-D6A8E901E0F5}"/>
            </c:ext>
          </c:extLst>
        </c:ser>
        <c:dLbls/>
        <c:axId val="90456448"/>
        <c:axId val="90458368"/>
      </c:barChart>
      <c:catAx>
        <c:axId val="90456448"/>
        <c:scaling>
          <c:orientation val="minMax"/>
        </c:scaling>
        <c:axPos val="b"/>
        <c:title>
          <c:tx>
            <c:rich>
              <a:bodyPr/>
              <a:lstStyle/>
              <a:p>
                <a:pPr>
                  <a:defRPr sz="1000"/>
                </a:pPr>
                <a:r>
                  <a:rPr lang="uk-UA" sz="1000"/>
                  <a:t>Варіанти досліду</a:t>
                </a:r>
              </a:p>
            </c:rich>
          </c:tx>
          <c:layout>
            <c:manualLayout>
              <c:xMode val="edge"/>
              <c:yMode val="edge"/>
              <c:x val="0.81424711426303864"/>
              <c:y val="0.81991979014581962"/>
            </c:manualLayout>
          </c:layout>
        </c:title>
        <c:numFmt formatCode="General" sourceLinked="0"/>
        <c:majorTickMark val="in"/>
        <c:tickLblPos val="nextTo"/>
        <c:spPr>
          <a:ln>
            <a:solidFill>
              <a:schemeClr val="tx1"/>
            </a:solidFill>
          </a:ln>
        </c:spPr>
        <c:crossAx val="90458368"/>
        <c:crosses val="autoZero"/>
        <c:auto val="1"/>
        <c:lblAlgn val="ctr"/>
        <c:lblOffset val="100"/>
      </c:catAx>
      <c:valAx>
        <c:axId val="90458368"/>
        <c:scaling>
          <c:orientation val="minMax"/>
          <c:max val="100"/>
        </c:scaling>
        <c:axPos val="l"/>
        <c:majorGridlines/>
        <c:title>
          <c:tx>
            <c:rich>
              <a:bodyPr rot="0" vert="horz"/>
              <a:lstStyle/>
              <a:p>
                <a:pPr>
                  <a:defRPr sz="1000"/>
                </a:pPr>
                <a:r>
                  <a:rPr lang="en-US" sz="1000"/>
                  <a:t>%</a:t>
                </a:r>
              </a:p>
            </c:rich>
          </c:tx>
          <c:layout>
            <c:manualLayout>
              <c:xMode val="edge"/>
              <c:yMode val="edge"/>
              <c:x val="1.3434409173824179E-3"/>
              <c:y val="2.5000966532211346E-3"/>
            </c:manualLayout>
          </c:layout>
        </c:title>
        <c:numFmt formatCode="General" sourceLinked="0"/>
        <c:majorTickMark val="in"/>
        <c:tickLblPos val="nextTo"/>
        <c:spPr>
          <a:ln>
            <a:solidFill>
              <a:schemeClr val="tx1"/>
            </a:solidFill>
          </a:ln>
        </c:spPr>
        <c:crossAx val="90456448"/>
        <c:crosses val="autoZero"/>
        <c:crossBetween val="between"/>
        <c:majorUnit val="20"/>
      </c:valAx>
    </c:plotArea>
    <c:legend>
      <c:legendPos val="b"/>
      <c:layout>
        <c:manualLayout>
          <c:xMode val="edge"/>
          <c:yMode val="edge"/>
          <c:x val="3.5529682012497253E-3"/>
          <c:y val="0.89292756163253739"/>
          <c:w val="0.99644703179875027"/>
          <c:h val="0.10505689652950501"/>
        </c:manualLayout>
      </c:layout>
    </c:legend>
    <c:plotVisOnly val="1"/>
    <c:dispBlanksAs val="gap"/>
  </c:chart>
  <c:spPr>
    <a:ln>
      <a:solidFill>
        <a:schemeClr val="tx1"/>
      </a:solidFill>
    </a:ln>
  </c:spPr>
  <c:txPr>
    <a:bodyPr/>
    <a:lstStyle/>
    <a:p>
      <a:pPr>
        <a:defRPr sz="1200" b="0">
          <a:latin typeface="Times New Roman" panose="02020603050405020304" pitchFamily="18" charset="0"/>
          <a:cs typeface="Times New Roman" panose="02020603050405020304" pitchFamily="18" charset="0"/>
        </a:defRPr>
      </a:pPr>
      <a:endParaRPr lang="ru-RU"/>
    </a:p>
  </c:txPr>
  <c:externalData r:id="rId2"/>
</c:chartSpace>
</file>

<file path=word/charts/chart47.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plotArea>
      <c:layout>
        <c:manualLayout>
          <c:layoutTarget val="inner"/>
          <c:xMode val="edge"/>
          <c:yMode val="edge"/>
          <c:x val="0.10506410520674453"/>
          <c:y val="5.3912219305920134E-2"/>
          <c:w val="0.86439856536257575"/>
          <c:h val="0.64337015164771072"/>
        </c:manualLayout>
      </c:layout>
      <c:barChart>
        <c:barDir val="col"/>
        <c:grouping val="clustered"/>
        <c:ser>
          <c:idx val="0"/>
          <c:order val="0"/>
          <c:tx>
            <c:strRef>
              <c:f>'\Навчання\Кандидатська\Все доки по дис\Чорновик\[20.09.2025 Фізіо-Біохім. Середовища.xlsx]Остаточне корені вод і сух'!$F$43</c:f>
              <c:strCache>
                <c:ptCount val="1"/>
                <c:pt idx="0">
                  <c:v>Вода</c:v>
                </c:pt>
              </c:strCache>
            </c:strRef>
          </c:tx>
          <c:spPr>
            <a:pattFill prst="wdDnDiag">
              <a:fgClr>
                <a:schemeClr val="tx1"/>
              </a:fgClr>
              <a:bgClr>
                <a:schemeClr val="bg1"/>
              </a:bgClr>
            </a:pattFill>
            <a:ln>
              <a:solidFill>
                <a:sysClr val="windowText" lastClr="000000"/>
              </a:solidFill>
            </a:ln>
          </c:spPr>
          <c:cat>
            <c:numRef>
              <c:f>'\Навчання\Кандидатська\Все доки по дис\Чорновик\[20.09.2025 Фізіо-Біохім. Середовища.xlsx]Остаточне корені вод і сух'!$E$44:$E$55</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'\Навчання\Кандидатська\Все доки по дис\Чорновик\[20.09.2025 Фізіо-Біохім. Середовища.xlsx]Остаточне корені вод і сух'!$F$44:$F$55</c:f>
              <c:numCache>
                <c:formatCode>General</c:formatCode>
                <c:ptCount val="12"/>
                <c:pt idx="0">
                  <c:v>93.61702127659575</c:v>
                </c:pt>
                <c:pt idx="1">
                  <c:v>93.95567494963062</c:v>
                </c:pt>
                <c:pt idx="2">
                  <c:v>94.817374136228864</c:v>
                </c:pt>
                <c:pt idx="3">
                  <c:v>93.849658314350748</c:v>
                </c:pt>
                <c:pt idx="4">
                  <c:v>95.823908125978718</c:v>
                </c:pt>
                <c:pt idx="5">
                  <c:v>92.398648648648646</c:v>
                </c:pt>
                <c:pt idx="6">
                  <c:v>91.171749598715849</c:v>
                </c:pt>
                <c:pt idx="7">
                  <c:v>90.047393364928922</c:v>
                </c:pt>
                <c:pt idx="8">
                  <c:v>91.339491916858975</c:v>
                </c:pt>
                <c:pt idx="9">
                  <c:v>90.581625908790556</c:v>
                </c:pt>
                <c:pt idx="10">
                  <c:v>91.033755274261608</c:v>
                </c:pt>
                <c:pt idx="11">
                  <c:v>91.804522689330838</c:v>
                </c:pt>
              </c:numCache>
            </c:numRef>
          </c:val>
          <c:extLst xmlns:c16r2="http://schemas.microsoft.com/office/drawing/2015/06/chart">
            <c:ext xmlns:c16="http://schemas.microsoft.com/office/drawing/2014/chart" uri="{C3380CC4-5D6E-409C-BE32-E72D297353CC}">
              <c16:uniqueId val="{00000000-2389-4D71-9BE0-9FA8FBF16AC7}"/>
            </c:ext>
          </c:extLst>
        </c:ser>
        <c:ser>
          <c:idx val="1"/>
          <c:order val="1"/>
          <c:tx>
            <c:strRef>
              <c:f>'\Навчання\Кандидатська\Все доки по дис\Чорновик\[20.09.2025 Фізіо-Біохім. Середовища.xlsx]Остаточне корені вод і сух'!$G$43</c:f>
              <c:strCache>
                <c:ptCount val="1"/>
                <c:pt idx="0">
                  <c:v>Сухі речовини</c:v>
                </c:pt>
              </c:strCache>
            </c:strRef>
          </c:tx>
          <c:spPr>
            <a:pattFill prst="dkDnDiag">
              <a:fgClr>
                <a:schemeClr val="tx1"/>
              </a:fgClr>
              <a:bgClr>
                <a:schemeClr val="bg1"/>
              </a:bgClr>
            </a:pattFill>
            <a:ln>
              <a:solidFill>
                <a:sysClr val="windowText" lastClr="000000"/>
              </a:solidFill>
            </a:ln>
          </c:spPr>
          <c:cat>
            <c:numRef>
              <c:f>'\Навчання\Кандидатська\Все доки по дис\Чорновик\[20.09.2025 Фізіо-Біохім. Середовища.xlsx]Остаточне корені вод і сух'!$E$44:$E$55</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'\Навчання\Кандидатська\Все доки по дис\Чорновик\[20.09.2025 Фізіо-Біохім. Середовища.xlsx]Остаточне корені вод і сух'!$G$44:$G$55</c:f>
              <c:numCache>
                <c:formatCode>General</c:formatCode>
                <c:ptCount val="12"/>
                <c:pt idx="0">
                  <c:v>6.3829787234042499</c:v>
                </c:pt>
                <c:pt idx="1">
                  <c:v>6.0443250503693795</c:v>
                </c:pt>
                <c:pt idx="2">
                  <c:v>5.1826258637709746</c:v>
                </c:pt>
                <c:pt idx="3">
                  <c:v>6.1503416856492006</c:v>
                </c:pt>
                <c:pt idx="4">
                  <c:v>4.1760918740212274</c:v>
                </c:pt>
                <c:pt idx="5">
                  <c:v>7.6013513513513544</c:v>
                </c:pt>
                <c:pt idx="6">
                  <c:v>8.8282504012840999</c:v>
                </c:pt>
                <c:pt idx="7">
                  <c:v>9.952606635071108</c:v>
                </c:pt>
                <c:pt idx="8">
                  <c:v>8.6605080831408809</c:v>
                </c:pt>
                <c:pt idx="9">
                  <c:v>9.4183740912095182</c:v>
                </c:pt>
                <c:pt idx="10">
                  <c:v>8.9662447257384006</c:v>
                </c:pt>
                <c:pt idx="11">
                  <c:v>8.1954773106693164</c:v>
                </c:pt>
              </c:numCache>
            </c:numRef>
          </c:val>
          <c:extLst xmlns:c16r2="http://schemas.microsoft.com/office/drawing/2015/06/chart">
            <c:ext xmlns:c16="http://schemas.microsoft.com/office/drawing/2014/chart" uri="{C3380CC4-5D6E-409C-BE32-E72D297353CC}">
              <c16:uniqueId val="{00000001-2389-4D71-9BE0-9FA8FBF16AC7}"/>
            </c:ext>
          </c:extLst>
        </c:ser>
        <c:dLbls/>
        <c:axId val="90518656"/>
        <c:axId val="90520576"/>
      </c:barChart>
      <c:catAx>
        <c:axId val="90518656"/>
        <c:scaling>
          <c:orientation val="minMax"/>
        </c:scaling>
        <c:axPos val="b"/>
        <c:title>
          <c:tx>
            <c:rich>
              <a:bodyPr/>
              <a:lstStyle/>
              <a:p>
                <a:pPr>
                  <a:defRPr sz="1000"/>
                </a:pPr>
                <a:r>
                  <a:rPr lang="uk-UA" sz="1000"/>
                  <a:t>Варіанти досліду</a:t>
                </a:r>
              </a:p>
            </c:rich>
          </c:tx>
          <c:layout>
            <c:manualLayout>
              <c:xMode val="edge"/>
              <c:yMode val="edge"/>
              <c:x val="0.81297089206366169"/>
              <c:y val="0.81435220439013412"/>
            </c:manualLayout>
          </c:layout>
        </c:title>
        <c:numFmt formatCode="General" sourceLinked="0"/>
        <c:majorTickMark val="in"/>
        <c:tickLblPos val="nextTo"/>
        <c:spPr>
          <a:ln>
            <a:solidFill>
              <a:schemeClr val="tx1"/>
            </a:solidFill>
          </a:ln>
        </c:spPr>
        <c:crossAx val="90520576"/>
        <c:crosses val="autoZero"/>
        <c:auto val="1"/>
        <c:lblAlgn val="ctr"/>
        <c:lblOffset val="100"/>
      </c:catAx>
      <c:valAx>
        <c:axId val="90520576"/>
        <c:scaling>
          <c:orientation val="minMax"/>
          <c:max val="100"/>
        </c:scaling>
        <c:axPos val="l"/>
        <c:majorGridlines/>
        <c:title>
          <c:tx>
            <c:rich>
              <a:bodyPr rot="0" vert="horz"/>
              <a:lstStyle/>
              <a:p>
                <a:pPr>
                  <a:defRPr sz="1000"/>
                </a:pPr>
                <a:r>
                  <a:rPr lang="en-US" sz="1000"/>
                  <a:t>%</a:t>
                </a:r>
              </a:p>
            </c:rich>
          </c:tx>
          <c:layout>
            <c:manualLayout>
              <c:xMode val="edge"/>
              <c:yMode val="edge"/>
              <c:x val="4.4109197383602003E-4"/>
              <c:y val="3.6822226489981458E-3"/>
            </c:manualLayout>
          </c:layout>
        </c:title>
        <c:numFmt formatCode="General" sourceLinked="0"/>
        <c:majorTickMark val="in"/>
        <c:tickLblPos val="nextTo"/>
        <c:spPr>
          <a:ln>
            <a:solidFill>
              <a:schemeClr val="tx1"/>
            </a:solidFill>
          </a:ln>
        </c:spPr>
        <c:crossAx val="90518656"/>
        <c:crosses val="autoZero"/>
        <c:crossBetween val="between"/>
        <c:majorUnit val="20"/>
      </c:valAx>
    </c:plotArea>
    <c:legend>
      <c:legendPos val="b"/>
      <c:layout>
        <c:manualLayout>
          <c:xMode val="edge"/>
          <c:yMode val="edge"/>
          <c:x val="3.5529682012497253E-3"/>
          <c:y val="0.87642087695863224"/>
          <c:w val="0.99566983037072965"/>
          <c:h val="0.12357912304136863"/>
        </c:manualLayout>
      </c:layout>
    </c:legend>
    <c:plotVisOnly val="1"/>
    <c:dispBlanksAs val="gap"/>
  </c:chart>
  <c:spPr>
    <a:ln>
      <a:solidFill>
        <a:schemeClr val="tx1"/>
      </a:solidFill>
    </a:ln>
  </c:spPr>
  <c:txPr>
    <a:bodyPr/>
    <a:lstStyle/>
    <a:p>
      <a:pPr>
        <a:defRPr sz="1200" b="0">
          <a:latin typeface="Times New Roman" panose="02020603050405020304" pitchFamily="18" charset="0"/>
          <a:cs typeface="Times New Roman" panose="02020603050405020304" pitchFamily="18" charset="0"/>
        </a:defRPr>
      </a:pPr>
      <a:endParaRPr lang="ru-RU"/>
    </a:p>
  </c:txPr>
  <c:externalData r:id="rId2"/>
</c:chartSpace>
</file>

<file path=word/charts/chart48.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9273798504655522E-2"/>
          <c:y val="5.9039442986293413E-2"/>
          <c:w val="0.87788098951399218"/>
          <c:h val="0.66886956838728484"/>
        </c:manualLayout>
      </c:layout>
      <c:lineChart>
        <c:grouping val="standard"/>
        <c:ser>
          <c:idx val="0"/>
          <c:order val="0"/>
          <c:tx>
            <c:strRef>
              <c:f>'Остаточне корені вод і сух'!$J$1</c:f>
              <c:strCache>
                <c:ptCount val="1"/>
                <c:pt idx="0">
                  <c:v>Добриня</c:v>
                </c:pt>
              </c:strCache>
            </c:strRef>
          </c:tx>
          <c:spPr>
            <a:ln w="28575" cap="rnd">
              <a:solidFill>
                <a:schemeClr val="tx1"/>
              </a:solidFill>
              <a:round/>
            </a:ln>
            <a:effectLst/>
          </c:spPr>
          <c:marker>
            <c:symbol val="circle"/>
            <c:size val="5"/>
            <c:spPr>
              <a:solidFill>
                <a:schemeClr val="tx1"/>
              </a:solidFill>
              <a:ln w="9525">
                <a:solidFill>
                  <a:schemeClr val="tx1"/>
                </a:solidFill>
              </a:ln>
              <a:effectLst/>
            </c:spPr>
          </c:marker>
          <c:cat>
            <c:numRef>
              <c:f>'Остаточне корені вод і сух'!$I$2:$I$13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корені вод і сух'!$J$2:$J$13</c:f>
              <c:numCache>
                <c:formatCode>0.0</c:formatCode>
                <c:ptCount val="12"/>
                <c:pt idx="0">
                  <c:v>45.446428571428442</c:v>
                </c:pt>
                <c:pt idx="1">
                  <c:v>43.998568653512095</c:v>
                </c:pt>
                <c:pt idx="2">
                  <c:v>47.348826900027923</c:v>
                </c:pt>
                <c:pt idx="3">
                  <c:v>44.996121024049629</c:v>
                </c:pt>
                <c:pt idx="4">
                  <c:v>45.575849654853542</c:v>
                </c:pt>
                <c:pt idx="5">
                  <c:v>43.501961236732704</c:v>
                </c:pt>
                <c:pt idx="6">
                  <c:v>41.152128384345936</c:v>
                </c:pt>
                <c:pt idx="7">
                  <c:v>37.330076047125829</c:v>
                </c:pt>
                <c:pt idx="8">
                  <c:v>37.647837341620644</c:v>
                </c:pt>
                <c:pt idx="9">
                  <c:v>34.627197281578411</c:v>
                </c:pt>
                <c:pt idx="10">
                  <c:v>36.259203857269554</c:v>
                </c:pt>
                <c:pt idx="11">
                  <c:v>32.304560527957875</c:v>
                </c:pt>
              </c:numCache>
            </c:numRef>
          </c:val>
          <c:extLst xmlns:c16r2="http://schemas.microsoft.com/office/drawing/2015/06/chart">
            <c:ext xmlns:c16="http://schemas.microsoft.com/office/drawing/2014/chart" uri="{C3380CC4-5D6E-409C-BE32-E72D297353CC}">
              <c16:uniqueId val="{00000000-8C4C-4CE6-A926-01AA6A1DDDB4}"/>
            </c:ext>
          </c:extLst>
        </c:ser>
        <c:ser>
          <c:idx val="1"/>
          <c:order val="1"/>
          <c:tx>
            <c:strRef>
              <c:f>'Остаточне корені вод і сух'!$K$1</c:f>
              <c:strCache>
                <c:ptCount val="1"/>
                <c:pt idx="0">
                  <c:v>Гарант</c:v>
                </c:pt>
              </c:strCache>
            </c:strRef>
          </c:tx>
          <c:spPr>
            <a:ln w="28575" cap="rnd">
              <a:solidFill>
                <a:sysClr val="windowText" lastClr="000000"/>
              </a:solidFill>
              <a:prstDash val="dash"/>
              <a:round/>
            </a:ln>
            <a:effectLst/>
          </c:spPr>
          <c:marker>
            <c:symbol val="triangle"/>
            <c:size val="7"/>
            <c:spPr>
              <a:solidFill>
                <a:schemeClr val="tx1"/>
              </a:solidFill>
              <a:ln w="9525">
                <a:solidFill>
                  <a:schemeClr val="tx1"/>
                </a:solidFill>
              </a:ln>
              <a:effectLst/>
            </c:spPr>
          </c:marker>
          <c:cat>
            <c:numRef>
              <c:f>'Остаточне корені вод і сух'!$I$2:$I$13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корені вод і сух'!$K$2:$K$13</c:f>
              <c:numCache>
                <c:formatCode>0.0</c:formatCode>
                <c:ptCount val="12"/>
                <c:pt idx="0">
                  <c:v>46.470242734347579</c:v>
                </c:pt>
                <c:pt idx="1">
                  <c:v>45.829072315558896</c:v>
                </c:pt>
                <c:pt idx="2">
                  <c:v>47.516371186711375</c:v>
                </c:pt>
                <c:pt idx="3">
                  <c:v>45.524850828360861</c:v>
                </c:pt>
                <c:pt idx="4">
                  <c:v>45.787231609343287</c:v>
                </c:pt>
                <c:pt idx="5">
                  <c:v>43.592388162890664</c:v>
                </c:pt>
                <c:pt idx="6">
                  <c:v>41.922889214251114</c:v>
                </c:pt>
                <c:pt idx="7">
                  <c:v>37.719923235155967</c:v>
                </c:pt>
                <c:pt idx="8">
                  <c:v>39.616693019021604</c:v>
                </c:pt>
                <c:pt idx="9">
                  <c:v>35.281936127744274</c:v>
                </c:pt>
                <c:pt idx="10">
                  <c:v>38.094858797972861</c:v>
                </c:pt>
                <c:pt idx="11">
                  <c:v>33.759371958458999</c:v>
                </c:pt>
              </c:numCache>
            </c:numRef>
          </c:val>
          <c:extLst xmlns:c16r2="http://schemas.microsoft.com/office/drawing/2015/06/chart">
            <c:ext xmlns:c16="http://schemas.microsoft.com/office/drawing/2014/chart" uri="{C3380CC4-5D6E-409C-BE32-E72D297353CC}">
              <c16:uniqueId val="{00000001-8C4C-4CE6-A926-01AA6A1DDDB4}"/>
            </c:ext>
          </c:extLst>
        </c:ser>
        <c:ser>
          <c:idx val="2"/>
          <c:order val="2"/>
          <c:tx>
            <c:strRef>
              <c:f>'Остаточне корені вод і сух'!$L$1</c:f>
              <c:strCache>
                <c:ptCount val="1"/>
                <c:pt idx="0">
                  <c:v>Ярило</c:v>
                </c:pt>
              </c:strCache>
            </c:strRef>
          </c:tx>
          <c:spPr>
            <a:ln w="28575" cap="rnd">
              <a:solidFill>
                <a:srgbClr val="E8E8E8">
                  <a:lumMod val="75000"/>
                </a:srgbClr>
              </a:solidFill>
              <a:prstDash val="lgDash"/>
              <a:round/>
            </a:ln>
            <a:effectLst/>
          </c:spPr>
          <c:marker>
            <c:symbol val="x"/>
            <c:size val="5"/>
            <c:spPr>
              <a:solidFill>
                <a:srgbClr val="E8E8E8">
                  <a:lumMod val="50000"/>
                </a:srgbClr>
              </a:solidFill>
              <a:ln w="9525" cap="sq">
                <a:solidFill>
                  <a:srgbClr val="E8E8E8">
                    <a:lumMod val="75000"/>
                  </a:srgbClr>
                </a:solidFill>
              </a:ln>
              <a:effectLst/>
            </c:spPr>
          </c:marker>
          <c:cat>
            <c:numRef>
              <c:f>'Остаточне корені вод і сух'!$I$2:$I$13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корені вод і сух'!$L$2:$L$13</c:f>
              <c:numCache>
                <c:formatCode>0.0</c:formatCode>
                <c:ptCount val="12"/>
                <c:pt idx="0">
                  <c:v>45.000000000000071</c:v>
                </c:pt>
                <c:pt idx="1">
                  <c:v>44.11326652569646</c:v>
                </c:pt>
                <c:pt idx="2">
                  <c:v>48.39102111294244</c:v>
                </c:pt>
                <c:pt idx="3">
                  <c:v>45.945945945946164</c:v>
                </c:pt>
                <c:pt idx="4">
                  <c:v>46.539902045519973</c:v>
                </c:pt>
                <c:pt idx="5">
                  <c:v>42.632354081079022</c:v>
                </c:pt>
                <c:pt idx="6">
                  <c:v>41.142760964349861</c:v>
                </c:pt>
                <c:pt idx="7">
                  <c:v>37.725590004627513</c:v>
                </c:pt>
                <c:pt idx="8">
                  <c:v>38.617502678328869</c:v>
                </c:pt>
                <c:pt idx="9">
                  <c:v>35.793265203551741</c:v>
                </c:pt>
                <c:pt idx="10">
                  <c:v>37.276700874192812</c:v>
                </c:pt>
                <c:pt idx="11">
                  <c:v>33.214421252372368</c:v>
                </c:pt>
              </c:numCache>
            </c:numRef>
          </c:val>
          <c:extLst xmlns:c16r2="http://schemas.microsoft.com/office/drawing/2015/06/chart">
            <c:ext xmlns:c16="http://schemas.microsoft.com/office/drawing/2014/chart" uri="{C3380CC4-5D6E-409C-BE32-E72D297353CC}">
              <c16:uniqueId val="{00000002-8C4C-4CE6-A926-01AA6A1DDDB4}"/>
            </c:ext>
          </c:extLst>
        </c:ser>
        <c:ser>
          <c:idx val="3"/>
          <c:order val="3"/>
          <c:tx>
            <c:strRef>
              <c:f>'Остаточне корені вод і сух'!$M$1</c:f>
              <c:strCache>
                <c:ptCount val="1"/>
                <c:pt idx="0">
                  <c:v>Загрей</c:v>
                </c:pt>
              </c:strCache>
            </c:strRef>
          </c:tx>
          <c:spPr>
            <a:ln w="28575" cap="rnd">
              <a:solidFill>
                <a:schemeClr val="bg2">
                  <a:lumMod val="75000"/>
                </a:schemeClr>
              </a:solidFill>
              <a:round/>
            </a:ln>
            <a:effectLst/>
          </c:spPr>
          <c:marker>
            <c:symbol val="circle"/>
            <c:size val="7"/>
            <c:spPr>
              <a:solidFill>
                <a:schemeClr val="bg2">
                  <a:lumMod val="75000"/>
                </a:schemeClr>
              </a:solidFill>
              <a:ln w="9525">
                <a:solidFill>
                  <a:schemeClr val="bg2">
                    <a:lumMod val="75000"/>
                  </a:schemeClr>
                </a:solidFill>
              </a:ln>
              <a:effectLst/>
            </c:spPr>
          </c:marker>
          <c:cat>
            <c:numRef>
              <c:f>'Остаточне корені вод і сух'!$I$2:$I$13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'Остаточне корені вод і сух'!$M$2:$M$13</c:f>
              <c:numCache>
                <c:formatCode>0.0</c:formatCode>
                <c:ptCount val="12"/>
                <c:pt idx="0">
                  <c:v>46.597872340425639</c:v>
                </c:pt>
                <c:pt idx="1">
                  <c:v>44.369823147526525</c:v>
                </c:pt>
                <c:pt idx="2">
                  <c:v>47.458045409674355</c:v>
                </c:pt>
                <c:pt idx="3">
                  <c:v>44.738041002278393</c:v>
                </c:pt>
                <c:pt idx="4">
                  <c:v>45.684705063511345</c:v>
                </c:pt>
                <c:pt idx="5">
                  <c:v>42.331081081081514</c:v>
                </c:pt>
                <c:pt idx="6">
                  <c:v>41.920813269127862</c:v>
                </c:pt>
                <c:pt idx="7">
                  <c:v>36.398104265402495</c:v>
                </c:pt>
                <c:pt idx="8">
                  <c:v>37.105465742879389</c:v>
                </c:pt>
                <c:pt idx="9">
                  <c:v>34.03833443489728</c:v>
                </c:pt>
                <c:pt idx="10">
                  <c:v>36.286919831224161</c:v>
                </c:pt>
                <c:pt idx="11">
                  <c:v>32.736378813173566</c:v>
                </c:pt>
              </c:numCache>
            </c:numRef>
          </c:val>
          <c:extLst xmlns:c16r2="http://schemas.microsoft.com/office/drawing/2015/06/chart">
            <c:ext xmlns:c16="http://schemas.microsoft.com/office/drawing/2014/chart" uri="{C3380CC4-5D6E-409C-BE32-E72D297353CC}">
              <c16:uniqueId val="{00000003-8C4C-4CE6-A926-01AA6A1DDDB4}"/>
            </c:ext>
          </c:extLst>
        </c:ser>
        <c:dLbls/>
        <c:marker val="1"/>
        <c:axId val="90609536"/>
        <c:axId val="90636288"/>
      </c:lineChart>
      <c:catAx>
        <c:axId val="90609536"/>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967121863390314"/>
              <c:y val="0.81387535914866382"/>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636288"/>
        <c:crosses val="autoZero"/>
        <c:auto val="1"/>
        <c:lblAlgn val="ctr"/>
        <c:lblOffset val="100"/>
      </c:catAx>
      <c:valAx>
        <c:axId val="90636288"/>
        <c:scaling>
          <c:orientation val="minMax"/>
          <c:max val="50"/>
          <c:min val="3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p>
            </c:rich>
          </c:tx>
          <c:layout>
            <c:manualLayout>
              <c:xMode val="edge"/>
              <c:yMode val="edge"/>
              <c:x val="0"/>
              <c:y val="1.1956838728492071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609536"/>
        <c:crosses val="autoZero"/>
        <c:crossBetween val="between"/>
      </c:valAx>
      <c:spPr>
        <a:noFill/>
        <a:ln>
          <a:noFill/>
        </a:ln>
        <a:effectLst/>
      </c:spPr>
    </c:plotArea>
    <c:legend>
      <c:legendPos val="b"/>
      <c:layout>
        <c:manualLayout>
          <c:xMode val="edge"/>
          <c:yMode val="edge"/>
          <c:x val="1.9270488385213565E-3"/>
          <c:y val="0.91967629046369292"/>
          <c:w val="0.99614573879199653"/>
          <c:h val="8.032370953630795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2"/>
</c:chartSpace>
</file>

<file path=word/charts/chart49.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559136883590486"/>
          <c:y val="5.9039442986293413E-2"/>
          <c:w val="0.85385303472579965"/>
          <c:h val="0.57005368454160132"/>
        </c:manualLayout>
      </c:layout>
      <c:barChart>
        <c:barDir val="col"/>
        <c:grouping val="clustered"/>
        <c:ser>
          <c:idx val="1"/>
          <c:order val="0"/>
          <c:tx>
            <c:strRef>
              <c:f>'Водний стан корені'!$R$1</c:f>
              <c:strCache>
                <c:ptCount val="1"/>
                <c:pt idx="0">
                  <c:v>Вода</c:v>
                </c:pt>
              </c:strCache>
            </c:strRef>
          </c:tx>
          <c:spPr>
            <a:pattFill prst="pct60">
              <a:fgClr>
                <a:schemeClr val="tx1"/>
              </a:fgClr>
              <a:bgClr>
                <a:schemeClr val="bg1"/>
              </a:bgClr>
            </a:pattFill>
            <a:ln>
              <a:solidFill>
                <a:schemeClr val="tx1"/>
              </a:solidFill>
            </a:ln>
            <a:effectLst/>
          </c:spPr>
          <c:cat>
            <c:numRef>
              <c:f>'Водний стан корені'!$P$2:$P$6</c:f>
              <c:numCache>
                <c:formatCode>General</c:formatCode>
                <c:ptCount val="5"/>
                <c:pt idx="0">
                  <c:v>1</c:v>
                </c:pt>
                <c:pt idx="1">
                  <c:v>2</c:v>
                </c:pt>
                <c:pt idx="2">
                  <c:v>3</c:v>
                </c:pt>
                <c:pt idx="3">
                  <c:v>4</c:v>
                </c:pt>
                <c:pt idx="4">
                  <c:v>5</c:v>
                </c:pt>
              </c:numCache>
            </c:numRef>
          </c:cat>
          <c:val>
            <c:numRef>
              <c:f>'Водний стан корені'!$R$2:$R$6</c:f>
              <c:numCache>
                <c:formatCode>0.0</c:formatCode>
                <c:ptCount val="5"/>
                <c:pt idx="0">
                  <c:v>96.647828443136945</c:v>
                </c:pt>
                <c:pt idx="1">
                  <c:v>96.333036874871567</c:v>
                </c:pt>
                <c:pt idx="2">
                  <c:v>92.73875295974743</c:v>
                </c:pt>
                <c:pt idx="3">
                  <c:v>92.168815943727978</c:v>
                </c:pt>
                <c:pt idx="4">
                  <c:v>89.951014695591297</c:v>
                </c:pt>
              </c:numCache>
            </c:numRef>
          </c:val>
          <c:extLst xmlns:c16r2="http://schemas.microsoft.com/office/drawing/2015/06/chart">
            <c:ext xmlns:c16="http://schemas.microsoft.com/office/drawing/2014/chart" uri="{C3380CC4-5D6E-409C-BE32-E72D297353CC}">
              <c16:uniqueId val="{00000002-92B8-4075-B6D8-1D3CC69A04F8}"/>
            </c:ext>
          </c:extLst>
        </c:ser>
        <c:ser>
          <c:idx val="0"/>
          <c:order val="1"/>
          <c:tx>
            <c:strRef>
              <c:f>'Водний стан корені'!$Q$1</c:f>
              <c:strCache>
                <c:ptCount val="1"/>
                <c:pt idx="0">
                  <c:v>Сухі речовини</c:v>
                </c:pt>
              </c:strCache>
            </c:strRef>
          </c:tx>
          <c:spPr>
            <a:solidFill>
              <a:schemeClr val="tx1"/>
            </a:solidFill>
            <a:ln>
              <a:solidFill>
                <a:schemeClr val="tx1"/>
              </a:solidFill>
            </a:ln>
            <a:effectLst/>
          </c:spPr>
          <c:cat>
            <c:numRef>
              <c:f>'Водний стан корені'!$P$2:$P$6</c:f>
              <c:numCache>
                <c:formatCode>General</c:formatCode>
                <c:ptCount val="5"/>
                <c:pt idx="0">
                  <c:v>1</c:v>
                </c:pt>
                <c:pt idx="1">
                  <c:v>2</c:v>
                </c:pt>
                <c:pt idx="2">
                  <c:v>3</c:v>
                </c:pt>
                <c:pt idx="3">
                  <c:v>4</c:v>
                </c:pt>
                <c:pt idx="4">
                  <c:v>5</c:v>
                </c:pt>
              </c:numCache>
            </c:numRef>
          </c:cat>
          <c:val>
            <c:numRef>
              <c:f>'Водний стан корені'!$Q$2:$Q$6</c:f>
              <c:numCache>
                <c:formatCode>0.0</c:formatCode>
                <c:ptCount val="5"/>
                <c:pt idx="0">
                  <c:v>3.3521715568630484</c:v>
                </c:pt>
                <c:pt idx="1">
                  <c:v>3.666963125128273</c:v>
                </c:pt>
                <c:pt idx="2">
                  <c:v>7.2612470402525719</c:v>
                </c:pt>
                <c:pt idx="3">
                  <c:v>7.8311840562720043</c:v>
                </c:pt>
                <c:pt idx="4">
                  <c:v>10.048985304408735</c:v>
                </c:pt>
              </c:numCache>
            </c:numRef>
          </c:val>
          <c:extLst xmlns:c16r2="http://schemas.microsoft.com/office/drawing/2015/06/chart">
            <c:ext xmlns:c16="http://schemas.microsoft.com/office/drawing/2014/chart" uri="{C3380CC4-5D6E-409C-BE32-E72D297353CC}">
              <c16:uniqueId val="{00000003-92B8-4075-B6D8-1D3CC69A04F8}"/>
            </c:ext>
          </c:extLst>
        </c:ser>
        <c:dLbls/>
        <c:gapWidth val="219"/>
        <c:overlap val="-27"/>
        <c:axId val="90507904"/>
        <c:axId val="90669824"/>
      </c:barChart>
      <c:catAx>
        <c:axId val="90507904"/>
        <c:scaling>
          <c:orientation val="minMax"/>
        </c:scaling>
        <c:axPos val="b"/>
        <c:title>
          <c:tx>
            <c:rich>
              <a:bodyPr rot="0" spcFirstLastPara="1" vertOverflow="ellipsis" vert="horz" wrap="square" anchor="ctr" anchorCtr="1"/>
              <a:lstStyle/>
              <a:p>
                <a:pPr>
                  <a:defRPr sz="7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baseline="0">
                    <a:effectLst/>
                  </a:rPr>
                  <a:t>Варіанти досліду</a:t>
                </a:r>
                <a:endParaRPr lang="en-US" sz="700">
                  <a:effectLst/>
                </a:endParaRPr>
              </a:p>
            </c:rich>
          </c:tx>
          <c:layout>
            <c:manualLayout>
              <c:xMode val="edge"/>
              <c:yMode val="edge"/>
              <c:x val="0.80387756377933339"/>
              <c:y val="0.79397054727428062"/>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669824"/>
        <c:crosses val="autoZero"/>
        <c:auto val="1"/>
        <c:lblAlgn val="ctr"/>
        <c:lblOffset val="100"/>
      </c:catAx>
      <c:valAx>
        <c:axId val="90669824"/>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p>
            </c:rich>
          </c:tx>
          <c:layout>
            <c:manualLayout>
              <c:xMode val="edge"/>
              <c:yMode val="edge"/>
              <c:x val="0"/>
              <c:y val="1.5084572761738121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507904"/>
        <c:crosses val="autoZero"/>
        <c:crossBetween val="between"/>
        <c:majorUnit val="20"/>
      </c:valAx>
      <c:spPr>
        <a:noFill/>
        <a:ln>
          <a:noFill/>
        </a:ln>
        <a:effectLst/>
      </c:spPr>
    </c:plotArea>
    <c:legend>
      <c:legendPos val="b"/>
      <c:layout>
        <c:manualLayout>
          <c:xMode val="edge"/>
          <c:yMode val="edge"/>
          <c:x val="0"/>
          <c:y val="0.86466751797045693"/>
          <c:w val="0.95552810376775721"/>
          <c:h val="0.13533248202954309"/>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0.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852724016974514"/>
          <c:y val="8.1746921057944677E-2"/>
          <c:w val="0.85862748464853256"/>
          <c:h val="0.51879297489217524"/>
        </c:manualLayout>
      </c:layout>
      <c:barChart>
        <c:barDir val="col"/>
        <c:grouping val="clustered"/>
        <c:ser>
          <c:idx val="1"/>
          <c:order val="0"/>
          <c:tx>
            <c:strRef>
              <c:f>'Водний стан корені'!$R$11</c:f>
              <c:strCache>
                <c:ptCount val="1"/>
                <c:pt idx="0">
                  <c:v>Вода</c:v>
                </c:pt>
              </c:strCache>
            </c:strRef>
          </c:tx>
          <c:spPr>
            <a:pattFill prst="pct60">
              <a:fgClr>
                <a:schemeClr val="tx1">
                  <a:lumMod val="50000"/>
                  <a:lumOff val="50000"/>
                </a:schemeClr>
              </a:fgClr>
              <a:bgClr>
                <a:schemeClr val="bg1"/>
              </a:bgClr>
            </a:pattFill>
            <a:ln>
              <a:solidFill>
                <a:schemeClr val="tx1"/>
              </a:solidFill>
            </a:ln>
            <a:effectLst/>
          </c:spPr>
          <c:cat>
            <c:numRef>
              <c:f>'Водний стан корені'!$P$12:$P$16</c:f>
              <c:numCache>
                <c:formatCode>General</c:formatCode>
                <c:ptCount val="5"/>
                <c:pt idx="0">
                  <c:v>1</c:v>
                </c:pt>
                <c:pt idx="1">
                  <c:v>2</c:v>
                </c:pt>
                <c:pt idx="2">
                  <c:v>3</c:v>
                </c:pt>
                <c:pt idx="3">
                  <c:v>4</c:v>
                </c:pt>
                <c:pt idx="4">
                  <c:v>5</c:v>
                </c:pt>
              </c:numCache>
            </c:numRef>
          </c:cat>
          <c:val>
            <c:numRef>
              <c:f>'Водний стан корені'!$R$12:$R$16</c:f>
              <c:numCache>
                <c:formatCode>0.0</c:formatCode>
                <c:ptCount val="5"/>
                <c:pt idx="0">
                  <c:v>97.576032682705389</c:v>
                </c:pt>
                <c:pt idx="1">
                  <c:v>97.723509019850283</c:v>
                </c:pt>
                <c:pt idx="2">
                  <c:v>93.763867803339949</c:v>
                </c:pt>
                <c:pt idx="3">
                  <c:v>89.44987775061125</c:v>
                </c:pt>
                <c:pt idx="4">
                  <c:v>88.777318369757808</c:v>
                </c:pt>
              </c:numCache>
            </c:numRef>
          </c:val>
          <c:extLst xmlns:c16r2="http://schemas.microsoft.com/office/drawing/2015/06/chart">
            <c:ext xmlns:c16="http://schemas.microsoft.com/office/drawing/2014/chart" uri="{C3380CC4-5D6E-409C-BE32-E72D297353CC}">
              <c16:uniqueId val="{00000000-547B-4B5F-870D-CE103FDF34D8}"/>
            </c:ext>
          </c:extLst>
        </c:ser>
        <c:ser>
          <c:idx val="0"/>
          <c:order val="1"/>
          <c:tx>
            <c:strRef>
              <c:f>'Водний стан корені'!$Q$11</c:f>
              <c:strCache>
                <c:ptCount val="1"/>
                <c:pt idx="0">
                  <c:v>Сухі речовини</c:v>
                </c:pt>
              </c:strCache>
            </c:strRef>
          </c:tx>
          <c:spPr>
            <a:solidFill>
              <a:schemeClr val="tx1">
                <a:lumMod val="50000"/>
                <a:lumOff val="50000"/>
              </a:schemeClr>
            </a:solidFill>
            <a:ln>
              <a:solidFill>
                <a:schemeClr val="tx1"/>
              </a:solidFill>
            </a:ln>
            <a:effectLst/>
          </c:spPr>
          <c:cat>
            <c:numRef>
              <c:f>'Водний стан корені'!$P$12:$P$16</c:f>
              <c:numCache>
                <c:formatCode>General</c:formatCode>
                <c:ptCount val="5"/>
                <c:pt idx="0">
                  <c:v>1</c:v>
                </c:pt>
                <c:pt idx="1">
                  <c:v>2</c:v>
                </c:pt>
                <c:pt idx="2">
                  <c:v>3</c:v>
                </c:pt>
                <c:pt idx="3">
                  <c:v>4</c:v>
                </c:pt>
                <c:pt idx="4">
                  <c:v>5</c:v>
                </c:pt>
              </c:numCache>
            </c:numRef>
          </c:cat>
          <c:val>
            <c:numRef>
              <c:f>'Водний стан корені'!$Q$12:$Q$16</c:f>
              <c:numCache>
                <c:formatCode>0.0</c:formatCode>
                <c:ptCount val="5"/>
                <c:pt idx="0">
                  <c:v>2.4239673172946001</c:v>
                </c:pt>
                <c:pt idx="1">
                  <c:v>2.2764909801497004</c:v>
                </c:pt>
                <c:pt idx="2">
                  <c:v>6.2361321966600514</c:v>
                </c:pt>
                <c:pt idx="3">
                  <c:v>10.550122249388764</c:v>
                </c:pt>
                <c:pt idx="4">
                  <c:v>11.222681630242169</c:v>
                </c:pt>
              </c:numCache>
            </c:numRef>
          </c:val>
          <c:extLst xmlns:c16r2="http://schemas.microsoft.com/office/drawing/2015/06/chart">
            <c:ext xmlns:c16="http://schemas.microsoft.com/office/drawing/2014/chart" uri="{C3380CC4-5D6E-409C-BE32-E72D297353CC}">
              <c16:uniqueId val="{00000001-547B-4B5F-870D-CE103FDF34D8}"/>
            </c:ext>
          </c:extLst>
        </c:ser>
        <c:dLbls/>
        <c:gapWidth val="219"/>
        <c:overlap val="-27"/>
        <c:axId val="90680704"/>
        <c:axId val="90711552"/>
      </c:barChart>
      <c:catAx>
        <c:axId val="90680704"/>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045922066179455"/>
              <c:y val="0.76040086167960164"/>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711552"/>
        <c:crosses val="autoZero"/>
        <c:auto val="1"/>
        <c:lblAlgn val="ctr"/>
        <c:lblOffset val="100"/>
      </c:catAx>
      <c:valAx>
        <c:axId val="90711552"/>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endParaRPr lang="uk-UA" sz="1000"/>
              </a:p>
            </c:rich>
          </c:tx>
          <c:layout>
            <c:manualLayout>
              <c:xMode val="edge"/>
              <c:yMode val="edge"/>
              <c:x val="7.8429513171318903E-4"/>
              <c:y val="1.1416091970191977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680704"/>
        <c:crosses val="autoZero"/>
        <c:crossBetween val="between"/>
        <c:majorUnit val="20"/>
      </c:valAx>
      <c:spPr>
        <a:noFill/>
        <a:ln>
          <a:noFill/>
        </a:ln>
        <a:effectLst/>
      </c:spPr>
    </c:plotArea>
    <c:legend>
      <c:legendPos val="b"/>
      <c:layout>
        <c:manualLayout>
          <c:xMode val="edge"/>
          <c:yMode val="edge"/>
          <c:x val="2.9044181977252843E-3"/>
          <c:y val="0.85686010389174216"/>
          <c:w val="0.9127989267893537"/>
          <c:h val="0.1431398961082577"/>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1.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171078654169797"/>
          <c:y val="7.0575996182295389E-2"/>
          <c:w val="0.86540829822169285"/>
          <c:h val="0.56653853101993412"/>
        </c:manualLayout>
      </c:layout>
      <c:barChart>
        <c:barDir val="col"/>
        <c:grouping val="clustered"/>
        <c:ser>
          <c:idx val="1"/>
          <c:order val="0"/>
          <c:tx>
            <c:strRef>
              <c:f>'Водний стан корені'!$R$21</c:f>
              <c:strCache>
                <c:ptCount val="1"/>
                <c:pt idx="0">
                  <c:v>Вода</c:v>
                </c:pt>
              </c:strCache>
            </c:strRef>
          </c:tx>
          <c:spPr>
            <a:pattFill prst="wdDnDiag">
              <a:fgClr>
                <a:schemeClr val="tx1">
                  <a:lumMod val="50000"/>
                  <a:lumOff val="50000"/>
                </a:schemeClr>
              </a:fgClr>
              <a:bgClr>
                <a:schemeClr val="bg1"/>
              </a:bgClr>
            </a:pattFill>
            <a:ln>
              <a:solidFill>
                <a:schemeClr val="tx1"/>
              </a:solidFill>
            </a:ln>
            <a:effectLst/>
          </c:spPr>
          <c:cat>
            <c:numRef>
              <c:f>'Водний стан корені'!$P$22:$P$26</c:f>
              <c:numCache>
                <c:formatCode>General</c:formatCode>
                <c:ptCount val="5"/>
                <c:pt idx="0">
                  <c:v>1</c:v>
                </c:pt>
                <c:pt idx="1">
                  <c:v>2</c:v>
                </c:pt>
                <c:pt idx="2">
                  <c:v>3</c:v>
                </c:pt>
                <c:pt idx="3">
                  <c:v>4</c:v>
                </c:pt>
                <c:pt idx="4">
                  <c:v>5</c:v>
                </c:pt>
              </c:numCache>
            </c:numRef>
          </c:cat>
          <c:val>
            <c:numRef>
              <c:f>'Водний стан корені'!$R$22:$R$26</c:f>
              <c:numCache>
                <c:formatCode>0.0</c:formatCode>
                <c:ptCount val="5"/>
                <c:pt idx="0">
                  <c:v>91.987639519764983</c:v>
                </c:pt>
                <c:pt idx="1">
                  <c:v>92.096956031567075</c:v>
                </c:pt>
                <c:pt idx="2">
                  <c:v>91.876917831571575</c:v>
                </c:pt>
                <c:pt idx="3">
                  <c:v>91.318887105403704</c:v>
                </c:pt>
                <c:pt idx="4">
                  <c:v>91.072559199695988</c:v>
                </c:pt>
              </c:numCache>
            </c:numRef>
          </c:val>
          <c:extLst xmlns:c16r2="http://schemas.microsoft.com/office/drawing/2015/06/chart">
            <c:ext xmlns:c16="http://schemas.microsoft.com/office/drawing/2014/chart" uri="{C3380CC4-5D6E-409C-BE32-E72D297353CC}">
              <c16:uniqueId val="{00000000-506F-4798-9242-028314FD07F8}"/>
            </c:ext>
          </c:extLst>
        </c:ser>
        <c:ser>
          <c:idx val="0"/>
          <c:order val="1"/>
          <c:tx>
            <c:strRef>
              <c:f>'Водний стан корені'!$Q$21</c:f>
              <c:strCache>
                <c:ptCount val="1"/>
                <c:pt idx="0">
                  <c:v>Сухі речовини</c:v>
                </c:pt>
              </c:strCache>
            </c:strRef>
          </c:tx>
          <c:spPr>
            <a:pattFill prst="dkDnDiag">
              <a:fgClr>
                <a:schemeClr val="tx1">
                  <a:lumMod val="50000"/>
                  <a:lumOff val="50000"/>
                </a:schemeClr>
              </a:fgClr>
              <a:bgClr>
                <a:schemeClr val="bg1"/>
              </a:bgClr>
            </a:pattFill>
            <a:ln>
              <a:solidFill>
                <a:schemeClr val="tx1"/>
              </a:solidFill>
            </a:ln>
            <a:effectLst/>
          </c:spPr>
          <c:cat>
            <c:numRef>
              <c:f>'Водний стан корені'!$P$22:$P$26</c:f>
              <c:numCache>
                <c:formatCode>General</c:formatCode>
                <c:ptCount val="5"/>
                <c:pt idx="0">
                  <c:v>1</c:v>
                </c:pt>
                <c:pt idx="1">
                  <c:v>2</c:v>
                </c:pt>
                <c:pt idx="2">
                  <c:v>3</c:v>
                </c:pt>
                <c:pt idx="3">
                  <c:v>4</c:v>
                </c:pt>
                <c:pt idx="4">
                  <c:v>5</c:v>
                </c:pt>
              </c:numCache>
            </c:numRef>
          </c:cat>
          <c:val>
            <c:numRef>
              <c:f>'Водний стан корені'!$Q$22:$Q$26</c:f>
              <c:numCache>
                <c:formatCode>0.0</c:formatCode>
                <c:ptCount val="5"/>
                <c:pt idx="0">
                  <c:v>8.0123604802350119</c:v>
                </c:pt>
                <c:pt idx="1">
                  <c:v>7.9030439684329199</c:v>
                </c:pt>
                <c:pt idx="2">
                  <c:v>8.1230821684282777</c:v>
                </c:pt>
                <c:pt idx="3">
                  <c:v>8.6811128945961489</c:v>
                </c:pt>
                <c:pt idx="4">
                  <c:v>8.9274408003039767</c:v>
                </c:pt>
              </c:numCache>
            </c:numRef>
          </c:val>
          <c:extLst xmlns:c16r2="http://schemas.microsoft.com/office/drawing/2015/06/chart">
            <c:ext xmlns:c16="http://schemas.microsoft.com/office/drawing/2014/chart" uri="{C3380CC4-5D6E-409C-BE32-E72D297353CC}">
              <c16:uniqueId val="{00000001-506F-4798-9242-028314FD07F8}"/>
            </c:ext>
          </c:extLst>
        </c:ser>
        <c:dLbls/>
        <c:gapWidth val="219"/>
        <c:overlap val="-27"/>
        <c:axId val="90750976"/>
        <c:axId val="90752896"/>
      </c:barChart>
      <c:catAx>
        <c:axId val="90750976"/>
        <c:scaling>
          <c:orientation val="minMax"/>
        </c:scaling>
        <c:axPos val="b"/>
        <c:title>
          <c:tx>
            <c:rich>
              <a:bodyPr rot="0" spcFirstLastPara="1" vertOverflow="ellipsis" vert="horz" wrap="square" anchor="ctr" anchorCtr="1"/>
              <a:lstStyle/>
              <a:p>
                <a:pPr>
                  <a:defRPr sz="7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b="0" i="0" baseline="0">
                    <a:effectLst/>
                  </a:rPr>
                  <a:t>Варіанти досліду</a:t>
                </a:r>
                <a:endParaRPr lang="en-US" sz="700">
                  <a:effectLst/>
                </a:endParaRPr>
              </a:p>
            </c:rich>
          </c:tx>
          <c:layout>
            <c:manualLayout>
              <c:xMode val="edge"/>
              <c:yMode val="edge"/>
              <c:x val="0.80210067890250003"/>
              <c:y val="0.78092618969305738"/>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752896"/>
        <c:crosses val="autoZero"/>
        <c:auto val="1"/>
        <c:lblAlgn val="ctr"/>
        <c:lblOffset val="100"/>
      </c:catAx>
      <c:valAx>
        <c:axId val="90752896"/>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p>
            </c:rich>
          </c:tx>
          <c:layout>
            <c:manualLayout>
              <c:xMode val="edge"/>
              <c:yMode val="edge"/>
              <c:x val="0"/>
              <c:y val="2.0388597258676091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750976"/>
        <c:crosses val="autoZero"/>
        <c:crossBetween val="between"/>
        <c:majorUnit val="20"/>
      </c:valAx>
      <c:spPr>
        <a:noFill/>
        <a:ln>
          <a:noFill/>
        </a:ln>
        <a:effectLst/>
      </c:spPr>
    </c:plotArea>
    <c:legend>
      <c:legendPos val="b"/>
      <c:layout>
        <c:manualLayout>
          <c:xMode val="edge"/>
          <c:yMode val="edge"/>
          <c:x val="0"/>
          <c:y val="0.81758051781579699"/>
          <c:w val="0.9366240097501527"/>
          <c:h val="0.18241948218420315"/>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2.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963070333836988"/>
          <c:y val="7.4647688269735515E-2"/>
          <c:w val="0.86748838142502049"/>
          <c:h val="0.56732734455729306"/>
        </c:manualLayout>
      </c:layout>
      <c:barChart>
        <c:barDir val="col"/>
        <c:grouping val="clustered"/>
        <c:ser>
          <c:idx val="1"/>
          <c:order val="0"/>
          <c:tx>
            <c:strRef>
              <c:f>'Водний стан корені'!$R$31</c:f>
              <c:strCache>
                <c:ptCount val="1"/>
                <c:pt idx="0">
                  <c:v>Вода</c:v>
                </c:pt>
              </c:strCache>
            </c:strRef>
          </c:tx>
          <c:spPr>
            <a:pattFill prst="wdDnDiag">
              <a:fgClr>
                <a:schemeClr val="tx1">
                  <a:lumMod val="50000"/>
                  <a:lumOff val="50000"/>
                </a:schemeClr>
              </a:fgClr>
              <a:bgClr>
                <a:schemeClr val="bg1"/>
              </a:bgClr>
            </a:pattFill>
            <a:ln>
              <a:solidFill>
                <a:schemeClr val="tx1"/>
              </a:solidFill>
            </a:ln>
            <a:effectLst/>
          </c:spPr>
          <c:cat>
            <c:numRef>
              <c:f>'Водний стан корені'!$P$32:$P$36</c:f>
              <c:numCache>
                <c:formatCode>General</c:formatCode>
                <c:ptCount val="5"/>
                <c:pt idx="0">
                  <c:v>1</c:v>
                </c:pt>
                <c:pt idx="1">
                  <c:v>2</c:v>
                </c:pt>
                <c:pt idx="2">
                  <c:v>3</c:v>
                </c:pt>
                <c:pt idx="3">
                  <c:v>4</c:v>
                </c:pt>
                <c:pt idx="4">
                  <c:v>5</c:v>
                </c:pt>
              </c:numCache>
            </c:numRef>
          </c:cat>
          <c:val>
            <c:numRef>
              <c:f>'Водний стан корені'!$R$32:$R$36</c:f>
              <c:numCache>
                <c:formatCode>0.0</c:formatCode>
                <c:ptCount val="5"/>
                <c:pt idx="0">
                  <c:v>91.478260869565275</c:v>
                </c:pt>
                <c:pt idx="1">
                  <c:v>94.296577946768068</c:v>
                </c:pt>
                <c:pt idx="2">
                  <c:v>91.164800282162034</c:v>
                </c:pt>
                <c:pt idx="3">
                  <c:v>91.305338294479228</c:v>
                </c:pt>
                <c:pt idx="4">
                  <c:v>90.895284379983252</c:v>
                </c:pt>
              </c:numCache>
            </c:numRef>
          </c:val>
          <c:extLst xmlns:c16r2="http://schemas.microsoft.com/office/drawing/2015/06/chart">
            <c:ext xmlns:c16="http://schemas.microsoft.com/office/drawing/2014/chart" uri="{C3380CC4-5D6E-409C-BE32-E72D297353CC}">
              <c16:uniqueId val="{00000000-0E3D-4EFB-9298-46FD38CA4CE5}"/>
            </c:ext>
          </c:extLst>
        </c:ser>
        <c:ser>
          <c:idx val="0"/>
          <c:order val="1"/>
          <c:tx>
            <c:strRef>
              <c:f>'Водний стан корені'!$Q$31</c:f>
              <c:strCache>
                <c:ptCount val="1"/>
                <c:pt idx="0">
                  <c:v>Сухі речовини</c:v>
                </c:pt>
              </c:strCache>
            </c:strRef>
          </c:tx>
          <c:spPr>
            <a:pattFill prst="dkDnDiag">
              <a:fgClr>
                <a:schemeClr val="tx1">
                  <a:lumMod val="50000"/>
                  <a:lumOff val="50000"/>
                </a:schemeClr>
              </a:fgClr>
              <a:bgClr>
                <a:schemeClr val="bg1"/>
              </a:bgClr>
            </a:pattFill>
            <a:ln>
              <a:solidFill>
                <a:schemeClr val="tx1"/>
              </a:solidFill>
            </a:ln>
            <a:effectLst/>
          </c:spPr>
          <c:cat>
            <c:numRef>
              <c:f>'Водний стан корені'!$P$32:$P$36</c:f>
              <c:numCache>
                <c:formatCode>General</c:formatCode>
                <c:ptCount val="5"/>
                <c:pt idx="0">
                  <c:v>1</c:v>
                </c:pt>
                <c:pt idx="1">
                  <c:v>2</c:v>
                </c:pt>
                <c:pt idx="2">
                  <c:v>3</c:v>
                </c:pt>
                <c:pt idx="3">
                  <c:v>4</c:v>
                </c:pt>
                <c:pt idx="4">
                  <c:v>5</c:v>
                </c:pt>
              </c:numCache>
            </c:numRef>
          </c:cat>
          <c:val>
            <c:numRef>
              <c:f>'Водний стан корені'!$Q$32:$Q$36</c:f>
              <c:numCache>
                <c:formatCode>0.0</c:formatCode>
                <c:ptCount val="5"/>
                <c:pt idx="0">
                  <c:v>8.521739130434721</c:v>
                </c:pt>
                <c:pt idx="1">
                  <c:v>5.7034220532319404</c:v>
                </c:pt>
                <c:pt idx="2">
                  <c:v>8.8351997178379804</c:v>
                </c:pt>
                <c:pt idx="3">
                  <c:v>8.6946617055205664</c:v>
                </c:pt>
                <c:pt idx="4">
                  <c:v>9.1047156200167407</c:v>
                </c:pt>
              </c:numCache>
            </c:numRef>
          </c:val>
          <c:extLst xmlns:c16r2="http://schemas.microsoft.com/office/drawing/2015/06/chart">
            <c:ext xmlns:c16="http://schemas.microsoft.com/office/drawing/2014/chart" uri="{C3380CC4-5D6E-409C-BE32-E72D297353CC}">
              <c16:uniqueId val="{00000001-0E3D-4EFB-9298-46FD38CA4CE5}"/>
            </c:ext>
          </c:extLst>
        </c:ser>
        <c:dLbls/>
        <c:gapWidth val="219"/>
        <c:overlap val="-27"/>
        <c:axId val="90796800"/>
        <c:axId val="90798720"/>
      </c:barChart>
      <c:catAx>
        <c:axId val="90796800"/>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0595820496554982"/>
              <c:y val="0.7910743544510479"/>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798720"/>
        <c:crosses val="autoZero"/>
        <c:auto val="1"/>
        <c:lblAlgn val="ctr"/>
        <c:lblOffset val="100"/>
      </c:catAx>
      <c:valAx>
        <c:axId val="90798720"/>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endParaRPr lang="uk-UA" sz="1000"/>
              </a:p>
            </c:rich>
          </c:tx>
          <c:layout>
            <c:manualLayout>
              <c:xMode val="edge"/>
              <c:yMode val="edge"/>
              <c:x val="0"/>
              <c:y val="2.3467309998487828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796800"/>
        <c:crosses val="autoZero"/>
        <c:crossBetween val="between"/>
        <c:majorUnit val="20"/>
      </c:valAx>
      <c:spPr>
        <a:noFill/>
        <a:ln>
          <a:noFill/>
        </a:ln>
        <a:effectLst/>
      </c:spPr>
    </c:plotArea>
    <c:legend>
      <c:legendPos val="b"/>
      <c:layout>
        <c:manualLayout>
          <c:xMode val="edge"/>
          <c:yMode val="edge"/>
          <c:x val="2.9044181977252843E-3"/>
          <c:y val="0.87573401841719056"/>
          <c:w val="0.95895304575249007"/>
          <c:h val="0.12426598158281078"/>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3.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456896263214844"/>
          <c:y val="5.3912219305920134E-2"/>
          <c:w val="0.86265669099847186"/>
          <c:h val="0.67501715702971465"/>
        </c:manualLayout>
      </c:layout>
      <c:lineChart>
        <c:grouping val="standard"/>
        <c:ser>
          <c:idx val="0"/>
          <c:order val="0"/>
          <c:tx>
            <c:strRef>
              <c:f>'Водний стан корені'!$Y$1</c:f>
              <c:strCache>
                <c:ptCount val="1"/>
                <c:pt idx="0">
                  <c:v>Добриня</c:v>
                </c:pt>
              </c:strCache>
            </c:strRef>
          </c:tx>
          <c:spPr>
            <a:ln w="28575" cap="rnd">
              <a:solidFill>
                <a:schemeClr val="tx1"/>
              </a:solidFill>
              <a:prstDash val="dash"/>
              <a:round/>
            </a:ln>
            <a:effectLst/>
          </c:spPr>
          <c:marker>
            <c:symbol val="circle"/>
            <c:size val="7"/>
            <c:spPr>
              <a:solidFill>
                <a:schemeClr val="tx1"/>
              </a:solidFill>
              <a:ln w="9525">
                <a:solidFill>
                  <a:schemeClr val="tx1"/>
                </a:solidFill>
              </a:ln>
              <a:effectLst/>
            </c:spPr>
          </c:marker>
          <c:cat>
            <c:numRef>
              <c:f>'Водний стан корені'!$X$2:$X$6</c:f>
              <c:numCache>
                <c:formatCode>General</c:formatCode>
                <c:ptCount val="5"/>
                <c:pt idx="0">
                  <c:v>1</c:v>
                </c:pt>
                <c:pt idx="1">
                  <c:v>2</c:v>
                </c:pt>
                <c:pt idx="2">
                  <c:v>3</c:v>
                </c:pt>
                <c:pt idx="3">
                  <c:v>4</c:v>
                </c:pt>
                <c:pt idx="4">
                  <c:v>5</c:v>
                </c:pt>
              </c:numCache>
            </c:numRef>
          </c:cat>
          <c:val>
            <c:numRef>
              <c:f>'Водний стан корені'!$Y$2:$Y$6</c:f>
              <c:numCache>
                <c:formatCode>0.0</c:formatCode>
                <c:ptCount val="5"/>
                <c:pt idx="0">
                  <c:v>54.86568088565452</c:v>
                </c:pt>
                <c:pt idx="1">
                  <c:v>48.607785455291719</c:v>
                </c:pt>
                <c:pt idx="2">
                  <c:v>41.445233710427253</c:v>
                </c:pt>
                <c:pt idx="3">
                  <c:v>58.440797186401056</c:v>
                </c:pt>
                <c:pt idx="4">
                  <c:v>67.907627711686473</c:v>
                </c:pt>
              </c:numCache>
            </c:numRef>
          </c:val>
          <c:extLst xmlns:c16r2="http://schemas.microsoft.com/office/drawing/2015/06/chart">
            <c:ext xmlns:c16="http://schemas.microsoft.com/office/drawing/2014/chart" uri="{C3380CC4-5D6E-409C-BE32-E72D297353CC}">
              <c16:uniqueId val="{00000000-DFDF-4CE0-BC31-60F118721BAD}"/>
            </c:ext>
          </c:extLst>
        </c:ser>
        <c:ser>
          <c:idx val="1"/>
          <c:order val="1"/>
          <c:tx>
            <c:strRef>
              <c:f>'Водний стан корені'!$Z$1</c:f>
              <c:strCache>
                <c:ptCount val="1"/>
                <c:pt idx="0">
                  <c:v>Гарант</c:v>
                </c:pt>
              </c:strCache>
            </c:strRef>
          </c:tx>
          <c:spPr>
            <a:ln w="28575" cap="rnd">
              <a:solidFill>
                <a:schemeClr val="tx1"/>
              </a:solidFill>
              <a:round/>
            </a:ln>
            <a:effectLst/>
          </c:spPr>
          <c:marker>
            <c:symbol val="triangle"/>
            <c:size val="7"/>
            <c:spPr>
              <a:solidFill>
                <a:schemeClr val="tx1"/>
              </a:solidFill>
              <a:ln w="9525">
                <a:solidFill>
                  <a:schemeClr val="tx1"/>
                </a:solidFill>
              </a:ln>
              <a:effectLst/>
            </c:spPr>
          </c:marker>
          <c:cat>
            <c:numRef>
              <c:f>'Водний стан корені'!$X$2:$X$6</c:f>
              <c:numCache>
                <c:formatCode>General</c:formatCode>
                <c:ptCount val="5"/>
                <c:pt idx="0">
                  <c:v>1</c:v>
                </c:pt>
                <c:pt idx="1">
                  <c:v>2</c:v>
                </c:pt>
                <c:pt idx="2">
                  <c:v>3</c:v>
                </c:pt>
                <c:pt idx="3">
                  <c:v>4</c:v>
                </c:pt>
                <c:pt idx="4">
                  <c:v>5</c:v>
                </c:pt>
              </c:numCache>
            </c:numRef>
          </c:cat>
          <c:val>
            <c:numRef>
              <c:f>'Водний стан корені'!$Z$2:$Z$6</c:f>
              <c:numCache>
                <c:formatCode>0.0</c:formatCode>
                <c:ptCount val="5"/>
                <c:pt idx="0">
                  <c:v>34.371311847480733</c:v>
                </c:pt>
                <c:pt idx="1">
                  <c:v>29.952085495373989</c:v>
                </c:pt>
                <c:pt idx="2">
                  <c:v>53.754525283195242</c:v>
                </c:pt>
                <c:pt idx="3">
                  <c:v>62.432762836185795</c:v>
                </c:pt>
                <c:pt idx="4">
                  <c:v>63.585351447135373</c:v>
                </c:pt>
              </c:numCache>
            </c:numRef>
          </c:val>
          <c:extLst xmlns:c16r2="http://schemas.microsoft.com/office/drawing/2015/06/chart">
            <c:ext xmlns:c16="http://schemas.microsoft.com/office/drawing/2014/chart" uri="{C3380CC4-5D6E-409C-BE32-E72D297353CC}">
              <c16:uniqueId val="{00000001-DFDF-4CE0-BC31-60F118721BAD}"/>
            </c:ext>
          </c:extLst>
        </c:ser>
        <c:ser>
          <c:idx val="2"/>
          <c:order val="2"/>
          <c:tx>
            <c:strRef>
              <c:f>'Водний стан корені'!$AA$1</c:f>
              <c:strCache>
                <c:ptCount val="1"/>
                <c:pt idx="0">
                  <c:v>Ярило</c:v>
                </c:pt>
              </c:strCache>
            </c:strRef>
          </c:tx>
          <c:spPr>
            <a:ln w="28575" cap="rnd">
              <a:solidFill>
                <a:schemeClr val="bg2">
                  <a:lumMod val="75000"/>
                </a:schemeClr>
              </a:solidFill>
              <a:round/>
            </a:ln>
            <a:effectLst/>
          </c:spPr>
          <c:marker>
            <c:symbol val="square"/>
            <c:size val="7"/>
            <c:spPr>
              <a:solidFill>
                <a:schemeClr val="bg2">
                  <a:lumMod val="75000"/>
                </a:schemeClr>
              </a:solidFill>
              <a:ln w="9525">
                <a:solidFill>
                  <a:schemeClr val="bg2">
                    <a:lumMod val="75000"/>
                  </a:schemeClr>
                </a:solidFill>
              </a:ln>
              <a:effectLst/>
            </c:spPr>
          </c:marker>
          <c:cat>
            <c:numRef>
              <c:f>'Водний стан корені'!$X$2:$X$6</c:f>
              <c:numCache>
                <c:formatCode>General</c:formatCode>
                <c:ptCount val="5"/>
                <c:pt idx="0">
                  <c:v>1</c:v>
                </c:pt>
                <c:pt idx="1">
                  <c:v>2</c:v>
                </c:pt>
                <c:pt idx="2">
                  <c:v>3</c:v>
                </c:pt>
                <c:pt idx="3">
                  <c:v>4</c:v>
                </c:pt>
                <c:pt idx="4">
                  <c:v>5</c:v>
                </c:pt>
              </c:numCache>
            </c:numRef>
          </c:cat>
          <c:val>
            <c:numRef>
              <c:f>'Водний стан корені'!$AA$2:$AA$6</c:f>
              <c:numCache>
                <c:formatCode>0.0</c:formatCode>
                <c:ptCount val="5"/>
                <c:pt idx="0">
                  <c:v>30.430083922932752</c:v>
                </c:pt>
                <c:pt idx="1">
                  <c:v>28.556933483653211</c:v>
                </c:pt>
                <c:pt idx="2">
                  <c:v>37.18888510057991</c:v>
                </c:pt>
                <c:pt idx="3">
                  <c:v>57.865168539325808</c:v>
                </c:pt>
                <c:pt idx="4">
                  <c:v>58.439913891351253</c:v>
                </c:pt>
              </c:numCache>
            </c:numRef>
          </c:val>
          <c:extLst xmlns:c16r2="http://schemas.microsoft.com/office/drawing/2015/06/chart">
            <c:ext xmlns:c16="http://schemas.microsoft.com/office/drawing/2014/chart" uri="{C3380CC4-5D6E-409C-BE32-E72D297353CC}">
              <c16:uniqueId val="{00000002-DFDF-4CE0-BC31-60F118721BAD}"/>
            </c:ext>
          </c:extLst>
        </c:ser>
        <c:ser>
          <c:idx val="3"/>
          <c:order val="3"/>
          <c:tx>
            <c:strRef>
              <c:f>'Водний стан корені'!$AB$1</c:f>
              <c:strCache>
                <c:ptCount val="1"/>
                <c:pt idx="0">
                  <c:v>Загрей</c:v>
                </c:pt>
              </c:strCache>
            </c:strRef>
          </c:tx>
          <c:spPr>
            <a:ln w="28575" cap="rnd">
              <a:solidFill>
                <a:schemeClr val="bg2">
                  <a:lumMod val="75000"/>
                </a:schemeClr>
              </a:solidFill>
              <a:prstDash val="dash"/>
              <a:round/>
            </a:ln>
            <a:effectLst/>
          </c:spPr>
          <c:marker>
            <c:symbol val="triangle"/>
            <c:size val="7"/>
            <c:spPr>
              <a:solidFill>
                <a:schemeClr val="bg2">
                  <a:lumMod val="75000"/>
                </a:schemeClr>
              </a:solidFill>
              <a:ln w="9525">
                <a:solidFill>
                  <a:schemeClr val="bg2">
                    <a:lumMod val="75000"/>
                  </a:schemeClr>
                </a:solidFill>
              </a:ln>
              <a:effectLst/>
            </c:spPr>
          </c:marker>
          <c:cat>
            <c:numRef>
              <c:f>'Водний стан корені'!$X$2:$X$6</c:f>
              <c:numCache>
                <c:formatCode>General</c:formatCode>
                <c:ptCount val="5"/>
                <c:pt idx="0">
                  <c:v>1</c:v>
                </c:pt>
                <c:pt idx="1">
                  <c:v>2</c:v>
                </c:pt>
                <c:pt idx="2">
                  <c:v>3</c:v>
                </c:pt>
                <c:pt idx="3">
                  <c:v>4</c:v>
                </c:pt>
                <c:pt idx="4">
                  <c:v>5</c:v>
                </c:pt>
              </c:numCache>
            </c:numRef>
          </c:cat>
          <c:val>
            <c:numRef>
              <c:f>'Водний стан корені'!$AB$2:$AB$6</c:f>
              <c:numCache>
                <c:formatCode>0.0</c:formatCode>
                <c:ptCount val="5"/>
                <c:pt idx="0">
                  <c:v>45.913043478261365</c:v>
                </c:pt>
                <c:pt idx="1">
                  <c:v>41.555766793409376</c:v>
                </c:pt>
                <c:pt idx="2">
                  <c:v>46.089410104929158</c:v>
                </c:pt>
                <c:pt idx="3">
                  <c:v>48.515452957703594</c:v>
                </c:pt>
                <c:pt idx="4">
                  <c:v>52.615992102665281</c:v>
                </c:pt>
              </c:numCache>
            </c:numRef>
          </c:val>
          <c:extLst xmlns:c16r2="http://schemas.microsoft.com/office/drawing/2015/06/chart">
            <c:ext xmlns:c16="http://schemas.microsoft.com/office/drawing/2014/chart" uri="{C3380CC4-5D6E-409C-BE32-E72D297353CC}">
              <c16:uniqueId val="{00000003-DFDF-4CE0-BC31-60F118721BAD}"/>
            </c:ext>
          </c:extLst>
        </c:ser>
        <c:dLbls/>
        <c:marker val="1"/>
        <c:axId val="90866432"/>
        <c:axId val="90868352"/>
      </c:lineChart>
      <c:catAx>
        <c:axId val="9086643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859971380577824"/>
              <c:y val="0.8042455448492325"/>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868352"/>
        <c:crosses val="autoZero"/>
        <c:auto val="1"/>
        <c:lblAlgn val="ctr"/>
        <c:lblOffset val="100"/>
      </c:catAx>
      <c:valAx>
        <c:axId val="90868352"/>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2.7777777777777861E-3"/>
              <c:y val="1.5927748614756501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0866432"/>
        <c:crosses val="autoZero"/>
        <c:crossBetween val="between"/>
      </c:valAx>
      <c:spPr>
        <a:noFill/>
        <a:ln>
          <a:noFill/>
        </a:ln>
        <a:effectLst/>
      </c:spPr>
    </c:plotArea>
    <c:legend>
      <c:legendPos val="b"/>
      <c:layout>
        <c:manualLayout>
          <c:xMode val="edge"/>
          <c:yMode val="edge"/>
          <c:x val="4.9409448818897692E-4"/>
          <c:y val="0.90115777194517355"/>
          <c:w val="0.99067825896762907"/>
          <c:h val="9.8842228054826564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4.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093752659686446"/>
          <c:y val="7.0931179713201453E-2"/>
          <c:w val="0.86601630706959265"/>
          <c:h val="0.6325960257373594"/>
        </c:manualLayout>
      </c:layout>
      <c:barChart>
        <c:barDir val="col"/>
        <c:grouping val="clustered"/>
        <c:ser>
          <c:idx val="0"/>
          <c:order val="0"/>
          <c:tx>
            <c:strRef>
              <c:f>'1'!$B$1</c:f>
              <c:strCache>
                <c:ptCount val="1"/>
                <c:pt idx="0">
                  <c:v>Добриня</c:v>
                </c:pt>
              </c:strCache>
            </c:strRef>
          </c:tx>
          <c:spPr>
            <a:pattFill prst="pct70">
              <a:fgClr>
                <a:schemeClr val="tx1"/>
              </a:fgClr>
              <a:bgClr>
                <a:schemeClr val="bg1"/>
              </a:bgClr>
            </a:pattFill>
            <a:ln>
              <a:solidFill>
                <a:schemeClr val="tx1"/>
              </a:solidFill>
            </a:ln>
          </c:spPr>
          <c:cat>
            <c:numRef>
              <c:f>'1'!$A$2:$A$13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'1'!$B$2:$B$13</c:f>
              <c:numCache>
                <c:formatCode>0.0</c:formatCode>
                <c:ptCount val="12"/>
                <c:pt idx="0">
                  <c:v>27.433333333333223</c:v>
                </c:pt>
                <c:pt idx="1">
                  <c:v>26.6666666666667</c:v>
                </c:pt>
                <c:pt idx="2">
                  <c:v>29.43687590000004</c:v>
                </c:pt>
                <c:pt idx="3">
                  <c:v>28.5</c:v>
                </c:pt>
                <c:pt idx="4">
                  <c:v>23.2</c:v>
                </c:pt>
                <c:pt idx="5">
                  <c:v>22</c:v>
                </c:pt>
                <c:pt idx="6">
                  <c:v>34</c:v>
                </c:pt>
                <c:pt idx="7">
                  <c:v>32.4</c:v>
                </c:pt>
                <c:pt idx="8">
                  <c:v>35.1</c:v>
                </c:pt>
                <c:pt idx="9">
                  <c:v>32.5</c:v>
                </c:pt>
                <c:pt idx="10">
                  <c:v>39</c:v>
                </c:pt>
                <c:pt idx="11">
                  <c:v>37</c:v>
                </c:pt>
              </c:numCache>
            </c:numRef>
          </c:val>
          <c:extLst xmlns:c16r2="http://schemas.microsoft.com/office/drawing/2015/06/chart">
            <c:ext xmlns:c16="http://schemas.microsoft.com/office/drawing/2014/chart" uri="{C3380CC4-5D6E-409C-BE32-E72D297353CC}">
              <c16:uniqueId val="{00000000-7015-42AD-BA98-2AE23EE86672}"/>
            </c:ext>
          </c:extLst>
        </c:ser>
        <c:ser>
          <c:idx val="1"/>
          <c:order val="1"/>
          <c:tx>
            <c:strRef>
              <c:f>'1'!$C$1</c:f>
              <c:strCache>
                <c:ptCount val="1"/>
                <c:pt idx="0">
                  <c:v>Гарант</c:v>
                </c:pt>
              </c:strCache>
            </c:strRef>
          </c:tx>
          <c:spPr>
            <a:solidFill>
              <a:schemeClr val="bg2"/>
            </a:solidFill>
            <a:ln>
              <a:solidFill>
                <a:sysClr val="windowText" lastClr="000000"/>
              </a:solidFill>
            </a:ln>
          </c:spPr>
          <c:cat>
            <c:numRef>
              <c:f>'1'!$A$2:$A$13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'1'!$C$2:$C$13</c:f>
              <c:numCache>
                <c:formatCode>0.0</c:formatCode>
                <c:ptCount val="12"/>
                <c:pt idx="0">
                  <c:v>32.166666666666579</c:v>
                </c:pt>
                <c:pt idx="1">
                  <c:v>30.6666666666667</c:v>
                </c:pt>
                <c:pt idx="2">
                  <c:v>33.755555555555603</c:v>
                </c:pt>
                <c:pt idx="3">
                  <c:v>32.75</c:v>
                </c:pt>
                <c:pt idx="4">
                  <c:v>26</c:v>
                </c:pt>
                <c:pt idx="5">
                  <c:v>25</c:v>
                </c:pt>
                <c:pt idx="6">
                  <c:v>40</c:v>
                </c:pt>
                <c:pt idx="7">
                  <c:v>37.5</c:v>
                </c:pt>
                <c:pt idx="8">
                  <c:v>41</c:v>
                </c:pt>
                <c:pt idx="9">
                  <c:v>39.5</c:v>
                </c:pt>
                <c:pt idx="10">
                  <c:v>46</c:v>
                </c:pt>
                <c:pt idx="11">
                  <c:v>43.5</c:v>
                </c:pt>
              </c:numCache>
            </c:numRef>
          </c:val>
          <c:extLst xmlns:c16r2="http://schemas.microsoft.com/office/drawing/2015/06/chart">
            <c:ext xmlns:c16="http://schemas.microsoft.com/office/drawing/2014/chart" uri="{C3380CC4-5D6E-409C-BE32-E72D297353CC}">
              <c16:uniqueId val="{00000001-7015-42AD-BA98-2AE23EE86672}"/>
            </c:ext>
          </c:extLst>
        </c:ser>
        <c:dLbls/>
        <c:axId val="90907776"/>
        <c:axId val="90909696"/>
      </c:barChart>
      <c:catAx>
        <c:axId val="90907776"/>
        <c:scaling>
          <c:orientation val="minMax"/>
        </c:scaling>
        <c:axPos val="b"/>
        <c:title>
          <c:tx>
            <c:rich>
              <a:bodyPr/>
              <a:lstStyle/>
              <a:p>
                <a:pPr>
                  <a:defRPr sz="1000"/>
                </a:pPr>
                <a:r>
                  <a:rPr lang="uk-UA" sz="1000"/>
                  <a:t>Варіанти досліду</a:t>
                </a:r>
              </a:p>
            </c:rich>
          </c:tx>
          <c:layout>
            <c:manualLayout>
              <c:xMode val="edge"/>
              <c:yMode val="edge"/>
              <c:x val="0.81797356998831483"/>
              <c:y val="0.81882334143567459"/>
            </c:manualLayout>
          </c:layout>
        </c:title>
        <c:numFmt formatCode="General" sourceLinked="0"/>
        <c:majorTickMark val="in"/>
        <c:tickLblPos val="nextTo"/>
        <c:spPr>
          <a:ln>
            <a:solidFill>
              <a:schemeClr val="tx1"/>
            </a:solidFill>
          </a:ln>
        </c:spPr>
        <c:crossAx val="90909696"/>
        <c:crosses val="autoZero"/>
        <c:auto val="1"/>
        <c:lblAlgn val="ctr"/>
        <c:lblOffset val="100"/>
      </c:catAx>
      <c:valAx>
        <c:axId val="90909696"/>
        <c:scaling>
          <c:orientation val="minMax"/>
          <c:max val="60"/>
          <c:min val="0"/>
        </c:scaling>
        <c:axPos val="l"/>
        <c:majorGridlines>
          <c:spPr>
            <a:ln>
              <a:solidFill>
                <a:schemeClr val="bg2"/>
              </a:solidFill>
            </a:ln>
          </c:spPr>
        </c:majorGridlines>
        <c:title>
          <c:tx>
            <c:rich>
              <a:bodyPr rot="0" vert="horz"/>
              <a:lstStyle/>
              <a:p>
                <a:pPr>
                  <a:defRPr/>
                </a:pPr>
                <a:r>
                  <a:rPr lang="uk-UA"/>
                  <a:t>шт.</a:t>
                </a:r>
              </a:p>
            </c:rich>
          </c:tx>
          <c:layout>
            <c:manualLayout>
              <c:xMode val="edge"/>
              <c:yMode val="edge"/>
              <c:x val="2.2802398844305795E-4"/>
              <c:y val="7.2621535780361063E-3"/>
            </c:manualLayout>
          </c:layout>
        </c:title>
        <c:numFmt formatCode="General" sourceLinked="0"/>
        <c:majorTickMark val="in"/>
        <c:tickLblPos val="nextTo"/>
        <c:spPr>
          <a:ln>
            <a:solidFill>
              <a:schemeClr val="tx1"/>
            </a:solidFill>
          </a:ln>
        </c:spPr>
        <c:crossAx val="90907776"/>
        <c:crosses val="autoZero"/>
        <c:crossBetween val="between"/>
      </c:valAx>
    </c:plotArea>
    <c:legend>
      <c:legendPos val="b"/>
      <c:layout>
        <c:manualLayout>
          <c:xMode val="edge"/>
          <c:yMode val="edge"/>
          <c:x val="2.3767658365898567E-3"/>
          <c:y val="0.87042729322026424"/>
          <c:w val="0.99524646832682029"/>
          <c:h val="0.12957270677973587"/>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5.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986867365960882"/>
          <c:y val="6.5160964392725326E-2"/>
          <c:w val="0.84936459484226257"/>
          <c:h val="0.61069611873737062"/>
        </c:manualLayout>
      </c:layout>
      <c:barChart>
        <c:barDir val="col"/>
        <c:grouping val="clustered"/>
        <c:ser>
          <c:idx val="0"/>
          <c:order val="0"/>
          <c:tx>
            <c:strRef>
              <c:f>'1'!$B$15</c:f>
              <c:strCache>
                <c:ptCount val="1"/>
                <c:pt idx="0">
                  <c:v>Ярило</c:v>
                </c:pt>
              </c:strCache>
            </c:strRef>
          </c:tx>
          <c:spPr>
            <a:pattFill prst="pct70">
              <a:fgClr>
                <a:schemeClr val="tx1"/>
              </a:fgClr>
              <a:bgClr>
                <a:schemeClr val="bg1"/>
              </a:bgClr>
            </a:pattFill>
            <a:ln>
              <a:solidFill>
                <a:sysClr val="windowText" lastClr="000000"/>
              </a:solidFill>
            </a:ln>
          </c:spPr>
          <c:cat>
            <c:numRef>
              <c:f>'1'!$A$16:$A$27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'1'!$B$16:$B$27</c:f>
              <c:numCache>
                <c:formatCode>0.0</c:formatCode>
                <c:ptCount val="12"/>
                <c:pt idx="0">
                  <c:v>25</c:v>
                </c:pt>
                <c:pt idx="1">
                  <c:v>24.1666666666667</c:v>
                </c:pt>
                <c:pt idx="2">
                  <c:v>27.0588235294118</c:v>
                </c:pt>
                <c:pt idx="3">
                  <c:v>26</c:v>
                </c:pt>
                <c:pt idx="4">
                  <c:v>22</c:v>
                </c:pt>
                <c:pt idx="5">
                  <c:v>21</c:v>
                </c:pt>
                <c:pt idx="6">
                  <c:v>31</c:v>
                </c:pt>
                <c:pt idx="7">
                  <c:v>30</c:v>
                </c:pt>
                <c:pt idx="8">
                  <c:v>32</c:v>
                </c:pt>
                <c:pt idx="9">
                  <c:v>30.5</c:v>
                </c:pt>
                <c:pt idx="10">
                  <c:v>36</c:v>
                </c:pt>
                <c:pt idx="11">
                  <c:v>34</c:v>
                </c:pt>
              </c:numCache>
            </c:numRef>
          </c:val>
          <c:extLst xmlns:c16r2="http://schemas.microsoft.com/office/drawing/2015/06/chart">
            <c:ext xmlns:c16="http://schemas.microsoft.com/office/drawing/2014/chart" uri="{C3380CC4-5D6E-409C-BE32-E72D297353CC}">
              <c16:uniqueId val="{00000000-713A-4523-BD63-8DC25ADB6E23}"/>
            </c:ext>
          </c:extLst>
        </c:ser>
        <c:ser>
          <c:idx val="1"/>
          <c:order val="1"/>
          <c:tx>
            <c:strRef>
              <c:f>'1'!$C$15</c:f>
              <c:strCache>
                <c:ptCount val="1"/>
                <c:pt idx="0">
                  <c:v>Загрей</c:v>
                </c:pt>
              </c:strCache>
            </c:strRef>
          </c:tx>
          <c:spPr>
            <a:solidFill>
              <a:schemeClr val="bg2"/>
            </a:solidFill>
            <a:ln>
              <a:solidFill>
                <a:sysClr val="windowText" lastClr="000000"/>
              </a:solidFill>
            </a:ln>
          </c:spPr>
          <c:cat>
            <c:numRef>
              <c:f>'1'!$A$16:$A$27</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'1'!$C$16:$C$27</c:f>
              <c:numCache>
                <c:formatCode>0.0</c:formatCode>
                <c:ptCount val="12"/>
                <c:pt idx="0">
                  <c:v>24</c:v>
                </c:pt>
                <c:pt idx="1">
                  <c:v>23</c:v>
                </c:pt>
                <c:pt idx="2">
                  <c:v>26</c:v>
                </c:pt>
                <c:pt idx="3">
                  <c:v>25</c:v>
                </c:pt>
                <c:pt idx="4">
                  <c:v>21</c:v>
                </c:pt>
                <c:pt idx="5">
                  <c:v>20</c:v>
                </c:pt>
                <c:pt idx="6">
                  <c:v>31</c:v>
                </c:pt>
                <c:pt idx="7">
                  <c:v>30</c:v>
                </c:pt>
                <c:pt idx="8">
                  <c:v>29</c:v>
                </c:pt>
                <c:pt idx="9">
                  <c:v>28</c:v>
                </c:pt>
                <c:pt idx="10">
                  <c:v>35</c:v>
                </c:pt>
                <c:pt idx="11">
                  <c:v>33</c:v>
                </c:pt>
              </c:numCache>
            </c:numRef>
          </c:val>
          <c:extLst xmlns:c16r2="http://schemas.microsoft.com/office/drawing/2015/06/chart">
            <c:ext xmlns:c16="http://schemas.microsoft.com/office/drawing/2014/chart" uri="{C3380CC4-5D6E-409C-BE32-E72D297353CC}">
              <c16:uniqueId val="{00000001-713A-4523-BD63-8DC25ADB6E23}"/>
            </c:ext>
          </c:extLst>
        </c:ser>
        <c:dLbls/>
        <c:axId val="91031040"/>
        <c:axId val="91032960"/>
      </c:barChart>
      <c:catAx>
        <c:axId val="91031040"/>
        <c:scaling>
          <c:orientation val="minMax"/>
        </c:scaling>
        <c:axPos val="b"/>
        <c:title>
          <c:tx>
            <c:rich>
              <a:bodyPr/>
              <a:lstStyle/>
              <a:p>
                <a:pPr>
                  <a:defRPr sz="1000"/>
                </a:pPr>
                <a:r>
                  <a:rPr lang="uk-UA" sz="1000"/>
                  <a:t>Варіанти досліду</a:t>
                </a:r>
              </a:p>
            </c:rich>
          </c:tx>
          <c:layout>
            <c:manualLayout>
              <c:xMode val="edge"/>
              <c:yMode val="edge"/>
              <c:x val="0.81919778480330829"/>
              <c:y val="0.79462686567164176"/>
            </c:manualLayout>
          </c:layout>
        </c:title>
        <c:numFmt formatCode="General" sourceLinked="0"/>
        <c:majorTickMark val="in"/>
        <c:tickLblPos val="nextTo"/>
        <c:spPr>
          <a:ln>
            <a:solidFill>
              <a:schemeClr val="tx1"/>
            </a:solidFill>
          </a:ln>
        </c:spPr>
        <c:crossAx val="91032960"/>
        <c:crosses val="autoZero"/>
        <c:auto val="1"/>
        <c:lblAlgn val="ctr"/>
        <c:lblOffset val="100"/>
      </c:catAx>
      <c:valAx>
        <c:axId val="91032960"/>
        <c:scaling>
          <c:orientation val="minMax"/>
          <c:max val="60"/>
        </c:scaling>
        <c:axPos val="l"/>
        <c:majorGridlines>
          <c:spPr>
            <a:ln>
              <a:solidFill>
                <a:schemeClr val="bg2"/>
              </a:solidFill>
            </a:ln>
          </c:spPr>
        </c:majorGridlines>
        <c:title>
          <c:tx>
            <c:rich>
              <a:bodyPr rot="0" vert="horz"/>
              <a:lstStyle/>
              <a:p>
                <a:pPr>
                  <a:defRPr/>
                </a:pPr>
                <a:r>
                  <a:rPr lang="uk-UA"/>
                  <a:t>шт.</a:t>
                </a:r>
              </a:p>
            </c:rich>
          </c:tx>
          <c:layout>
            <c:manualLayout>
              <c:xMode val="edge"/>
              <c:yMode val="edge"/>
              <c:x val="2.4637889426817308E-4"/>
              <c:y val="3.5775671846328991E-3"/>
            </c:manualLayout>
          </c:layout>
        </c:title>
        <c:numFmt formatCode="General" sourceLinked="0"/>
        <c:majorTickMark val="in"/>
        <c:tickLblPos val="nextTo"/>
        <c:spPr>
          <a:ln>
            <a:solidFill>
              <a:schemeClr val="tx1"/>
            </a:solidFill>
          </a:ln>
        </c:spPr>
        <c:crossAx val="91031040"/>
        <c:crosses val="autoZero"/>
        <c:crossBetween val="between"/>
        <c:majorUnit val="20"/>
      </c:valAx>
    </c:plotArea>
    <c:legend>
      <c:legendPos val="b"/>
      <c:layout>
        <c:manualLayout>
          <c:xMode val="edge"/>
          <c:yMode val="edge"/>
          <c:x val="2.3767658365898567E-3"/>
          <c:y val="0.88813149442660122"/>
          <c:w val="0.95876221467959266"/>
          <c:h val="0.11186850557339884"/>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6.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4902142070950808"/>
          <c:y val="8.9163627703436985E-2"/>
          <c:w val="0.82732266531199727"/>
          <c:h val="0.6066201689193339"/>
        </c:manualLayout>
      </c:layout>
      <c:barChart>
        <c:barDir val="col"/>
        <c:grouping val="clustered"/>
        <c:ser>
          <c:idx val="0"/>
          <c:order val="0"/>
          <c:tx>
            <c:strRef>
              <c:f>'2'!$B$1</c:f>
              <c:strCache>
                <c:ptCount val="1"/>
                <c:pt idx="0">
                  <c:v>Добриня</c:v>
                </c:pt>
              </c:strCache>
            </c:strRef>
          </c:tx>
          <c:spPr>
            <a:pattFill prst="dkDnDiag">
              <a:fgClr>
                <a:schemeClr val="tx1"/>
              </a:fgClr>
              <a:bgClr>
                <a:schemeClr val="bg1"/>
              </a:bgClr>
            </a:pattFill>
            <a:ln>
              <a:solidFill>
                <a:schemeClr val="tx1"/>
              </a:solidFill>
            </a:ln>
          </c:spPr>
          <c:cat>
            <c:numRef>
              <c:f>'2'!$A$2:$A$13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'2'!$B$2:$B$13</c:f>
              <c:numCache>
                <c:formatCode>0.0</c:formatCode>
                <c:ptCount val="12"/>
                <c:pt idx="0">
                  <c:v>493.79999999999899</c:v>
                </c:pt>
                <c:pt idx="1">
                  <c:v>469.333333333334</c:v>
                </c:pt>
                <c:pt idx="2">
                  <c:v>735.9218975</c:v>
                </c:pt>
                <c:pt idx="3">
                  <c:v>624.15</c:v>
                </c:pt>
                <c:pt idx="4">
                  <c:v>607.83999999999946</c:v>
                </c:pt>
                <c:pt idx="5">
                  <c:v>534.6</c:v>
                </c:pt>
                <c:pt idx="6">
                  <c:v>748</c:v>
                </c:pt>
                <c:pt idx="7">
                  <c:v>690.12</c:v>
                </c:pt>
                <c:pt idx="8">
                  <c:v>849.42</c:v>
                </c:pt>
                <c:pt idx="9">
                  <c:v>757.25</c:v>
                </c:pt>
                <c:pt idx="10">
                  <c:v>900.90000000000009</c:v>
                </c:pt>
                <c:pt idx="11">
                  <c:v>762.2</c:v>
                </c:pt>
              </c:numCache>
            </c:numRef>
          </c:val>
          <c:extLst xmlns:c16r2="http://schemas.microsoft.com/office/drawing/2015/06/chart">
            <c:ext xmlns:c16="http://schemas.microsoft.com/office/drawing/2014/chart" uri="{C3380CC4-5D6E-409C-BE32-E72D297353CC}">
              <c16:uniqueId val="{00000000-1FBD-435F-8C50-3ECF41003463}"/>
            </c:ext>
          </c:extLst>
        </c:ser>
        <c:ser>
          <c:idx val="1"/>
          <c:order val="1"/>
          <c:tx>
            <c:strRef>
              <c:f>'2'!$C$1</c:f>
              <c:strCache>
                <c:ptCount val="1"/>
                <c:pt idx="0">
                  <c:v>Гарант</c:v>
                </c:pt>
              </c:strCache>
            </c:strRef>
          </c:tx>
          <c:spPr>
            <a:solidFill>
              <a:schemeClr val="bg2">
                <a:lumMod val="50000"/>
              </a:schemeClr>
            </a:solidFill>
            <a:ln>
              <a:solidFill>
                <a:sysClr val="windowText" lastClr="000000"/>
              </a:solidFill>
            </a:ln>
          </c:spPr>
          <c:cat>
            <c:numRef>
              <c:f>'2'!$A$2:$A$13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'2'!$C$2:$C$13</c:f>
              <c:numCache>
                <c:formatCode>0.0</c:formatCode>
                <c:ptCount val="12"/>
                <c:pt idx="0">
                  <c:v>643.33333333333394</c:v>
                </c:pt>
                <c:pt idx="1">
                  <c:v>499.8666666666673</c:v>
                </c:pt>
                <c:pt idx="2">
                  <c:v>820.26000000000113</c:v>
                </c:pt>
                <c:pt idx="3">
                  <c:v>723.77500000000055</c:v>
                </c:pt>
                <c:pt idx="4">
                  <c:v>689</c:v>
                </c:pt>
                <c:pt idx="5">
                  <c:v>502.50000000000006</c:v>
                </c:pt>
                <c:pt idx="6">
                  <c:v>972</c:v>
                </c:pt>
                <c:pt idx="7">
                  <c:v>791.25</c:v>
                </c:pt>
                <c:pt idx="8">
                  <c:v>959.4</c:v>
                </c:pt>
                <c:pt idx="9">
                  <c:v>948</c:v>
                </c:pt>
                <c:pt idx="10">
                  <c:v>1035</c:v>
                </c:pt>
                <c:pt idx="11">
                  <c:v>891.75</c:v>
                </c:pt>
              </c:numCache>
            </c:numRef>
          </c:val>
          <c:extLst xmlns:c16r2="http://schemas.microsoft.com/office/drawing/2015/06/chart">
            <c:ext xmlns:c16="http://schemas.microsoft.com/office/drawing/2014/chart" uri="{C3380CC4-5D6E-409C-BE32-E72D297353CC}">
              <c16:uniqueId val="{00000001-1FBD-435F-8C50-3ECF41003463}"/>
            </c:ext>
          </c:extLst>
        </c:ser>
        <c:dLbls/>
        <c:axId val="91076480"/>
        <c:axId val="91090944"/>
      </c:barChart>
      <c:catAx>
        <c:axId val="91076480"/>
        <c:scaling>
          <c:orientation val="minMax"/>
        </c:scaling>
        <c:axPos val="b"/>
        <c:title>
          <c:tx>
            <c:rich>
              <a:bodyPr/>
              <a:lstStyle/>
              <a:p>
                <a:pPr>
                  <a:defRPr sz="1000"/>
                </a:pPr>
                <a:r>
                  <a:rPr lang="uk-UA" sz="1000"/>
                  <a:t>Варіанти досліду</a:t>
                </a:r>
              </a:p>
            </c:rich>
          </c:tx>
          <c:layout>
            <c:manualLayout>
              <c:xMode val="edge"/>
              <c:yMode val="edge"/>
              <c:x val="0.81939752704548563"/>
              <c:y val="0.82871991237667775"/>
            </c:manualLayout>
          </c:layout>
        </c:title>
        <c:numFmt formatCode="General" sourceLinked="0"/>
        <c:majorTickMark val="in"/>
        <c:tickLblPos val="nextTo"/>
        <c:spPr>
          <a:ln>
            <a:solidFill>
              <a:schemeClr val="tx1"/>
            </a:solidFill>
          </a:ln>
        </c:spPr>
        <c:crossAx val="91090944"/>
        <c:crosses val="autoZero"/>
        <c:auto val="1"/>
        <c:lblAlgn val="ctr"/>
        <c:lblOffset val="100"/>
      </c:catAx>
      <c:valAx>
        <c:axId val="91090944"/>
        <c:scaling>
          <c:orientation val="minMax"/>
        </c:scaling>
        <c:axPos val="l"/>
        <c:majorGridlines>
          <c:spPr>
            <a:ln>
              <a:solidFill>
                <a:schemeClr val="bg2"/>
              </a:solidFill>
            </a:ln>
          </c:spPr>
        </c:majorGridlines>
        <c:title>
          <c:tx>
            <c:rich>
              <a:bodyPr rot="0" vert="horz"/>
              <a:lstStyle/>
              <a:p>
                <a:pPr>
                  <a:defRPr/>
                </a:pPr>
                <a:r>
                  <a:rPr lang="uk-UA"/>
                  <a:t>шт.</a:t>
                </a:r>
              </a:p>
            </c:rich>
          </c:tx>
          <c:layout>
            <c:manualLayout>
              <c:xMode val="edge"/>
              <c:yMode val="edge"/>
              <c:x val="2.7637582934510719E-3"/>
              <c:y val="1.5281385281385318E-2"/>
            </c:manualLayout>
          </c:layout>
        </c:title>
        <c:numFmt formatCode="General" sourceLinked="0"/>
        <c:majorTickMark val="in"/>
        <c:tickLblPos val="nextTo"/>
        <c:spPr>
          <a:ln>
            <a:solidFill>
              <a:schemeClr val="tx1"/>
            </a:solidFill>
          </a:ln>
        </c:spPr>
        <c:crossAx val="91076480"/>
        <c:crosses val="autoZero"/>
        <c:crossBetween val="between"/>
        <c:majorUnit val="200"/>
      </c:valAx>
    </c:plotArea>
    <c:legend>
      <c:legendPos val="b"/>
      <c:layout>
        <c:manualLayout>
          <c:xMode val="edge"/>
          <c:yMode val="edge"/>
          <c:x val="2.3767658365898567E-3"/>
          <c:y val="0.86607028563773591"/>
          <c:w val="0.94990596289497209"/>
          <c:h val="0.13392971436226442"/>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7.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5138548523946163"/>
          <c:y val="7.4187130718249353E-2"/>
          <c:w val="0.824958671922567"/>
          <c:h val="0.58991623586844333"/>
        </c:manualLayout>
      </c:layout>
      <c:barChart>
        <c:barDir val="col"/>
        <c:grouping val="clustered"/>
        <c:ser>
          <c:idx val="0"/>
          <c:order val="0"/>
          <c:tx>
            <c:strRef>
              <c:f>'2'!$B$16</c:f>
              <c:strCache>
                <c:ptCount val="1"/>
                <c:pt idx="0">
                  <c:v>Ярило</c:v>
                </c:pt>
              </c:strCache>
            </c:strRef>
          </c:tx>
          <c:spPr>
            <a:pattFill prst="dkDnDiag">
              <a:fgClr>
                <a:schemeClr val="tx1"/>
              </a:fgClr>
              <a:bgClr>
                <a:schemeClr val="bg1"/>
              </a:bgClr>
            </a:pattFill>
            <a:ln>
              <a:solidFill>
                <a:sysClr val="windowText" lastClr="000000"/>
              </a:solidFill>
            </a:ln>
          </c:spPr>
          <c:cat>
            <c:numRef>
              <c:f>'2'!$A$17:$A$28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'2'!$B$17:$B$28</c:f>
              <c:numCache>
                <c:formatCode>0.0</c:formatCode>
                <c:ptCount val="12"/>
                <c:pt idx="0">
                  <c:v>357.5</c:v>
                </c:pt>
                <c:pt idx="1">
                  <c:v>323.83333333333377</c:v>
                </c:pt>
                <c:pt idx="2">
                  <c:v>633.17647058823752</c:v>
                </c:pt>
                <c:pt idx="3">
                  <c:v>418.6</c:v>
                </c:pt>
                <c:pt idx="4">
                  <c:v>501.6</c:v>
                </c:pt>
                <c:pt idx="5">
                  <c:v>340.2</c:v>
                </c:pt>
                <c:pt idx="6">
                  <c:v>530.1</c:v>
                </c:pt>
                <c:pt idx="7">
                  <c:v>468</c:v>
                </c:pt>
                <c:pt idx="8">
                  <c:v>704</c:v>
                </c:pt>
                <c:pt idx="9">
                  <c:v>567.30000000000007</c:v>
                </c:pt>
                <c:pt idx="10">
                  <c:v>576</c:v>
                </c:pt>
                <c:pt idx="11">
                  <c:v>537.20000000000005</c:v>
                </c:pt>
              </c:numCache>
            </c:numRef>
          </c:val>
          <c:extLst xmlns:c16r2="http://schemas.microsoft.com/office/drawing/2015/06/chart">
            <c:ext xmlns:c16="http://schemas.microsoft.com/office/drawing/2014/chart" uri="{C3380CC4-5D6E-409C-BE32-E72D297353CC}">
              <c16:uniqueId val="{00000000-D373-4E2B-872E-572C747C6C65}"/>
            </c:ext>
          </c:extLst>
        </c:ser>
        <c:ser>
          <c:idx val="1"/>
          <c:order val="1"/>
          <c:tx>
            <c:strRef>
              <c:f>'2'!$C$16</c:f>
              <c:strCache>
                <c:ptCount val="1"/>
                <c:pt idx="0">
                  <c:v>Загрей</c:v>
                </c:pt>
              </c:strCache>
            </c:strRef>
          </c:tx>
          <c:spPr>
            <a:solidFill>
              <a:schemeClr val="bg2">
                <a:lumMod val="50000"/>
              </a:schemeClr>
            </a:solidFill>
            <a:ln>
              <a:solidFill>
                <a:sysClr val="windowText" lastClr="000000"/>
              </a:solidFill>
            </a:ln>
          </c:spPr>
          <c:cat>
            <c:numRef>
              <c:f>'2'!$A$17:$A$28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'2'!$C$17:$C$28</c:f>
              <c:numCache>
                <c:formatCode>0.0</c:formatCode>
                <c:ptCount val="12"/>
                <c:pt idx="0">
                  <c:v>314.39999999999969</c:v>
                </c:pt>
                <c:pt idx="1">
                  <c:v>292.09999999999945</c:v>
                </c:pt>
                <c:pt idx="2">
                  <c:v>496.6</c:v>
                </c:pt>
                <c:pt idx="3">
                  <c:v>365</c:v>
                </c:pt>
                <c:pt idx="4">
                  <c:v>392.7</c:v>
                </c:pt>
                <c:pt idx="5">
                  <c:v>338</c:v>
                </c:pt>
                <c:pt idx="6">
                  <c:v>489.8</c:v>
                </c:pt>
                <c:pt idx="7">
                  <c:v>462</c:v>
                </c:pt>
                <c:pt idx="8">
                  <c:v>527.79999999999995</c:v>
                </c:pt>
                <c:pt idx="9">
                  <c:v>498.40000000000003</c:v>
                </c:pt>
                <c:pt idx="10">
                  <c:v>532</c:v>
                </c:pt>
                <c:pt idx="11">
                  <c:v>471.90000000000003</c:v>
                </c:pt>
              </c:numCache>
            </c:numRef>
          </c:val>
          <c:extLst xmlns:c16r2="http://schemas.microsoft.com/office/drawing/2015/06/chart">
            <c:ext xmlns:c16="http://schemas.microsoft.com/office/drawing/2014/chart" uri="{C3380CC4-5D6E-409C-BE32-E72D297353CC}">
              <c16:uniqueId val="{00000001-D373-4E2B-872E-572C747C6C65}"/>
            </c:ext>
          </c:extLst>
        </c:ser>
        <c:dLbls/>
        <c:axId val="91134208"/>
        <c:axId val="91136384"/>
      </c:barChart>
      <c:catAx>
        <c:axId val="91134208"/>
        <c:scaling>
          <c:orientation val="minMax"/>
        </c:scaling>
        <c:axPos val="b"/>
        <c:title>
          <c:tx>
            <c:rich>
              <a:bodyPr/>
              <a:lstStyle/>
              <a:p>
                <a:pPr>
                  <a:defRPr sz="1000"/>
                </a:pPr>
                <a:r>
                  <a:rPr lang="uk-UA" sz="1000"/>
                  <a:t>Варіанти досліду</a:t>
                </a:r>
              </a:p>
            </c:rich>
          </c:tx>
          <c:layout>
            <c:manualLayout>
              <c:xMode val="edge"/>
              <c:yMode val="edge"/>
              <c:x val="0.81922581899582092"/>
              <c:y val="0.78736668710350755"/>
            </c:manualLayout>
          </c:layout>
        </c:title>
        <c:numFmt formatCode="General" sourceLinked="0"/>
        <c:majorTickMark val="in"/>
        <c:tickLblPos val="nextTo"/>
        <c:spPr>
          <a:ln>
            <a:solidFill>
              <a:schemeClr val="tx1"/>
            </a:solidFill>
          </a:ln>
        </c:spPr>
        <c:crossAx val="91136384"/>
        <c:crosses val="autoZero"/>
        <c:auto val="1"/>
        <c:lblAlgn val="ctr"/>
        <c:lblOffset val="100"/>
      </c:catAx>
      <c:valAx>
        <c:axId val="91136384"/>
        <c:scaling>
          <c:orientation val="minMax"/>
          <c:max val="1200"/>
        </c:scaling>
        <c:axPos val="l"/>
        <c:majorGridlines>
          <c:spPr>
            <a:ln>
              <a:solidFill>
                <a:schemeClr val="bg2"/>
              </a:solidFill>
            </a:ln>
          </c:spPr>
        </c:majorGridlines>
        <c:title>
          <c:tx>
            <c:rich>
              <a:bodyPr rot="0" vert="horz"/>
              <a:lstStyle/>
              <a:p>
                <a:pPr>
                  <a:defRPr/>
                </a:pPr>
                <a:r>
                  <a:rPr lang="uk-UA"/>
                  <a:t>шт.</a:t>
                </a:r>
              </a:p>
            </c:rich>
          </c:tx>
          <c:layout>
            <c:manualLayout>
              <c:xMode val="edge"/>
              <c:yMode val="edge"/>
              <c:x val="2.7637582934510719E-3"/>
              <c:y val="1.5281385281385318E-2"/>
            </c:manualLayout>
          </c:layout>
        </c:title>
        <c:numFmt formatCode="General" sourceLinked="0"/>
        <c:majorTickMark val="in"/>
        <c:tickLblPos val="nextTo"/>
        <c:spPr>
          <a:ln>
            <a:solidFill>
              <a:schemeClr val="tx1"/>
            </a:solidFill>
          </a:ln>
        </c:spPr>
        <c:crossAx val="91134208"/>
        <c:crosses val="autoZero"/>
        <c:crossBetween val="between"/>
        <c:majorUnit val="200"/>
      </c:valAx>
    </c:plotArea>
    <c:legend>
      <c:legendPos val="b"/>
      <c:layout>
        <c:manualLayout>
          <c:xMode val="edge"/>
          <c:yMode val="edge"/>
          <c:x val="2.3767658365898567E-3"/>
          <c:y val="0.87328946895336712"/>
          <c:w val="0.9521240796941367"/>
          <c:h val="0.12671053104663291"/>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8.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2116716122651"/>
          <c:y val="5.1356292701560044E-2"/>
          <c:w val="0.85612265084075168"/>
          <c:h val="0.65011526478749171"/>
        </c:manualLayout>
      </c:layout>
      <c:barChart>
        <c:barDir val="col"/>
        <c:grouping val="clustered"/>
        <c:ser>
          <c:idx val="0"/>
          <c:order val="0"/>
          <c:tx>
            <c:strRef>
              <c:f>'3'!$B$1</c:f>
              <c:strCache>
                <c:ptCount val="1"/>
                <c:pt idx="0">
                  <c:v>Добриня</c:v>
                </c:pt>
              </c:strCache>
            </c:strRef>
          </c:tx>
          <c:spPr>
            <a:solidFill>
              <a:schemeClr val="tx1"/>
            </a:solidFill>
            <a:ln>
              <a:solidFill>
                <a:schemeClr val="tx1"/>
              </a:solidFill>
            </a:ln>
          </c:spPr>
          <c:cat>
            <c:numRef>
              <c:f>'3'!$A$2:$A$13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'3'!$B$2:$B$13</c:f>
              <c:numCache>
                <c:formatCode>0.0</c:formatCode>
                <c:ptCount val="12"/>
                <c:pt idx="0">
                  <c:v>24.046732375755276</c:v>
                </c:pt>
                <c:pt idx="1">
                  <c:v>24.461609297135542</c:v>
                </c:pt>
                <c:pt idx="2">
                  <c:v>25.532625631594186</c:v>
                </c:pt>
                <c:pt idx="3">
                  <c:v>25.234375000000032</c:v>
                </c:pt>
                <c:pt idx="4">
                  <c:v>22.348214285714263</c:v>
                </c:pt>
                <c:pt idx="5">
                  <c:v>22.009843750000005</c:v>
                </c:pt>
                <c:pt idx="6">
                  <c:v>26.790940766550531</c:v>
                </c:pt>
                <c:pt idx="7">
                  <c:v>26.097490347490005</c:v>
                </c:pt>
                <c:pt idx="8">
                  <c:v>26.634863123993668</c:v>
                </c:pt>
                <c:pt idx="9">
                  <c:v>26.0555555555556</c:v>
                </c:pt>
                <c:pt idx="10">
                  <c:v>27.857142857142886</c:v>
                </c:pt>
                <c:pt idx="11">
                  <c:v>27.182432432432343</c:v>
                </c:pt>
              </c:numCache>
            </c:numRef>
          </c:val>
          <c:extLst xmlns:c16r2="http://schemas.microsoft.com/office/drawing/2015/06/chart">
            <c:ext xmlns:c16="http://schemas.microsoft.com/office/drawing/2014/chart" uri="{C3380CC4-5D6E-409C-BE32-E72D297353CC}">
              <c16:uniqueId val="{00000000-2EB8-4218-A5F2-CD70A3553149}"/>
            </c:ext>
          </c:extLst>
        </c:ser>
        <c:ser>
          <c:idx val="1"/>
          <c:order val="1"/>
          <c:tx>
            <c:strRef>
              <c:f>'3'!$C$1</c:f>
              <c:strCache>
                <c:ptCount val="1"/>
                <c:pt idx="0">
                  <c:v>Гарант</c:v>
                </c:pt>
              </c:strCache>
            </c:strRef>
          </c:tx>
          <c:spPr>
            <a:solidFill>
              <a:schemeClr val="bg1"/>
            </a:solidFill>
            <a:ln>
              <a:solidFill>
                <a:sysClr val="windowText" lastClr="000000"/>
              </a:solidFill>
            </a:ln>
          </c:spPr>
          <c:cat>
            <c:numRef>
              <c:f>'3'!$A$2:$A$13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'3'!$C$2:$C$13</c:f>
              <c:numCache>
                <c:formatCode>0.0</c:formatCode>
                <c:ptCount val="12"/>
                <c:pt idx="0">
                  <c:v>24.387565062481105</c:v>
                </c:pt>
                <c:pt idx="1">
                  <c:v>24.853263784146101</c:v>
                </c:pt>
                <c:pt idx="2">
                  <c:v>26.459323056904989</c:v>
                </c:pt>
                <c:pt idx="3">
                  <c:v>25.952205882352889</c:v>
                </c:pt>
                <c:pt idx="4">
                  <c:v>23.580645161290199</c:v>
                </c:pt>
                <c:pt idx="5">
                  <c:v>22.641826923077005</c:v>
                </c:pt>
                <c:pt idx="6">
                  <c:v>27.042970379641186</c:v>
                </c:pt>
                <c:pt idx="7">
                  <c:v>26.170454545454632</c:v>
                </c:pt>
                <c:pt idx="8">
                  <c:v>27.486111111111089</c:v>
                </c:pt>
                <c:pt idx="9">
                  <c:v>26.741666666666699</c:v>
                </c:pt>
                <c:pt idx="10">
                  <c:v>28.302083333333247</c:v>
                </c:pt>
                <c:pt idx="11">
                  <c:v>27.738211951447202</c:v>
                </c:pt>
              </c:numCache>
            </c:numRef>
          </c:val>
          <c:extLst xmlns:c16r2="http://schemas.microsoft.com/office/drawing/2015/06/chart">
            <c:ext xmlns:c16="http://schemas.microsoft.com/office/drawing/2014/chart" uri="{C3380CC4-5D6E-409C-BE32-E72D297353CC}">
              <c16:uniqueId val="{00000001-2EB8-4218-A5F2-CD70A3553149}"/>
            </c:ext>
          </c:extLst>
        </c:ser>
        <c:dLbls/>
        <c:axId val="91171456"/>
        <c:axId val="91177728"/>
      </c:barChart>
      <c:catAx>
        <c:axId val="91171456"/>
        <c:scaling>
          <c:orientation val="minMax"/>
        </c:scaling>
        <c:axPos val="b"/>
        <c:title>
          <c:tx>
            <c:rich>
              <a:bodyPr/>
              <a:lstStyle/>
              <a:p>
                <a:pPr>
                  <a:defRPr sz="1000"/>
                </a:pPr>
                <a:r>
                  <a:rPr lang="uk-UA" sz="1000"/>
                  <a:t>Варіанти досліду</a:t>
                </a:r>
              </a:p>
            </c:rich>
          </c:tx>
          <c:layout>
            <c:manualLayout>
              <c:xMode val="edge"/>
              <c:yMode val="edge"/>
              <c:x val="0.82945089598355004"/>
              <c:y val="0.81793807565891574"/>
            </c:manualLayout>
          </c:layout>
        </c:title>
        <c:numFmt formatCode="General" sourceLinked="0"/>
        <c:majorTickMark val="in"/>
        <c:tickLblPos val="nextTo"/>
        <c:spPr>
          <a:ln>
            <a:solidFill>
              <a:schemeClr val="tx1"/>
            </a:solidFill>
          </a:ln>
        </c:spPr>
        <c:crossAx val="91177728"/>
        <c:crosses val="autoZero"/>
        <c:auto val="1"/>
        <c:lblAlgn val="ctr"/>
        <c:lblOffset val="100"/>
      </c:catAx>
      <c:valAx>
        <c:axId val="91177728"/>
        <c:scaling>
          <c:orientation val="minMax"/>
        </c:scaling>
        <c:axPos val="l"/>
        <c:majorGridlines>
          <c:spPr>
            <a:ln>
              <a:solidFill>
                <a:schemeClr val="bg2"/>
              </a:solidFill>
            </a:ln>
          </c:spPr>
        </c:majorGridlines>
        <c:title>
          <c:tx>
            <c:rich>
              <a:bodyPr rot="0" vert="horz"/>
              <a:lstStyle/>
              <a:p>
                <a:pPr>
                  <a:defRPr/>
                </a:pPr>
                <a:r>
                  <a:rPr lang="uk-UA"/>
                  <a:t>мкм</a:t>
                </a:r>
              </a:p>
            </c:rich>
          </c:tx>
          <c:layout>
            <c:manualLayout>
              <c:xMode val="edge"/>
              <c:yMode val="edge"/>
              <c:x val="2.7637582934510719E-3"/>
              <c:y val="1.5281385281385318E-2"/>
            </c:manualLayout>
          </c:layout>
        </c:title>
        <c:numFmt formatCode="General" sourceLinked="0"/>
        <c:majorTickMark val="in"/>
        <c:tickLblPos val="nextTo"/>
        <c:spPr>
          <a:ln>
            <a:solidFill>
              <a:schemeClr val="tx1"/>
            </a:solidFill>
          </a:ln>
        </c:spPr>
        <c:crossAx val="91171456"/>
        <c:crosses val="autoZero"/>
        <c:crossBetween val="between"/>
      </c:valAx>
    </c:plotArea>
    <c:legend>
      <c:legendPos val="b"/>
      <c:layout>
        <c:manualLayout>
          <c:xMode val="edge"/>
          <c:yMode val="edge"/>
          <c:x val="2.3767658365898567E-3"/>
          <c:y val="0.8775621095545989"/>
          <c:w val="0.95653948111654896"/>
          <c:h val="0.12243789044540114"/>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59.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1935802469136"/>
          <c:y val="5.1356292701560044E-2"/>
          <c:w val="0.85633580246913765"/>
          <c:h val="0.6755678491630126"/>
        </c:manualLayout>
      </c:layout>
      <c:barChart>
        <c:barDir val="col"/>
        <c:grouping val="clustered"/>
        <c:ser>
          <c:idx val="0"/>
          <c:order val="0"/>
          <c:tx>
            <c:strRef>
              <c:f>'3'!$B$16</c:f>
              <c:strCache>
                <c:ptCount val="1"/>
                <c:pt idx="0">
                  <c:v>Ярило</c:v>
                </c:pt>
              </c:strCache>
            </c:strRef>
          </c:tx>
          <c:spPr>
            <a:solidFill>
              <a:schemeClr val="tx1"/>
            </a:solidFill>
            <a:ln>
              <a:solidFill>
                <a:sysClr val="windowText" lastClr="000000"/>
              </a:solidFill>
            </a:ln>
          </c:spPr>
          <c:cat>
            <c:numRef>
              <c:f>'3'!$A$17:$A$28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'3'!$B$17:$B$28</c:f>
              <c:numCache>
                <c:formatCode>0.0</c:formatCode>
                <c:ptCount val="12"/>
                <c:pt idx="0">
                  <c:v>23.367778655188101</c:v>
                </c:pt>
                <c:pt idx="1">
                  <c:v>24.150965298142744</c:v>
                </c:pt>
                <c:pt idx="2">
                  <c:v>25.348970063749601</c:v>
                </c:pt>
                <c:pt idx="3">
                  <c:v>24.812819480573086</c:v>
                </c:pt>
                <c:pt idx="4">
                  <c:v>22.574074074074101</c:v>
                </c:pt>
                <c:pt idx="5">
                  <c:v>21.857575757575731</c:v>
                </c:pt>
                <c:pt idx="6">
                  <c:v>26.337848297213544</c:v>
                </c:pt>
                <c:pt idx="7">
                  <c:v>25.405291005290987</c:v>
                </c:pt>
                <c:pt idx="8">
                  <c:v>26.787878787878736</c:v>
                </c:pt>
                <c:pt idx="9">
                  <c:v>26.211647727272705</c:v>
                </c:pt>
                <c:pt idx="10">
                  <c:v>27.571428571428587</c:v>
                </c:pt>
                <c:pt idx="11">
                  <c:v>26.553571428571505</c:v>
                </c:pt>
              </c:numCache>
            </c:numRef>
          </c:val>
          <c:extLst xmlns:c16r2="http://schemas.microsoft.com/office/drawing/2015/06/chart">
            <c:ext xmlns:c16="http://schemas.microsoft.com/office/drawing/2014/chart" uri="{C3380CC4-5D6E-409C-BE32-E72D297353CC}">
              <c16:uniqueId val="{00000000-25C0-40B1-BB97-5E6690577C84}"/>
            </c:ext>
          </c:extLst>
        </c:ser>
        <c:ser>
          <c:idx val="1"/>
          <c:order val="1"/>
          <c:tx>
            <c:strRef>
              <c:f>'3'!$C$16</c:f>
              <c:strCache>
                <c:ptCount val="1"/>
                <c:pt idx="0">
                  <c:v>Загрей</c:v>
                </c:pt>
              </c:strCache>
            </c:strRef>
          </c:tx>
          <c:spPr>
            <a:solidFill>
              <a:schemeClr val="bg1"/>
            </a:solidFill>
            <a:ln>
              <a:solidFill>
                <a:sysClr val="windowText" lastClr="000000"/>
              </a:solidFill>
            </a:ln>
          </c:spPr>
          <c:cat>
            <c:numRef>
              <c:f>'3'!$A$17:$A$28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'3'!$C$17:$C$28</c:f>
              <c:numCache>
                <c:formatCode>0.0</c:formatCode>
                <c:ptCount val="12"/>
                <c:pt idx="0">
                  <c:v>23.324999999999999</c:v>
                </c:pt>
                <c:pt idx="1">
                  <c:v>23.35</c:v>
                </c:pt>
                <c:pt idx="2">
                  <c:v>24.424999999999986</c:v>
                </c:pt>
                <c:pt idx="3">
                  <c:v>24.157499999999999</c:v>
                </c:pt>
                <c:pt idx="4">
                  <c:v>21.125</c:v>
                </c:pt>
                <c:pt idx="5">
                  <c:v>20.924999999999986</c:v>
                </c:pt>
                <c:pt idx="6">
                  <c:v>25.3</c:v>
                </c:pt>
                <c:pt idx="7">
                  <c:v>25.125</c:v>
                </c:pt>
                <c:pt idx="8">
                  <c:v>24.45</c:v>
                </c:pt>
                <c:pt idx="9">
                  <c:v>24.075000000000003</c:v>
                </c:pt>
                <c:pt idx="10">
                  <c:v>24.6</c:v>
                </c:pt>
                <c:pt idx="11">
                  <c:v>23.75</c:v>
                </c:pt>
              </c:numCache>
            </c:numRef>
          </c:val>
          <c:extLst xmlns:c16r2="http://schemas.microsoft.com/office/drawing/2015/06/chart">
            <c:ext xmlns:c16="http://schemas.microsoft.com/office/drawing/2014/chart" uri="{C3380CC4-5D6E-409C-BE32-E72D297353CC}">
              <c16:uniqueId val="{00000001-25C0-40B1-BB97-5E6690577C84}"/>
            </c:ext>
          </c:extLst>
        </c:ser>
        <c:dLbls/>
        <c:axId val="91208704"/>
        <c:axId val="91227264"/>
      </c:barChart>
      <c:catAx>
        <c:axId val="91208704"/>
        <c:scaling>
          <c:orientation val="minMax"/>
        </c:scaling>
        <c:axPos val="b"/>
        <c:title>
          <c:tx>
            <c:rich>
              <a:bodyPr/>
              <a:lstStyle/>
              <a:p>
                <a:pPr>
                  <a:defRPr sz="1000"/>
                </a:pPr>
                <a:r>
                  <a:rPr lang="uk-UA" sz="1000"/>
                  <a:t>Варіанти досліду</a:t>
                </a:r>
              </a:p>
            </c:rich>
          </c:tx>
          <c:layout>
            <c:manualLayout>
              <c:xMode val="edge"/>
              <c:yMode val="edge"/>
              <c:x val="0.82871504003025398"/>
              <c:y val="0.85209957245450196"/>
            </c:manualLayout>
          </c:layout>
        </c:title>
        <c:numFmt formatCode="General" sourceLinked="0"/>
        <c:majorTickMark val="in"/>
        <c:tickLblPos val="nextTo"/>
        <c:spPr>
          <a:ln>
            <a:solidFill>
              <a:schemeClr val="tx1"/>
            </a:solidFill>
          </a:ln>
        </c:spPr>
        <c:crossAx val="91227264"/>
        <c:crosses val="autoZero"/>
        <c:auto val="1"/>
        <c:lblAlgn val="ctr"/>
        <c:lblOffset val="100"/>
      </c:catAx>
      <c:valAx>
        <c:axId val="91227264"/>
        <c:scaling>
          <c:orientation val="minMax"/>
        </c:scaling>
        <c:axPos val="l"/>
        <c:majorGridlines>
          <c:spPr>
            <a:ln>
              <a:solidFill>
                <a:schemeClr val="bg2"/>
              </a:solidFill>
            </a:ln>
          </c:spPr>
        </c:majorGridlines>
        <c:title>
          <c:tx>
            <c:rich>
              <a:bodyPr rot="0" vert="horz"/>
              <a:lstStyle/>
              <a:p>
                <a:pPr>
                  <a:defRPr/>
                </a:pPr>
                <a:r>
                  <a:rPr lang="uk-UA"/>
                  <a:t>мкм</a:t>
                </a:r>
              </a:p>
            </c:rich>
          </c:tx>
          <c:layout>
            <c:manualLayout>
              <c:xMode val="edge"/>
              <c:yMode val="edge"/>
              <c:x val="2.7637582934510719E-3"/>
              <c:y val="1.5281385281385318E-2"/>
            </c:manualLayout>
          </c:layout>
        </c:title>
        <c:numFmt formatCode="General" sourceLinked="0"/>
        <c:majorTickMark val="in"/>
        <c:tickLblPos val="nextTo"/>
        <c:spPr>
          <a:ln>
            <a:solidFill>
              <a:schemeClr val="tx1"/>
            </a:solidFill>
          </a:ln>
        </c:spPr>
        <c:crossAx val="91208704"/>
        <c:crosses val="autoZero"/>
        <c:crossBetween val="between"/>
      </c:valAx>
    </c:plotArea>
    <c:legend>
      <c:legendPos val="b"/>
      <c:layout>
        <c:manualLayout>
          <c:xMode val="edge"/>
          <c:yMode val="edge"/>
          <c:x val="2.3767658365898567E-3"/>
          <c:y val="0.85827667785836315"/>
          <c:w val="0.96081758904893133"/>
          <c:h val="0.14172332214163674"/>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60.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266269249875809"/>
          <c:y val="5.1356292701560044E-2"/>
          <c:w val="0.85547938400397461"/>
          <c:h val="0.67334091423366627"/>
        </c:manualLayout>
      </c:layout>
      <c:barChart>
        <c:barDir val="col"/>
        <c:grouping val="clustered"/>
        <c:ser>
          <c:idx val="0"/>
          <c:order val="0"/>
          <c:tx>
            <c:strRef>
              <c:f>'4'!$B$1</c:f>
              <c:strCache>
                <c:ptCount val="1"/>
                <c:pt idx="0">
                  <c:v>Добриня</c:v>
                </c:pt>
              </c:strCache>
            </c:strRef>
          </c:tx>
          <c:spPr>
            <a:pattFill prst="narHorz">
              <a:fgClr>
                <a:schemeClr val="tx1"/>
              </a:fgClr>
              <a:bgClr>
                <a:schemeClr val="bg1"/>
              </a:bgClr>
            </a:pattFill>
            <a:ln>
              <a:solidFill>
                <a:schemeClr val="tx1"/>
              </a:solidFill>
            </a:ln>
          </c:spPr>
          <c:cat>
            <c:numRef>
              <c:f>'4'!$A$2:$A$13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'4'!$B$2:$B$13</c:f>
              <c:numCache>
                <c:formatCode>0.0</c:formatCode>
                <c:ptCount val="12"/>
                <c:pt idx="0">
                  <c:v>18.5047731088227</c:v>
                </c:pt>
                <c:pt idx="1">
                  <c:v>18.019063056826205</c:v>
                </c:pt>
                <c:pt idx="2">
                  <c:v>19.857676578159786</c:v>
                </c:pt>
                <c:pt idx="3">
                  <c:v>19.132638888888899</c:v>
                </c:pt>
                <c:pt idx="4">
                  <c:v>16.324404761904791</c:v>
                </c:pt>
                <c:pt idx="5">
                  <c:v>15.929687500000018</c:v>
                </c:pt>
                <c:pt idx="6">
                  <c:v>21.383275261323959</c:v>
                </c:pt>
                <c:pt idx="7">
                  <c:v>20.346332046331934</c:v>
                </c:pt>
                <c:pt idx="8">
                  <c:v>21.059983896940388</c:v>
                </c:pt>
                <c:pt idx="9">
                  <c:v>20.592592592592563</c:v>
                </c:pt>
                <c:pt idx="10">
                  <c:v>22.531250000000032</c:v>
                </c:pt>
                <c:pt idx="11">
                  <c:v>22.186486486486501</c:v>
                </c:pt>
              </c:numCache>
            </c:numRef>
          </c:val>
          <c:extLst xmlns:c16r2="http://schemas.microsoft.com/office/drawing/2015/06/chart">
            <c:ext xmlns:c16="http://schemas.microsoft.com/office/drawing/2014/chart" uri="{C3380CC4-5D6E-409C-BE32-E72D297353CC}">
              <c16:uniqueId val="{00000000-B1FF-4F2E-BDCC-C5E19934AB1A}"/>
            </c:ext>
          </c:extLst>
        </c:ser>
        <c:ser>
          <c:idx val="1"/>
          <c:order val="1"/>
          <c:tx>
            <c:strRef>
              <c:f>'4'!$C$1</c:f>
              <c:strCache>
                <c:ptCount val="1"/>
                <c:pt idx="0">
                  <c:v>Гарант</c:v>
                </c:pt>
              </c:strCache>
            </c:strRef>
          </c:tx>
          <c:spPr>
            <a:solidFill>
              <a:schemeClr val="bg1"/>
            </a:solidFill>
            <a:ln>
              <a:solidFill>
                <a:sysClr val="windowText" lastClr="000000"/>
              </a:solidFill>
            </a:ln>
          </c:spPr>
          <c:cat>
            <c:numRef>
              <c:f>'4'!$A$2:$A$13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'4'!$C$2:$C$13</c:f>
              <c:numCache>
                <c:formatCode>0.0</c:formatCode>
                <c:ptCount val="12"/>
                <c:pt idx="0">
                  <c:v>18.187033484308799</c:v>
                </c:pt>
                <c:pt idx="1">
                  <c:v>18.798106849577323</c:v>
                </c:pt>
                <c:pt idx="2">
                  <c:v>20.8027251380088</c:v>
                </c:pt>
                <c:pt idx="3">
                  <c:v>19.830882352941199</c:v>
                </c:pt>
                <c:pt idx="4">
                  <c:v>17.451612903225758</c:v>
                </c:pt>
                <c:pt idx="5">
                  <c:v>16.435096153846199</c:v>
                </c:pt>
                <c:pt idx="6">
                  <c:v>21.196287025448544</c:v>
                </c:pt>
                <c:pt idx="7">
                  <c:v>20.741883116883098</c:v>
                </c:pt>
                <c:pt idx="8">
                  <c:v>22.026805555555601</c:v>
                </c:pt>
                <c:pt idx="9">
                  <c:v>20.5763888888889</c:v>
                </c:pt>
                <c:pt idx="10">
                  <c:v>22.75</c:v>
                </c:pt>
                <c:pt idx="11">
                  <c:v>22.179388422035544</c:v>
                </c:pt>
              </c:numCache>
            </c:numRef>
          </c:val>
          <c:extLst xmlns:c16r2="http://schemas.microsoft.com/office/drawing/2015/06/chart">
            <c:ext xmlns:c16="http://schemas.microsoft.com/office/drawing/2014/chart" uri="{C3380CC4-5D6E-409C-BE32-E72D297353CC}">
              <c16:uniqueId val="{00000001-B1FF-4F2E-BDCC-C5E19934AB1A}"/>
            </c:ext>
          </c:extLst>
        </c:ser>
        <c:dLbls/>
        <c:axId val="91250048"/>
        <c:axId val="91276800"/>
      </c:barChart>
      <c:catAx>
        <c:axId val="91250048"/>
        <c:scaling>
          <c:orientation val="minMax"/>
        </c:scaling>
        <c:axPos val="b"/>
        <c:title>
          <c:tx>
            <c:rich>
              <a:bodyPr/>
              <a:lstStyle/>
              <a:p>
                <a:pPr>
                  <a:defRPr sz="1000"/>
                </a:pPr>
                <a:r>
                  <a:rPr lang="uk-UA" sz="1000"/>
                  <a:t>Варіанти досліду</a:t>
                </a:r>
              </a:p>
            </c:rich>
          </c:tx>
          <c:layout>
            <c:manualLayout>
              <c:xMode val="edge"/>
              <c:yMode val="edge"/>
              <c:x val="0.82927463192814277"/>
              <c:y val="0.84509919619698282"/>
            </c:manualLayout>
          </c:layout>
        </c:title>
        <c:numFmt formatCode="General" sourceLinked="0"/>
        <c:majorTickMark val="in"/>
        <c:tickLblPos val="nextTo"/>
        <c:spPr>
          <a:ln>
            <a:solidFill>
              <a:schemeClr val="tx1"/>
            </a:solidFill>
          </a:ln>
        </c:spPr>
        <c:crossAx val="91276800"/>
        <c:crosses val="autoZero"/>
        <c:auto val="1"/>
        <c:lblAlgn val="ctr"/>
        <c:lblOffset val="100"/>
      </c:catAx>
      <c:valAx>
        <c:axId val="91276800"/>
        <c:scaling>
          <c:orientation val="minMax"/>
          <c:max val="30"/>
        </c:scaling>
        <c:axPos val="l"/>
        <c:majorGridlines>
          <c:spPr>
            <a:ln>
              <a:solidFill>
                <a:schemeClr val="bg2"/>
              </a:solidFill>
            </a:ln>
          </c:spPr>
        </c:majorGridlines>
        <c:title>
          <c:tx>
            <c:rich>
              <a:bodyPr rot="0" vert="horz"/>
              <a:lstStyle/>
              <a:p>
                <a:pPr>
                  <a:defRPr/>
                </a:pPr>
                <a:r>
                  <a:rPr lang="uk-UA"/>
                  <a:t>мкм</a:t>
                </a:r>
              </a:p>
            </c:rich>
          </c:tx>
          <c:layout>
            <c:manualLayout>
              <c:xMode val="edge"/>
              <c:yMode val="edge"/>
              <c:x val="2.7637582934510719E-3"/>
              <c:y val="1.5281385281385318E-2"/>
            </c:manualLayout>
          </c:layout>
        </c:title>
        <c:numFmt formatCode="General" sourceLinked="0"/>
        <c:majorTickMark val="in"/>
        <c:tickLblPos val="nextTo"/>
        <c:spPr>
          <a:ln>
            <a:solidFill>
              <a:schemeClr val="tx1"/>
            </a:solidFill>
          </a:ln>
        </c:spPr>
        <c:crossAx val="91250048"/>
        <c:crosses val="autoZero"/>
        <c:crossBetween val="between"/>
      </c:valAx>
    </c:plotArea>
    <c:legend>
      <c:legendPos val="b"/>
      <c:layout>
        <c:manualLayout>
          <c:xMode val="edge"/>
          <c:yMode val="edge"/>
          <c:x val="2.3767658365898567E-3"/>
          <c:y val="0.89018540743520191"/>
          <c:w val="0.95653948111654896"/>
          <c:h val="0.10981459256479802"/>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61.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266269249875809"/>
          <c:y val="5.1356292701560044E-2"/>
          <c:w val="0.85547938400397461"/>
          <c:h val="0.67186382298715963"/>
        </c:manualLayout>
      </c:layout>
      <c:barChart>
        <c:barDir val="col"/>
        <c:grouping val="clustered"/>
        <c:ser>
          <c:idx val="0"/>
          <c:order val="0"/>
          <c:tx>
            <c:strRef>
              <c:f>'4'!$B$16</c:f>
              <c:strCache>
                <c:ptCount val="1"/>
                <c:pt idx="0">
                  <c:v>Ярило</c:v>
                </c:pt>
              </c:strCache>
            </c:strRef>
          </c:tx>
          <c:spPr>
            <a:pattFill prst="narHorz">
              <a:fgClr>
                <a:schemeClr val="tx1"/>
              </a:fgClr>
              <a:bgClr>
                <a:schemeClr val="bg1"/>
              </a:bgClr>
            </a:pattFill>
            <a:ln>
              <a:solidFill>
                <a:sysClr val="windowText" lastClr="000000"/>
              </a:solidFill>
            </a:ln>
          </c:spPr>
          <c:cat>
            <c:numRef>
              <c:f>'4'!$A$17:$A$28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'4'!$B$17:$B$28</c:f>
              <c:numCache>
                <c:formatCode>0.0</c:formatCode>
                <c:ptCount val="12"/>
                <c:pt idx="0">
                  <c:v>17.828059839382259</c:v>
                </c:pt>
                <c:pt idx="1">
                  <c:v>17.560179199431087</c:v>
                </c:pt>
                <c:pt idx="2">
                  <c:v>19.246554892731158</c:v>
                </c:pt>
                <c:pt idx="3">
                  <c:v>18.876943909552601</c:v>
                </c:pt>
                <c:pt idx="4">
                  <c:v>16.247584541062789</c:v>
                </c:pt>
                <c:pt idx="5">
                  <c:v>15.307575757575799</c:v>
                </c:pt>
                <c:pt idx="6">
                  <c:v>20.296826625386988</c:v>
                </c:pt>
                <c:pt idx="7">
                  <c:v>20.069841269841302</c:v>
                </c:pt>
                <c:pt idx="8">
                  <c:v>21.2588932806324</c:v>
                </c:pt>
                <c:pt idx="9">
                  <c:v>20.134706439393899</c:v>
                </c:pt>
                <c:pt idx="10">
                  <c:v>22.642857142857132</c:v>
                </c:pt>
                <c:pt idx="11">
                  <c:v>21.405777310924343</c:v>
                </c:pt>
              </c:numCache>
            </c:numRef>
          </c:val>
          <c:extLst xmlns:c16r2="http://schemas.microsoft.com/office/drawing/2015/06/chart">
            <c:ext xmlns:c16="http://schemas.microsoft.com/office/drawing/2014/chart" uri="{C3380CC4-5D6E-409C-BE32-E72D297353CC}">
              <c16:uniqueId val="{00000000-78BB-46C7-8B35-05D50A45C5E8}"/>
            </c:ext>
          </c:extLst>
        </c:ser>
        <c:ser>
          <c:idx val="1"/>
          <c:order val="1"/>
          <c:tx>
            <c:strRef>
              <c:f>'4'!$C$16</c:f>
              <c:strCache>
                <c:ptCount val="1"/>
                <c:pt idx="0">
                  <c:v>Загрей</c:v>
                </c:pt>
              </c:strCache>
            </c:strRef>
          </c:tx>
          <c:spPr>
            <a:solidFill>
              <a:schemeClr val="bg1"/>
            </a:solidFill>
            <a:ln>
              <a:solidFill>
                <a:sysClr val="windowText" lastClr="000000"/>
              </a:solidFill>
            </a:ln>
          </c:spPr>
          <c:cat>
            <c:numRef>
              <c:f>'4'!$A$17:$A$28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'4'!$C$17:$C$28</c:f>
              <c:numCache>
                <c:formatCode>0.0</c:formatCode>
                <c:ptCount val="12"/>
                <c:pt idx="0">
                  <c:v>17.478059839382258</c:v>
                </c:pt>
                <c:pt idx="1">
                  <c:v>17.060179199431186</c:v>
                </c:pt>
                <c:pt idx="2">
                  <c:v>18.646554892731189</c:v>
                </c:pt>
                <c:pt idx="3">
                  <c:v>18.0769439095526</c:v>
                </c:pt>
                <c:pt idx="4">
                  <c:v>15.697584541062804</c:v>
                </c:pt>
                <c:pt idx="5">
                  <c:v>15.207575757575698</c:v>
                </c:pt>
                <c:pt idx="6">
                  <c:v>20.796826625386988</c:v>
                </c:pt>
                <c:pt idx="7">
                  <c:v>19.794841269841299</c:v>
                </c:pt>
                <c:pt idx="8">
                  <c:v>18.7588932806324</c:v>
                </c:pt>
                <c:pt idx="9">
                  <c:v>18.634706439393952</c:v>
                </c:pt>
                <c:pt idx="10">
                  <c:v>19.142857142857181</c:v>
                </c:pt>
                <c:pt idx="11">
                  <c:v>18.00577731092433</c:v>
                </c:pt>
              </c:numCache>
            </c:numRef>
          </c:val>
          <c:extLst xmlns:c16r2="http://schemas.microsoft.com/office/drawing/2015/06/chart">
            <c:ext xmlns:c16="http://schemas.microsoft.com/office/drawing/2014/chart" uri="{C3380CC4-5D6E-409C-BE32-E72D297353CC}">
              <c16:uniqueId val="{00000001-78BB-46C7-8B35-05D50A45C5E8}"/>
            </c:ext>
          </c:extLst>
        </c:ser>
        <c:dLbls/>
        <c:axId val="91312128"/>
        <c:axId val="91314048"/>
      </c:barChart>
      <c:catAx>
        <c:axId val="91312128"/>
        <c:scaling>
          <c:orientation val="minMax"/>
        </c:scaling>
        <c:axPos val="b"/>
        <c:title>
          <c:tx>
            <c:rich>
              <a:bodyPr/>
              <a:lstStyle/>
              <a:p>
                <a:pPr>
                  <a:defRPr sz="1000"/>
                </a:pPr>
                <a:r>
                  <a:rPr lang="uk-UA" sz="1000"/>
                  <a:t>Варіанти досліду</a:t>
                </a:r>
              </a:p>
            </c:rich>
          </c:tx>
          <c:layout>
            <c:manualLayout>
              <c:xMode val="edge"/>
              <c:yMode val="edge"/>
              <c:x val="0.82882883035772048"/>
              <c:y val="0.84963612866563709"/>
            </c:manualLayout>
          </c:layout>
        </c:title>
        <c:numFmt formatCode="General" sourceLinked="0"/>
        <c:majorTickMark val="in"/>
        <c:tickLblPos val="nextTo"/>
        <c:spPr>
          <a:ln>
            <a:solidFill>
              <a:schemeClr val="tx1"/>
            </a:solidFill>
          </a:ln>
        </c:spPr>
        <c:crossAx val="91314048"/>
        <c:crosses val="autoZero"/>
        <c:auto val="1"/>
        <c:lblAlgn val="ctr"/>
        <c:lblOffset val="100"/>
      </c:catAx>
      <c:valAx>
        <c:axId val="91314048"/>
        <c:scaling>
          <c:orientation val="minMax"/>
          <c:max val="30"/>
        </c:scaling>
        <c:axPos val="l"/>
        <c:majorGridlines>
          <c:spPr>
            <a:ln>
              <a:solidFill>
                <a:schemeClr val="bg2"/>
              </a:solidFill>
            </a:ln>
          </c:spPr>
        </c:majorGridlines>
        <c:title>
          <c:tx>
            <c:rich>
              <a:bodyPr rot="0" vert="horz"/>
              <a:lstStyle/>
              <a:p>
                <a:pPr>
                  <a:defRPr/>
                </a:pPr>
                <a:r>
                  <a:rPr lang="uk-UA"/>
                  <a:t>мкм</a:t>
                </a:r>
              </a:p>
            </c:rich>
          </c:tx>
          <c:layout>
            <c:manualLayout>
              <c:xMode val="edge"/>
              <c:yMode val="edge"/>
              <c:x val="2.7637582934510719E-3"/>
              <c:y val="1.5281385281385318E-2"/>
            </c:manualLayout>
          </c:layout>
        </c:title>
        <c:numFmt formatCode="General" sourceLinked="0"/>
        <c:majorTickMark val="in"/>
        <c:tickLblPos val="nextTo"/>
        <c:spPr>
          <a:ln>
            <a:solidFill>
              <a:schemeClr val="tx1"/>
            </a:solidFill>
          </a:ln>
        </c:spPr>
        <c:crossAx val="91312128"/>
        <c:crosses val="autoZero"/>
        <c:crossBetween val="between"/>
      </c:valAx>
    </c:plotArea>
    <c:legend>
      <c:legendPos val="b"/>
      <c:layout>
        <c:manualLayout>
          <c:xMode val="edge"/>
          <c:yMode val="edge"/>
          <c:x val="2.3767658365898567E-3"/>
          <c:y val="0.864854680275011"/>
          <c:w val="0.96722789316812496"/>
          <c:h val="0.13514531972498983"/>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62.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97985950366301"/>
          <c:y val="5.1356292701560044E-2"/>
          <c:w val="0.85827824923493923"/>
          <c:h val="0.59365117546464219"/>
        </c:manualLayout>
      </c:layout>
      <c:barChart>
        <c:barDir val="col"/>
        <c:grouping val="clustered"/>
        <c:ser>
          <c:idx val="0"/>
          <c:order val="0"/>
          <c:tx>
            <c:strRef>
              <c:f>'5'!$G$1</c:f>
              <c:strCache>
                <c:ptCount val="1"/>
                <c:pt idx="0">
                  <c:v>Добриня</c:v>
                </c:pt>
              </c:strCache>
            </c:strRef>
          </c:tx>
          <c:spPr>
            <a:pattFill prst="wdUpDiag">
              <a:fgClr>
                <a:schemeClr val="tx1"/>
              </a:fgClr>
              <a:bgClr>
                <a:schemeClr val="bg1"/>
              </a:bgClr>
            </a:pattFill>
            <a:ln>
              <a:solidFill>
                <a:sysClr val="windowText" lastClr="000000"/>
              </a:solidFill>
            </a:ln>
          </c:spPr>
          <c:cat>
            <c:numRef>
              <c:f>'5'!$F$2:$F$13</c:f>
              <c:numCache>
                <c:formatCode>0</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'5'!$G$2:$G$13</c:f>
              <c:numCache>
                <c:formatCode>0.0</c:formatCode>
                <c:ptCount val="12"/>
                <c:pt idx="0">
                  <c:v>4.0197171352508914</c:v>
                </c:pt>
                <c:pt idx="1">
                  <c:v>3.9863800307879256</c:v>
                </c:pt>
                <c:pt idx="2">
                  <c:v>4.302148825513572</c:v>
                </c:pt>
                <c:pt idx="3">
                  <c:v>4.3883101851851904</c:v>
                </c:pt>
                <c:pt idx="4">
                  <c:v>4.8169642857142794</c:v>
                </c:pt>
                <c:pt idx="5">
                  <c:v>5.449218750000008</c:v>
                </c:pt>
                <c:pt idx="6">
                  <c:v>3.5977787456445882</c:v>
                </c:pt>
                <c:pt idx="7">
                  <c:v>3.8367519305019213</c:v>
                </c:pt>
                <c:pt idx="8">
                  <c:v>3.8651871980676376</c:v>
                </c:pt>
                <c:pt idx="9">
                  <c:v>3.4710648148148073</c:v>
                </c:pt>
                <c:pt idx="10">
                  <c:v>3.2687499999999998</c:v>
                </c:pt>
                <c:pt idx="11">
                  <c:v>3.3623310810810816</c:v>
                </c:pt>
              </c:numCache>
            </c:numRef>
          </c:val>
          <c:extLst xmlns:c16r2="http://schemas.microsoft.com/office/drawing/2015/06/chart">
            <c:ext xmlns:c16="http://schemas.microsoft.com/office/drawing/2014/chart" uri="{C3380CC4-5D6E-409C-BE32-E72D297353CC}">
              <c16:uniqueId val="{00000000-61B8-4828-BD13-F8686E52842D}"/>
            </c:ext>
          </c:extLst>
        </c:ser>
        <c:ser>
          <c:idx val="1"/>
          <c:order val="1"/>
          <c:tx>
            <c:strRef>
              <c:f>'5'!$H$1</c:f>
              <c:strCache>
                <c:ptCount val="1"/>
                <c:pt idx="0">
                  <c:v>Гарант</c:v>
                </c:pt>
              </c:strCache>
            </c:strRef>
          </c:tx>
          <c:spPr>
            <a:solidFill>
              <a:schemeClr val="tx1">
                <a:lumMod val="65000"/>
                <a:lumOff val="35000"/>
              </a:schemeClr>
            </a:solidFill>
            <a:ln>
              <a:solidFill>
                <a:sysClr val="windowText" lastClr="000000"/>
              </a:solidFill>
            </a:ln>
          </c:spPr>
          <c:cat>
            <c:numRef>
              <c:f>'5'!$F$2:$F$13</c:f>
              <c:numCache>
                <c:formatCode>0</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'5'!$H$2:$H$13</c:f>
              <c:numCache>
                <c:formatCode>0.0</c:formatCode>
                <c:ptCount val="12"/>
                <c:pt idx="0">
                  <c:v>4.7642888879991485</c:v>
                </c:pt>
                <c:pt idx="1">
                  <c:v>3.9606586224233267</c:v>
                </c:pt>
                <c:pt idx="2">
                  <c:v>4.2583549078848115</c:v>
                </c:pt>
                <c:pt idx="3">
                  <c:v>4.0395220588235334</c:v>
                </c:pt>
                <c:pt idx="4">
                  <c:v>5.1350806451612865</c:v>
                </c:pt>
                <c:pt idx="5">
                  <c:v>4.3599759615384484</c:v>
                </c:pt>
                <c:pt idx="6">
                  <c:v>3.8597465581977382</c:v>
                </c:pt>
                <c:pt idx="7">
                  <c:v>3.8603896103896105</c:v>
                </c:pt>
                <c:pt idx="8">
                  <c:v>2.9140624999999947</c:v>
                </c:pt>
                <c:pt idx="9">
                  <c:v>3.2236111111111154</c:v>
                </c:pt>
                <c:pt idx="10">
                  <c:v>3.135416666666675</c:v>
                </c:pt>
                <c:pt idx="11">
                  <c:v>2.8860294117647007</c:v>
                </c:pt>
              </c:numCache>
            </c:numRef>
          </c:val>
          <c:extLst xmlns:c16r2="http://schemas.microsoft.com/office/drawing/2015/06/chart">
            <c:ext xmlns:c16="http://schemas.microsoft.com/office/drawing/2014/chart" uri="{C3380CC4-5D6E-409C-BE32-E72D297353CC}">
              <c16:uniqueId val="{00000001-61B8-4828-BD13-F8686E52842D}"/>
            </c:ext>
          </c:extLst>
        </c:ser>
        <c:dLbls/>
        <c:axId val="91357568"/>
        <c:axId val="91359488"/>
      </c:barChart>
      <c:catAx>
        <c:axId val="91357568"/>
        <c:scaling>
          <c:orientation val="minMax"/>
        </c:scaling>
        <c:axPos val="b"/>
        <c:title>
          <c:tx>
            <c:rich>
              <a:bodyPr/>
              <a:lstStyle/>
              <a:p>
                <a:pPr>
                  <a:defRPr sz="1000"/>
                </a:pPr>
                <a:r>
                  <a:rPr lang="uk-UA" sz="1000"/>
                  <a:t>Варіанти досліду</a:t>
                </a:r>
              </a:p>
            </c:rich>
          </c:tx>
          <c:layout>
            <c:manualLayout>
              <c:xMode val="edge"/>
              <c:yMode val="edge"/>
              <c:x val="0.82980592064133429"/>
              <c:y val="0.78322669203057405"/>
            </c:manualLayout>
          </c:layout>
        </c:title>
        <c:numFmt formatCode="General" sourceLinked="0"/>
        <c:majorTickMark val="in"/>
        <c:tickLblPos val="nextTo"/>
        <c:spPr>
          <a:ln>
            <a:solidFill>
              <a:schemeClr val="tx1"/>
            </a:solidFill>
          </a:ln>
        </c:spPr>
        <c:crossAx val="91359488"/>
        <c:crosses val="autoZero"/>
        <c:auto val="1"/>
        <c:lblAlgn val="ctr"/>
        <c:lblOffset val="100"/>
      </c:catAx>
      <c:valAx>
        <c:axId val="91359488"/>
        <c:scaling>
          <c:orientation val="minMax"/>
        </c:scaling>
        <c:axPos val="l"/>
        <c:majorGridlines>
          <c:spPr>
            <a:ln>
              <a:solidFill>
                <a:schemeClr val="bg2"/>
              </a:solidFill>
            </a:ln>
          </c:spPr>
        </c:majorGridlines>
        <c:title>
          <c:tx>
            <c:rich>
              <a:bodyPr rot="0" vert="horz"/>
              <a:lstStyle/>
              <a:p>
                <a:pPr>
                  <a:defRPr/>
                </a:pPr>
                <a:r>
                  <a:rPr lang="uk-UA"/>
                  <a:t>мкм</a:t>
                </a:r>
              </a:p>
            </c:rich>
          </c:tx>
          <c:layout>
            <c:manualLayout>
              <c:xMode val="edge"/>
              <c:yMode val="edge"/>
              <c:x val="2.7637128318601487E-3"/>
              <c:y val="2.0508902759812171E-3"/>
            </c:manualLayout>
          </c:layout>
        </c:title>
        <c:numFmt formatCode="General" sourceLinked="0"/>
        <c:majorTickMark val="in"/>
        <c:tickLblPos val="nextTo"/>
        <c:spPr>
          <a:ln>
            <a:solidFill>
              <a:schemeClr val="tx1"/>
            </a:solidFill>
          </a:ln>
        </c:spPr>
        <c:crossAx val="91357568"/>
        <c:crosses val="autoZero"/>
        <c:crossBetween val="between"/>
        <c:majorUnit val="2"/>
      </c:valAx>
    </c:plotArea>
    <c:legend>
      <c:legendPos val="b"/>
      <c:layout>
        <c:manualLayout>
          <c:xMode val="edge"/>
          <c:yMode val="edge"/>
          <c:x val="2.3767658365898567E-3"/>
          <c:y val="0.86928306992652149"/>
          <c:w val="0.96105135280359055"/>
          <c:h val="0.13071693007347851"/>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63.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035277830622602"/>
          <c:y val="0.10837635523572582"/>
          <c:w val="0.85602945693915788"/>
          <c:h val="0.53911469535363454"/>
        </c:manualLayout>
      </c:layout>
      <c:barChart>
        <c:barDir val="col"/>
        <c:grouping val="clustered"/>
        <c:ser>
          <c:idx val="0"/>
          <c:order val="0"/>
          <c:tx>
            <c:strRef>
              <c:f>'5'!$G$16</c:f>
              <c:strCache>
                <c:ptCount val="1"/>
                <c:pt idx="0">
                  <c:v>Ярило</c:v>
                </c:pt>
              </c:strCache>
            </c:strRef>
          </c:tx>
          <c:spPr>
            <a:pattFill prst="wdUpDiag">
              <a:fgClr>
                <a:schemeClr val="tx1"/>
              </a:fgClr>
              <a:bgClr>
                <a:schemeClr val="bg1"/>
              </a:bgClr>
            </a:pattFill>
            <a:ln>
              <a:solidFill>
                <a:sysClr val="windowText" lastClr="000000"/>
              </a:solidFill>
            </a:ln>
          </c:spPr>
          <c:cat>
            <c:numRef>
              <c:f>'5'!$F$17:$F$28</c:f>
              <c:numCache>
                <c:formatCode>0</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'5'!$G$17:$G$28</c:f>
              <c:numCache>
                <c:formatCode>0.0</c:formatCode>
                <c:ptCount val="12"/>
                <c:pt idx="0">
                  <c:v>4.342093307423923</c:v>
                </c:pt>
                <c:pt idx="1">
                  <c:v>4.1265090420332395</c:v>
                </c:pt>
                <c:pt idx="2">
                  <c:v>4.4574245334691085</c:v>
                </c:pt>
                <c:pt idx="3">
                  <c:v>4.7028344106242663</c:v>
                </c:pt>
                <c:pt idx="4">
                  <c:v>5.1781400966183568</c:v>
                </c:pt>
                <c:pt idx="5">
                  <c:v>4.5693181818181845</c:v>
                </c:pt>
                <c:pt idx="6">
                  <c:v>3.8815789473684208</c:v>
                </c:pt>
                <c:pt idx="7">
                  <c:v>3.6617063492063555</c:v>
                </c:pt>
                <c:pt idx="8">
                  <c:v>3.8106060606060477</c:v>
                </c:pt>
                <c:pt idx="9">
                  <c:v>3.8852391098484831</c:v>
                </c:pt>
                <c:pt idx="10">
                  <c:v>3.2928571428571392</c:v>
                </c:pt>
                <c:pt idx="11">
                  <c:v>3.4037552521008392</c:v>
                </c:pt>
              </c:numCache>
            </c:numRef>
          </c:val>
          <c:extLst xmlns:c16r2="http://schemas.microsoft.com/office/drawing/2015/06/chart">
            <c:ext xmlns:c16="http://schemas.microsoft.com/office/drawing/2014/chart" uri="{C3380CC4-5D6E-409C-BE32-E72D297353CC}">
              <c16:uniqueId val="{00000000-AB14-4045-8C7B-9C9222E25EEB}"/>
            </c:ext>
          </c:extLst>
        </c:ser>
        <c:ser>
          <c:idx val="1"/>
          <c:order val="1"/>
          <c:tx>
            <c:strRef>
              <c:f>'5'!$H$16</c:f>
              <c:strCache>
                <c:ptCount val="1"/>
                <c:pt idx="0">
                  <c:v>Загрей</c:v>
                </c:pt>
              </c:strCache>
            </c:strRef>
          </c:tx>
          <c:spPr>
            <a:solidFill>
              <a:schemeClr val="bg2">
                <a:lumMod val="50000"/>
              </a:schemeClr>
            </a:solidFill>
            <a:ln>
              <a:solidFill>
                <a:sysClr val="windowText" lastClr="000000"/>
              </a:solidFill>
            </a:ln>
          </c:spPr>
          <c:cat>
            <c:numRef>
              <c:f>'5'!$F$17:$F$28</c:f>
              <c:numCache>
                <c:formatCode>0</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'5'!$H$17:$H$28</c:f>
              <c:numCache>
                <c:formatCode>0.0</c:formatCode>
                <c:ptCount val="12"/>
                <c:pt idx="0">
                  <c:v>4.0868948449564426</c:v>
                </c:pt>
                <c:pt idx="1">
                  <c:v>4.3590847996090005</c:v>
                </c:pt>
                <c:pt idx="2">
                  <c:v>4.1989125431105245</c:v>
                </c:pt>
                <c:pt idx="3">
                  <c:v>4.4067043061608304</c:v>
                </c:pt>
                <c:pt idx="4">
                  <c:v>5.4803140096618304</c:v>
                </c:pt>
                <c:pt idx="5">
                  <c:v>4.7818181818181875</c:v>
                </c:pt>
                <c:pt idx="6">
                  <c:v>3.6190789473684237</c:v>
                </c:pt>
                <c:pt idx="7">
                  <c:v>3.6232804232804248</c:v>
                </c:pt>
                <c:pt idx="8">
                  <c:v>4.0856060606060485</c:v>
                </c:pt>
                <c:pt idx="9">
                  <c:v>3.9208806818181747</c:v>
                </c:pt>
                <c:pt idx="10">
                  <c:v>3.5196428571428462</c:v>
                </c:pt>
                <c:pt idx="11">
                  <c:v>3.6405462184874069</c:v>
                </c:pt>
              </c:numCache>
            </c:numRef>
          </c:val>
          <c:extLst xmlns:c16r2="http://schemas.microsoft.com/office/drawing/2015/06/chart">
            <c:ext xmlns:c16="http://schemas.microsoft.com/office/drawing/2014/chart" uri="{C3380CC4-5D6E-409C-BE32-E72D297353CC}">
              <c16:uniqueId val="{00000001-AB14-4045-8C7B-9C9222E25EEB}"/>
            </c:ext>
          </c:extLst>
        </c:ser>
        <c:dLbls/>
        <c:axId val="91411200"/>
        <c:axId val="91413120"/>
      </c:barChart>
      <c:catAx>
        <c:axId val="91411200"/>
        <c:scaling>
          <c:orientation val="minMax"/>
        </c:scaling>
        <c:axPos val="b"/>
        <c:title>
          <c:tx>
            <c:rich>
              <a:bodyPr/>
              <a:lstStyle/>
              <a:p>
                <a:pPr>
                  <a:defRPr sz="1000"/>
                </a:pPr>
                <a:r>
                  <a:rPr lang="uk-UA" sz="1000"/>
                  <a:t>Варіанти досліду</a:t>
                </a:r>
              </a:p>
            </c:rich>
          </c:tx>
          <c:layout>
            <c:manualLayout>
              <c:xMode val="edge"/>
              <c:yMode val="edge"/>
              <c:x val="0.83065749724036031"/>
              <c:y val="0.77777185007586636"/>
            </c:manualLayout>
          </c:layout>
        </c:title>
        <c:numFmt formatCode="General" sourceLinked="0"/>
        <c:majorTickMark val="in"/>
        <c:tickLblPos val="nextTo"/>
        <c:spPr>
          <a:ln>
            <a:solidFill>
              <a:schemeClr val="tx1"/>
            </a:solidFill>
          </a:ln>
        </c:spPr>
        <c:crossAx val="91413120"/>
        <c:crosses val="autoZero"/>
        <c:auto val="1"/>
        <c:lblAlgn val="ctr"/>
        <c:lblOffset val="100"/>
      </c:catAx>
      <c:valAx>
        <c:axId val="91413120"/>
        <c:scaling>
          <c:orientation val="minMax"/>
        </c:scaling>
        <c:axPos val="l"/>
        <c:majorGridlines>
          <c:spPr>
            <a:ln>
              <a:solidFill>
                <a:schemeClr val="bg2"/>
              </a:solidFill>
            </a:ln>
          </c:spPr>
        </c:majorGridlines>
        <c:title>
          <c:tx>
            <c:rich>
              <a:bodyPr rot="0" vert="horz"/>
              <a:lstStyle/>
              <a:p>
                <a:pPr>
                  <a:defRPr/>
                </a:pPr>
                <a:r>
                  <a:rPr lang="uk-UA"/>
                  <a:t>мкм</a:t>
                </a:r>
              </a:p>
            </c:rich>
          </c:tx>
          <c:layout>
            <c:manualLayout>
              <c:xMode val="edge"/>
              <c:yMode val="edge"/>
              <c:x val="2.7637582934510719E-3"/>
              <c:y val="1.5281385281385318E-2"/>
            </c:manualLayout>
          </c:layout>
        </c:title>
        <c:numFmt formatCode="General" sourceLinked="0"/>
        <c:majorTickMark val="in"/>
        <c:tickLblPos val="nextTo"/>
        <c:spPr>
          <a:ln>
            <a:solidFill>
              <a:schemeClr val="tx1"/>
            </a:solidFill>
          </a:ln>
        </c:spPr>
        <c:crossAx val="91411200"/>
        <c:crosses val="autoZero"/>
        <c:crossBetween val="between"/>
        <c:majorUnit val="2"/>
      </c:valAx>
    </c:plotArea>
    <c:legend>
      <c:legendPos val="b"/>
      <c:layout>
        <c:manualLayout>
          <c:xMode val="edge"/>
          <c:yMode val="edge"/>
          <c:x val="2.3767658365898567E-3"/>
          <c:y val="0.86141512441238"/>
          <c:w val="0.99524646832682029"/>
          <c:h val="0.13858487558761995"/>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64.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232583065380488"/>
          <c:y val="6.1064705663758455E-2"/>
          <c:w val="0.84409431939978663"/>
          <c:h val="0.66165639232170004"/>
        </c:manualLayout>
      </c:layout>
      <c:barChart>
        <c:barDir val="col"/>
        <c:grouping val="clustered"/>
        <c:ser>
          <c:idx val="0"/>
          <c:order val="0"/>
          <c:tx>
            <c:strRef>
              <c:f>'6'!$B$1</c:f>
              <c:strCache>
                <c:ptCount val="1"/>
                <c:pt idx="0">
                  <c:v>Добриня</c:v>
                </c:pt>
              </c:strCache>
            </c:strRef>
          </c:tx>
          <c:spPr>
            <a:pattFill prst="ltUpDiag">
              <a:fgClr>
                <a:schemeClr val="tx1"/>
              </a:fgClr>
              <a:bgClr>
                <a:schemeClr val="bg1"/>
              </a:bgClr>
            </a:pattFill>
            <a:ln>
              <a:solidFill>
                <a:schemeClr val="tx1"/>
              </a:solidFill>
            </a:ln>
          </c:spPr>
          <c:cat>
            <c:numRef>
              <c:f>'6'!$A$2:$A$13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'6'!$B$2:$B$13</c:f>
              <c:numCache>
                <c:formatCode>0.0</c:formatCode>
                <c:ptCount val="12"/>
                <c:pt idx="0">
                  <c:v>10.200000000000001</c:v>
                </c:pt>
                <c:pt idx="1">
                  <c:v>10.4</c:v>
                </c:pt>
                <c:pt idx="2">
                  <c:v>11.2</c:v>
                </c:pt>
                <c:pt idx="3">
                  <c:v>11</c:v>
                </c:pt>
                <c:pt idx="4">
                  <c:v>8.8000000000000007</c:v>
                </c:pt>
                <c:pt idx="5">
                  <c:v>8.5</c:v>
                </c:pt>
                <c:pt idx="6">
                  <c:v>12</c:v>
                </c:pt>
                <c:pt idx="7">
                  <c:v>11.8</c:v>
                </c:pt>
                <c:pt idx="8">
                  <c:v>12.2</c:v>
                </c:pt>
                <c:pt idx="9">
                  <c:v>12</c:v>
                </c:pt>
                <c:pt idx="10">
                  <c:v>13</c:v>
                </c:pt>
                <c:pt idx="11">
                  <c:v>12.8</c:v>
                </c:pt>
              </c:numCache>
            </c:numRef>
          </c:val>
          <c:extLst xmlns:c16r2="http://schemas.microsoft.com/office/drawing/2015/06/chart">
            <c:ext xmlns:c16="http://schemas.microsoft.com/office/drawing/2014/chart" uri="{C3380CC4-5D6E-409C-BE32-E72D297353CC}">
              <c16:uniqueId val="{00000000-00A3-409F-9287-52CA3D022C4C}"/>
            </c:ext>
          </c:extLst>
        </c:ser>
        <c:ser>
          <c:idx val="1"/>
          <c:order val="1"/>
          <c:tx>
            <c:strRef>
              <c:f>'6'!$C$1</c:f>
              <c:strCache>
                <c:ptCount val="1"/>
                <c:pt idx="0">
                  <c:v>Гарант</c:v>
                </c:pt>
              </c:strCache>
            </c:strRef>
          </c:tx>
          <c:spPr>
            <a:solidFill>
              <a:schemeClr val="tx1"/>
            </a:solidFill>
            <a:ln>
              <a:solidFill>
                <a:sysClr val="windowText" lastClr="000000"/>
              </a:solidFill>
            </a:ln>
          </c:spPr>
          <c:cat>
            <c:numRef>
              <c:f>'6'!$A$2:$A$13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'6'!$C$2:$C$13</c:f>
              <c:numCache>
                <c:formatCode>0.0</c:formatCode>
                <c:ptCount val="12"/>
                <c:pt idx="0">
                  <c:v>10.3</c:v>
                </c:pt>
                <c:pt idx="1">
                  <c:v>10.5</c:v>
                </c:pt>
                <c:pt idx="2">
                  <c:v>11.3</c:v>
                </c:pt>
                <c:pt idx="3">
                  <c:v>10.6</c:v>
                </c:pt>
                <c:pt idx="4">
                  <c:v>8.9</c:v>
                </c:pt>
                <c:pt idx="5">
                  <c:v>6</c:v>
                </c:pt>
                <c:pt idx="6">
                  <c:v>12.1</c:v>
                </c:pt>
                <c:pt idx="7">
                  <c:v>11</c:v>
                </c:pt>
                <c:pt idx="8">
                  <c:v>12.3</c:v>
                </c:pt>
                <c:pt idx="9">
                  <c:v>11.8</c:v>
                </c:pt>
                <c:pt idx="10">
                  <c:v>13.9</c:v>
                </c:pt>
                <c:pt idx="11">
                  <c:v>13</c:v>
                </c:pt>
              </c:numCache>
            </c:numRef>
          </c:val>
          <c:extLst xmlns:c16r2="http://schemas.microsoft.com/office/drawing/2015/06/chart">
            <c:ext xmlns:c16="http://schemas.microsoft.com/office/drawing/2014/chart" uri="{C3380CC4-5D6E-409C-BE32-E72D297353CC}">
              <c16:uniqueId val="{00000001-00A3-409F-9287-52CA3D022C4C}"/>
            </c:ext>
          </c:extLst>
        </c:ser>
        <c:dLbls/>
        <c:axId val="91452544"/>
        <c:axId val="91454464"/>
      </c:barChart>
      <c:catAx>
        <c:axId val="91452544"/>
        <c:scaling>
          <c:orientation val="minMax"/>
        </c:scaling>
        <c:axPos val="b"/>
        <c:title>
          <c:tx>
            <c:rich>
              <a:bodyPr/>
              <a:lstStyle/>
              <a:p>
                <a:pPr>
                  <a:defRPr sz="1000"/>
                </a:pPr>
                <a:r>
                  <a:rPr lang="uk-UA" sz="1000"/>
                  <a:t>Варіанти досліду</a:t>
                </a:r>
              </a:p>
            </c:rich>
          </c:tx>
          <c:layout>
            <c:manualLayout>
              <c:xMode val="edge"/>
              <c:yMode val="edge"/>
              <c:x val="0.82799011025753777"/>
              <c:y val="0.82892592189268333"/>
            </c:manualLayout>
          </c:layout>
        </c:title>
        <c:numFmt formatCode="General" sourceLinked="0"/>
        <c:majorTickMark val="in"/>
        <c:tickLblPos val="nextTo"/>
        <c:spPr>
          <a:ln>
            <a:solidFill>
              <a:schemeClr val="tx1"/>
            </a:solidFill>
          </a:ln>
        </c:spPr>
        <c:crossAx val="91454464"/>
        <c:crosses val="autoZero"/>
        <c:auto val="1"/>
        <c:lblAlgn val="ctr"/>
        <c:lblOffset val="100"/>
      </c:catAx>
      <c:valAx>
        <c:axId val="91454464"/>
        <c:scaling>
          <c:orientation val="minMax"/>
          <c:max val="16"/>
        </c:scaling>
        <c:axPos val="l"/>
        <c:majorGridlines>
          <c:spPr>
            <a:ln>
              <a:solidFill>
                <a:schemeClr val="bg2"/>
              </a:solidFill>
            </a:ln>
          </c:spPr>
        </c:majorGridlines>
        <c:title>
          <c:tx>
            <c:rich>
              <a:bodyPr rot="0" vert="horz"/>
              <a:lstStyle/>
              <a:p>
                <a:pPr>
                  <a:defRPr/>
                </a:pPr>
                <a:r>
                  <a:rPr lang="uk-UA"/>
                  <a:t>мкм</a:t>
                </a:r>
              </a:p>
            </c:rich>
          </c:tx>
          <c:layout>
            <c:manualLayout>
              <c:xMode val="edge"/>
              <c:yMode val="edge"/>
              <c:x val="2.7637582934510719E-3"/>
              <c:y val="1.5281385281385318E-2"/>
            </c:manualLayout>
          </c:layout>
        </c:title>
        <c:numFmt formatCode="General" sourceLinked="0"/>
        <c:majorTickMark val="in"/>
        <c:tickLblPos val="nextTo"/>
        <c:spPr>
          <a:ln>
            <a:solidFill>
              <a:schemeClr val="tx1"/>
            </a:solidFill>
          </a:ln>
        </c:spPr>
        <c:crossAx val="91452544"/>
        <c:crosses val="autoZero"/>
        <c:crossBetween val="between"/>
        <c:majorUnit val="2"/>
      </c:valAx>
    </c:plotArea>
    <c:legend>
      <c:legendPos val="b"/>
      <c:layout>
        <c:manualLayout>
          <c:xMode val="edge"/>
          <c:yMode val="edge"/>
          <c:x val="2.3767658365898567E-3"/>
          <c:y val="0.87033741264269748"/>
          <c:w val="0.96096703003057848"/>
          <c:h val="0.12966258735730321"/>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65.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232583065380488"/>
          <c:y val="5.8268898524286905E-2"/>
          <c:w val="0.84409431939978663"/>
          <c:h val="0.657132219243174"/>
        </c:manualLayout>
      </c:layout>
      <c:barChart>
        <c:barDir val="col"/>
        <c:grouping val="clustered"/>
        <c:ser>
          <c:idx val="0"/>
          <c:order val="0"/>
          <c:tx>
            <c:strRef>
              <c:f>'6'!$B$16</c:f>
              <c:strCache>
                <c:ptCount val="1"/>
                <c:pt idx="0">
                  <c:v>Ярило</c:v>
                </c:pt>
              </c:strCache>
            </c:strRef>
          </c:tx>
          <c:spPr>
            <a:pattFill prst="ltUpDiag">
              <a:fgClr>
                <a:schemeClr val="tx1"/>
              </a:fgClr>
              <a:bgClr>
                <a:schemeClr val="bg1"/>
              </a:bgClr>
            </a:pattFill>
            <a:ln>
              <a:solidFill>
                <a:sysClr val="windowText" lastClr="000000"/>
              </a:solidFill>
            </a:ln>
          </c:spPr>
          <c:cat>
            <c:numRef>
              <c:f>'6'!$A$17:$A$28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'6'!$B$17:$B$28</c:f>
              <c:numCache>
                <c:formatCode>0.0</c:formatCode>
                <c:ptCount val="12"/>
                <c:pt idx="0">
                  <c:v>10.1</c:v>
                </c:pt>
                <c:pt idx="1">
                  <c:v>10.3</c:v>
                </c:pt>
                <c:pt idx="2">
                  <c:v>11.1</c:v>
                </c:pt>
                <c:pt idx="3">
                  <c:v>10.9</c:v>
                </c:pt>
                <c:pt idx="4">
                  <c:v>9.1</c:v>
                </c:pt>
                <c:pt idx="5">
                  <c:v>8.4</c:v>
                </c:pt>
                <c:pt idx="6">
                  <c:v>11.9</c:v>
                </c:pt>
                <c:pt idx="7">
                  <c:v>11.7</c:v>
                </c:pt>
                <c:pt idx="8">
                  <c:v>12.1</c:v>
                </c:pt>
                <c:pt idx="9">
                  <c:v>11.9</c:v>
                </c:pt>
                <c:pt idx="10">
                  <c:v>13.2</c:v>
                </c:pt>
                <c:pt idx="11">
                  <c:v>12.7</c:v>
                </c:pt>
              </c:numCache>
            </c:numRef>
          </c:val>
          <c:extLst xmlns:c16r2="http://schemas.microsoft.com/office/drawing/2015/06/chart">
            <c:ext xmlns:c16="http://schemas.microsoft.com/office/drawing/2014/chart" uri="{C3380CC4-5D6E-409C-BE32-E72D297353CC}">
              <c16:uniqueId val="{00000000-DD40-4C60-943E-3FF4FA072B86}"/>
            </c:ext>
          </c:extLst>
        </c:ser>
        <c:ser>
          <c:idx val="1"/>
          <c:order val="1"/>
          <c:tx>
            <c:strRef>
              <c:f>'6'!$C$16</c:f>
              <c:strCache>
                <c:ptCount val="1"/>
                <c:pt idx="0">
                  <c:v>Загрей</c:v>
                </c:pt>
              </c:strCache>
            </c:strRef>
          </c:tx>
          <c:spPr>
            <a:solidFill>
              <a:schemeClr val="tx1"/>
            </a:solidFill>
            <a:ln>
              <a:solidFill>
                <a:sysClr val="windowText" lastClr="000000"/>
              </a:solidFill>
            </a:ln>
          </c:spPr>
          <c:cat>
            <c:numRef>
              <c:f>'6'!$A$17:$A$28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'6'!$C$17:$C$28</c:f>
              <c:numCache>
                <c:formatCode>0.0</c:formatCode>
                <c:ptCount val="12"/>
                <c:pt idx="0">
                  <c:v>10</c:v>
                </c:pt>
                <c:pt idx="1">
                  <c:v>10.200000000000001</c:v>
                </c:pt>
                <c:pt idx="2">
                  <c:v>11</c:v>
                </c:pt>
                <c:pt idx="3">
                  <c:v>9.6</c:v>
                </c:pt>
                <c:pt idx="4">
                  <c:v>8.6</c:v>
                </c:pt>
                <c:pt idx="5">
                  <c:v>7.3</c:v>
                </c:pt>
                <c:pt idx="6">
                  <c:v>11.8</c:v>
                </c:pt>
                <c:pt idx="7">
                  <c:v>11.6</c:v>
                </c:pt>
                <c:pt idx="8">
                  <c:v>11</c:v>
                </c:pt>
                <c:pt idx="9">
                  <c:v>11.8</c:v>
                </c:pt>
                <c:pt idx="10">
                  <c:v>12.8</c:v>
                </c:pt>
                <c:pt idx="11">
                  <c:v>13.4</c:v>
                </c:pt>
              </c:numCache>
            </c:numRef>
          </c:val>
          <c:extLst xmlns:c16r2="http://schemas.microsoft.com/office/drawing/2015/06/chart">
            <c:ext xmlns:c16="http://schemas.microsoft.com/office/drawing/2014/chart" uri="{C3380CC4-5D6E-409C-BE32-E72D297353CC}">
              <c16:uniqueId val="{00000001-DD40-4C60-943E-3FF4FA072B86}"/>
            </c:ext>
          </c:extLst>
        </c:ser>
        <c:dLbls/>
        <c:axId val="91497984"/>
        <c:axId val="91499904"/>
      </c:barChart>
      <c:catAx>
        <c:axId val="91497984"/>
        <c:scaling>
          <c:orientation val="minMax"/>
        </c:scaling>
        <c:axPos val="b"/>
        <c:title>
          <c:tx>
            <c:rich>
              <a:bodyPr/>
              <a:lstStyle/>
              <a:p>
                <a:pPr>
                  <a:defRPr sz="1000"/>
                </a:pPr>
                <a:r>
                  <a:rPr lang="uk-UA" sz="1000"/>
                  <a:t>Варіанти досліду</a:t>
                </a:r>
              </a:p>
            </c:rich>
          </c:tx>
          <c:layout>
            <c:manualLayout>
              <c:xMode val="edge"/>
              <c:yMode val="edge"/>
              <c:x val="0.82820314493170299"/>
              <c:y val="0.81102885756973486"/>
            </c:manualLayout>
          </c:layout>
        </c:title>
        <c:numFmt formatCode="General" sourceLinked="0"/>
        <c:majorTickMark val="in"/>
        <c:tickLblPos val="nextTo"/>
        <c:spPr>
          <a:ln>
            <a:solidFill>
              <a:schemeClr val="tx1"/>
            </a:solidFill>
          </a:ln>
        </c:spPr>
        <c:crossAx val="91499904"/>
        <c:crosses val="autoZero"/>
        <c:auto val="1"/>
        <c:lblAlgn val="ctr"/>
        <c:lblOffset val="100"/>
      </c:catAx>
      <c:valAx>
        <c:axId val="91499904"/>
        <c:scaling>
          <c:orientation val="minMax"/>
        </c:scaling>
        <c:axPos val="l"/>
        <c:majorGridlines>
          <c:spPr>
            <a:ln>
              <a:solidFill>
                <a:schemeClr val="bg2"/>
              </a:solidFill>
            </a:ln>
          </c:spPr>
        </c:majorGridlines>
        <c:title>
          <c:tx>
            <c:rich>
              <a:bodyPr rot="0" vert="horz"/>
              <a:lstStyle/>
              <a:p>
                <a:pPr>
                  <a:defRPr/>
                </a:pPr>
                <a:r>
                  <a:rPr lang="uk-UA"/>
                  <a:t>мкм</a:t>
                </a:r>
              </a:p>
            </c:rich>
          </c:tx>
          <c:layout>
            <c:manualLayout>
              <c:xMode val="edge"/>
              <c:yMode val="edge"/>
              <c:x val="2.7637582934510719E-3"/>
              <c:y val="1.5281385281385318E-2"/>
            </c:manualLayout>
          </c:layout>
        </c:title>
        <c:numFmt formatCode="General" sourceLinked="0"/>
        <c:majorTickMark val="in"/>
        <c:tickLblPos val="nextTo"/>
        <c:spPr>
          <a:ln>
            <a:solidFill>
              <a:schemeClr val="tx1"/>
            </a:solidFill>
          </a:ln>
        </c:spPr>
        <c:crossAx val="91497984"/>
        <c:crosses val="autoZero"/>
        <c:crossBetween val="between"/>
      </c:valAx>
    </c:plotArea>
    <c:legend>
      <c:legendPos val="b"/>
      <c:layout>
        <c:manualLayout>
          <c:xMode val="edge"/>
          <c:yMode val="edge"/>
          <c:x val="2.3767658365898567E-3"/>
          <c:y val="0.86191553328561255"/>
          <c:w val="0.95024506925518148"/>
          <c:h val="0.13808446671438798"/>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66.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4827906976744204"/>
          <c:y val="6.2356301847811338E-2"/>
          <c:w val="0.82898191214470374"/>
          <c:h val="0.65449999472957543"/>
        </c:manualLayout>
      </c:layout>
      <c:barChart>
        <c:barDir val="col"/>
        <c:grouping val="clustered"/>
        <c:ser>
          <c:idx val="0"/>
          <c:order val="0"/>
          <c:tx>
            <c:strRef>
              <c:f>'7'!$B$1</c:f>
              <c:strCache>
                <c:ptCount val="1"/>
                <c:pt idx="0">
                  <c:v>Добриня</c:v>
                </c:pt>
              </c:strCache>
            </c:strRef>
          </c:tx>
          <c:spPr>
            <a:pattFill prst="horzBrick">
              <a:fgClr>
                <a:schemeClr val="tx1"/>
              </a:fgClr>
              <a:bgClr>
                <a:schemeClr val="bg1"/>
              </a:bgClr>
            </a:pattFill>
            <a:ln>
              <a:solidFill>
                <a:sysClr val="windowText" lastClr="000000"/>
              </a:solidFill>
            </a:ln>
          </c:spPr>
          <c:cat>
            <c:numRef>
              <c:f>'7'!$A$2:$A$13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'7'!$B$2:$B$13</c:f>
              <c:numCache>
                <c:formatCode>0.0</c:formatCode>
                <c:ptCount val="12"/>
                <c:pt idx="0">
                  <c:v>349.30877139821825</c:v>
                </c:pt>
                <c:pt idx="1">
                  <c:v>346.00859511127777</c:v>
                </c:pt>
                <c:pt idx="2">
                  <c:v>398.00961825699289</c:v>
                </c:pt>
                <c:pt idx="3">
                  <c:v>378.99814480251706</c:v>
                </c:pt>
                <c:pt idx="4">
                  <c:v>286.3847171290393</c:v>
                </c:pt>
                <c:pt idx="5">
                  <c:v>275.22879729614226</c:v>
                </c:pt>
                <c:pt idx="6">
                  <c:v>449.70927782296638</c:v>
                </c:pt>
                <c:pt idx="7">
                  <c:v>416.82574028599112</c:v>
                </c:pt>
                <c:pt idx="8">
                  <c:v>440.32988396348571</c:v>
                </c:pt>
                <c:pt idx="9">
                  <c:v>421.19288065843739</c:v>
                </c:pt>
                <c:pt idx="10">
                  <c:v>492.71015625000035</c:v>
                </c:pt>
                <c:pt idx="11">
                  <c:v>473.41989581811521</c:v>
                </c:pt>
              </c:numCache>
            </c:numRef>
          </c:val>
          <c:extLst xmlns:c16r2="http://schemas.microsoft.com/office/drawing/2015/06/chart">
            <c:ext xmlns:c16="http://schemas.microsoft.com/office/drawing/2014/chart" uri="{C3380CC4-5D6E-409C-BE32-E72D297353CC}">
              <c16:uniqueId val="{00000000-2252-4E8F-8018-BB9131F8380F}"/>
            </c:ext>
          </c:extLst>
        </c:ser>
        <c:ser>
          <c:idx val="1"/>
          <c:order val="1"/>
          <c:tx>
            <c:strRef>
              <c:f>'7'!$C$1</c:f>
              <c:strCache>
                <c:ptCount val="1"/>
                <c:pt idx="0">
                  <c:v>Гарант</c:v>
                </c:pt>
              </c:strCache>
            </c:strRef>
          </c:tx>
          <c:spPr>
            <a:solidFill>
              <a:schemeClr val="bg1">
                <a:lumMod val="75000"/>
              </a:schemeClr>
            </a:solidFill>
            <a:ln>
              <a:solidFill>
                <a:sysClr val="windowText" lastClr="000000"/>
              </a:solidFill>
            </a:ln>
          </c:spPr>
          <c:cat>
            <c:numRef>
              <c:f>'7'!$A$2:$A$13</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'7'!$C$2:$C$13</c:f>
              <c:numCache>
                <c:formatCode>0.0</c:formatCode>
                <c:ptCount val="12"/>
                <c:pt idx="0">
                  <c:v>348.17690797780074</c:v>
                </c:pt>
                <c:pt idx="1">
                  <c:v>366.74753191746197</c:v>
                </c:pt>
                <c:pt idx="2">
                  <c:v>432.08442953910031</c:v>
                </c:pt>
                <c:pt idx="3">
                  <c:v>404.00428619701563</c:v>
                </c:pt>
                <c:pt idx="4">
                  <c:v>323.04342872008147</c:v>
                </c:pt>
                <c:pt idx="5">
                  <c:v>292.11467302491911</c:v>
                </c:pt>
                <c:pt idx="6">
                  <c:v>449.97029131724764</c:v>
                </c:pt>
                <c:pt idx="7">
                  <c:v>426.11723979855429</c:v>
                </c:pt>
                <c:pt idx="8">
                  <c:v>475.26351156442956</c:v>
                </c:pt>
                <c:pt idx="9">
                  <c:v>431.94384230324187</c:v>
                </c:pt>
                <c:pt idx="10">
                  <c:v>505.43983072916632</c:v>
                </c:pt>
                <c:pt idx="11">
                  <c:v>482.9450129480569</c:v>
                </c:pt>
              </c:numCache>
            </c:numRef>
          </c:val>
          <c:extLst xmlns:c16r2="http://schemas.microsoft.com/office/drawing/2015/06/chart">
            <c:ext xmlns:c16="http://schemas.microsoft.com/office/drawing/2014/chart" uri="{C3380CC4-5D6E-409C-BE32-E72D297353CC}">
              <c16:uniqueId val="{00000001-2252-4E8F-8018-BB9131F8380F}"/>
            </c:ext>
          </c:extLst>
        </c:ser>
        <c:dLbls/>
        <c:axId val="91551616"/>
        <c:axId val="91553792"/>
      </c:barChart>
      <c:catAx>
        <c:axId val="91551616"/>
        <c:scaling>
          <c:orientation val="minMax"/>
        </c:scaling>
        <c:axPos val="b"/>
        <c:title>
          <c:tx>
            <c:rich>
              <a:bodyPr/>
              <a:lstStyle/>
              <a:p>
                <a:pPr>
                  <a:defRPr sz="1000"/>
                </a:pPr>
                <a:r>
                  <a:rPr lang="uk-UA" sz="1000"/>
                  <a:t>Варіанти досліду</a:t>
                </a:r>
              </a:p>
            </c:rich>
          </c:tx>
          <c:layout>
            <c:manualLayout>
              <c:xMode val="edge"/>
              <c:yMode val="edge"/>
              <c:x val="0.83599971561481334"/>
              <c:y val="0.81525771760129695"/>
            </c:manualLayout>
          </c:layout>
        </c:title>
        <c:numFmt formatCode="General" sourceLinked="0"/>
        <c:majorTickMark val="in"/>
        <c:tickLblPos val="nextTo"/>
        <c:spPr>
          <a:ln>
            <a:solidFill>
              <a:schemeClr val="tx1"/>
            </a:solidFill>
          </a:ln>
        </c:spPr>
        <c:crossAx val="91553792"/>
        <c:crosses val="autoZero"/>
        <c:auto val="1"/>
        <c:lblAlgn val="ctr"/>
        <c:lblOffset val="100"/>
      </c:catAx>
      <c:valAx>
        <c:axId val="91553792"/>
        <c:scaling>
          <c:orientation val="minMax"/>
        </c:scaling>
        <c:axPos val="l"/>
        <c:majorGridlines>
          <c:spPr>
            <a:ln>
              <a:solidFill>
                <a:schemeClr val="bg2"/>
              </a:solidFill>
            </a:ln>
          </c:spPr>
        </c:majorGridlines>
        <c:title>
          <c:tx>
            <c:rich>
              <a:bodyPr rot="0" vert="horz"/>
              <a:lstStyle/>
              <a:p>
                <a:pPr>
                  <a:defRPr/>
                </a:pPr>
                <a:r>
                  <a:rPr lang="uk-UA"/>
                  <a:t>мкм</a:t>
                </a:r>
                <a:r>
                  <a:rPr lang="uk-UA" baseline="30000"/>
                  <a:t>2</a:t>
                </a:r>
              </a:p>
            </c:rich>
          </c:tx>
          <c:layout>
            <c:manualLayout>
              <c:xMode val="edge"/>
              <c:yMode val="edge"/>
              <c:x val="2.7637582934510706E-3"/>
              <c:y val="1.5281385281385305E-2"/>
            </c:manualLayout>
          </c:layout>
        </c:title>
        <c:numFmt formatCode="General" sourceLinked="0"/>
        <c:majorTickMark val="in"/>
        <c:tickLblPos val="nextTo"/>
        <c:spPr>
          <a:ln>
            <a:solidFill>
              <a:schemeClr val="tx1"/>
            </a:solidFill>
          </a:ln>
        </c:spPr>
        <c:crossAx val="91551616"/>
        <c:crosses val="autoZero"/>
        <c:crossBetween val="between"/>
      </c:valAx>
    </c:plotArea>
    <c:legend>
      <c:legendPos val="b"/>
      <c:layout>
        <c:manualLayout>
          <c:xMode val="edge"/>
          <c:yMode val="edge"/>
          <c:x val="2.3767658365898576E-3"/>
          <c:y val="0.9265620206565085"/>
          <c:w val="0.99524646832682029"/>
          <c:h val="7.3437979343491236E-2"/>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67.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4827906976744204"/>
          <c:y val="6.3374363918795862E-2"/>
          <c:w val="0.82898191214470374"/>
          <c:h val="0.6488591783169968"/>
        </c:manualLayout>
      </c:layout>
      <c:barChart>
        <c:barDir val="col"/>
        <c:grouping val="clustered"/>
        <c:ser>
          <c:idx val="0"/>
          <c:order val="0"/>
          <c:tx>
            <c:strRef>
              <c:f>'7'!$B$16</c:f>
              <c:strCache>
                <c:ptCount val="1"/>
                <c:pt idx="0">
                  <c:v>Ярило</c:v>
                </c:pt>
              </c:strCache>
            </c:strRef>
          </c:tx>
          <c:spPr>
            <a:pattFill prst="horzBrick">
              <a:fgClr>
                <a:schemeClr val="tx1"/>
              </a:fgClr>
              <a:bgClr>
                <a:schemeClr val="bg1"/>
              </a:bgClr>
            </a:pattFill>
            <a:ln>
              <a:solidFill>
                <a:sysClr val="windowText" lastClr="000000"/>
              </a:solidFill>
            </a:ln>
          </c:spPr>
          <c:cat>
            <c:numRef>
              <c:f>'7'!$A$17:$A$28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'7'!$B$17:$B$28</c:f>
              <c:numCache>
                <c:formatCode>0.0</c:formatCode>
                <c:ptCount val="12"/>
                <c:pt idx="0">
                  <c:v>327.03269259983546</c:v>
                </c:pt>
                <c:pt idx="1">
                  <c:v>332.91479360258256</c:v>
                </c:pt>
                <c:pt idx="2">
                  <c:v>382.98606988783268</c:v>
                </c:pt>
                <c:pt idx="3">
                  <c:v>367.68630823451656</c:v>
                </c:pt>
                <c:pt idx="4">
                  <c:v>287.91772890946527</c:v>
                </c:pt>
                <c:pt idx="5">
                  <c:v>262.65039997704315</c:v>
                </c:pt>
                <c:pt idx="6">
                  <c:v>419.64117135081506</c:v>
                </c:pt>
                <c:pt idx="7">
                  <c:v>400.25592394389895</c:v>
                </c:pt>
                <c:pt idx="8">
                  <c:v>447.04231524733325</c:v>
                </c:pt>
                <c:pt idx="9">
                  <c:v>414.29460834093209</c:v>
                </c:pt>
                <c:pt idx="10">
                  <c:v>490.07229591836705</c:v>
                </c:pt>
                <c:pt idx="11">
                  <c:v>446.19387189563531</c:v>
                </c:pt>
              </c:numCache>
            </c:numRef>
          </c:val>
          <c:extLst xmlns:c16r2="http://schemas.microsoft.com/office/drawing/2015/06/chart">
            <c:ext xmlns:c16="http://schemas.microsoft.com/office/drawing/2014/chart" uri="{C3380CC4-5D6E-409C-BE32-E72D297353CC}">
              <c16:uniqueId val="{00000000-6E03-4713-A01E-B63633F87533}"/>
            </c:ext>
          </c:extLst>
        </c:ser>
        <c:ser>
          <c:idx val="1"/>
          <c:order val="1"/>
          <c:tx>
            <c:strRef>
              <c:f>'7'!$C$16</c:f>
              <c:strCache>
                <c:ptCount val="1"/>
                <c:pt idx="0">
                  <c:v>Загрей</c:v>
                </c:pt>
              </c:strCache>
            </c:strRef>
          </c:tx>
          <c:spPr>
            <a:solidFill>
              <a:schemeClr val="bg1">
                <a:lumMod val="85000"/>
              </a:schemeClr>
            </a:solidFill>
            <a:ln>
              <a:solidFill>
                <a:sysClr val="windowText" lastClr="000000"/>
              </a:solidFill>
            </a:ln>
          </c:spPr>
          <c:cat>
            <c:numRef>
              <c:f>'7'!$A$17:$A$28</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'7'!$C$17:$C$28</c:f>
              <c:numCache>
                <c:formatCode>0.0</c:formatCode>
                <c:ptCount val="12"/>
                <c:pt idx="0">
                  <c:v>320.02546041656984</c:v>
                </c:pt>
                <c:pt idx="1">
                  <c:v>312.70881968077396</c:v>
                </c:pt>
                <c:pt idx="2">
                  <c:v>357.52205105514327</c:v>
                </c:pt>
                <c:pt idx="3">
                  <c:v>342.80461140858824</c:v>
                </c:pt>
                <c:pt idx="4">
                  <c:v>260.31500664251195</c:v>
                </c:pt>
                <c:pt idx="5">
                  <c:v>249.80154034090833</c:v>
                </c:pt>
                <c:pt idx="6">
                  <c:v>413.03537519349851</c:v>
                </c:pt>
                <c:pt idx="7">
                  <c:v>390.41612872023825</c:v>
                </c:pt>
                <c:pt idx="8">
                  <c:v>360.04412845849737</c:v>
                </c:pt>
                <c:pt idx="9">
                  <c:v>352.17498765980201</c:v>
                </c:pt>
                <c:pt idx="10">
                  <c:v>369.66771428571445</c:v>
                </c:pt>
                <c:pt idx="11">
                  <c:v>335.69521074054626</c:v>
                </c:pt>
              </c:numCache>
            </c:numRef>
          </c:val>
          <c:extLst xmlns:c16r2="http://schemas.microsoft.com/office/drawing/2015/06/chart">
            <c:ext xmlns:c16="http://schemas.microsoft.com/office/drawing/2014/chart" uri="{C3380CC4-5D6E-409C-BE32-E72D297353CC}">
              <c16:uniqueId val="{00000001-6E03-4713-A01E-B63633F87533}"/>
            </c:ext>
          </c:extLst>
        </c:ser>
        <c:dLbls/>
        <c:axId val="91592960"/>
        <c:axId val="91599232"/>
      </c:barChart>
      <c:catAx>
        <c:axId val="91592960"/>
        <c:scaling>
          <c:orientation val="minMax"/>
        </c:scaling>
        <c:axPos val="b"/>
        <c:title>
          <c:tx>
            <c:rich>
              <a:bodyPr/>
              <a:lstStyle/>
              <a:p>
                <a:pPr>
                  <a:defRPr sz="1000"/>
                </a:pPr>
                <a:r>
                  <a:rPr lang="uk-UA" sz="1000"/>
                  <a:t>Варіанти досліду</a:t>
                </a:r>
              </a:p>
            </c:rich>
          </c:tx>
          <c:layout>
            <c:manualLayout>
              <c:xMode val="edge"/>
              <c:yMode val="edge"/>
              <c:x val="0.83599971561481334"/>
              <c:y val="0.80596400734200369"/>
            </c:manualLayout>
          </c:layout>
        </c:title>
        <c:numFmt formatCode="General" sourceLinked="0"/>
        <c:majorTickMark val="in"/>
        <c:tickLblPos val="nextTo"/>
        <c:spPr>
          <a:ln>
            <a:solidFill>
              <a:schemeClr val="tx1"/>
            </a:solidFill>
          </a:ln>
        </c:spPr>
        <c:crossAx val="91599232"/>
        <c:crosses val="autoZero"/>
        <c:auto val="1"/>
        <c:lblAlgn val="ctr"/>
        <c:lblOffset val="100"/>
      </c:catAx>
      <c:valAx>
        <c:axId val="91599232"/>
        <c:scaling>
          <c:orientation val="minMax"/>
        </c:scaling>
        <c:axPos val="l"/>
        <c:majorGridlines>
          <c:spPr>
            <a:ln>
              <a:solidFill>
                <a:schemeClr val="bg2"/>
              </a:solidFill>
            </a:ln>
          </c:spPr>
        </c:majorGridlines>
        <c:title>
          <c:tx>
            <c:rich>
              <a:bodyPr rot="0" vert="horz"/>
              <a:lstStyle/>
              <a:p>
                <a:pPr>
                  <a:defRPr/>
                </a:pPr>
                <a:r>
                  <a:rPr lang="uk-UA"/>
                  <a:t>мкм</a:t>
                </a:r>
                <a:r>
                  <a:rPr lang="uk-UA" baseline="30000"/>
                  <a:t>2</a:t>
                </a:r>
              </a:p>
            </c:rich>
          </c:tx>
          <c:layout>
            <c:manualLayout>
              <c:xMode val="edge"/>
              <c:yMode val="edge"/>
              <c:x val="2.7637582934510706E-3"/>
              <c:y val="1.5281385281385305E-2"/>
            </c:manualLayout>
          </c:layout>
        </c:title>
        <c:numFmt formatCode="General" sourceLinked="0"/>
        <c:majorTickMark val="in"/>
        <c:tickLblPos val="nextTo"/>
        <c:spPr>
          <a:ln>
            <a:solidFill>
              <a:schemeClr val="tx1"/>
            </a:solidFill>
          </a:ln>
        </c:spPr>
        <c:crossAx val="91592960"/>
        <c:crosses val="autoZero"/>
        <c:crossBetween val="between"/>
      </c:valAx>
    </c:plotArea>
    <c:legend>
      <c:legendPos val="b"/>
      <c:layout>
        <c:manualLayout>
          <c:xMode val="edge"/>
          <c:yMode val="edge"/>
          <c:x val="2.3767658365898576E-3"/>
          <c:y val="0.9265620206565085"/>
          <c:w val="0.99524646832682029"/>
          <c:h val="7.3437979343491236E-2"/>
        </c:manualLayout>
      </c:layout>
    </c:legend>
    <c:plotVisOnly val="1"/>
    <c:dispBlanksAs val="gap"/>
  </c:chart>
  <c:txPr>
    <a:bodyPr/>
    <a:lstStyle/>
    <a:p>
      <a:pPr>
        <a:defRPr sz="1200" b="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68.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76899576229426"/>
          <c:y val="4.3660418963616332E-2"/>
          <c:w val="0.84830922447890145"/>
          <c:h val="0.58295703348546668"/>
        </c:manualLayout>
      </c:layout>
      <c:barChart>
        <c:barDir val="col"/>
        <c:grouping val="clustered"/>
        <c:ser>
          <c:idx val="0"/>
          <c:order val="0"/>
          <c:tx>
            <c:v>Добриня</c:v>
          </c:tx>
          <c:spPr>
            <a:pattFill prst="horzBrick">
              <a:fgClr>
                <a:sysClr val="windowText" lastClr="000000"/>
              </a:fgClr>
              <a:bgClr>
                <a:schemeClr val="bg1"/>
              </a:bgClr>
            </a:pattFill>
            <a:ln w="9528">
              <a:solidFill>
                <a:srgbClr val="000000"/>
              </a:solidFill>
              <a:prstDash val="solid"/>
            </a:ln>
          </c:spPr>
          <c:cat>
            <c:numLit>
              <c:formatCode>General</c:formatCode>
              <c:ptCount val="5"/>
              <c:pt idx="0">
                <c:v>1</c:v>
              </c:pt>
              <c:pt idx="1">
                <c:v>2</c:v>
              </c:pt>
              <c:pt idx="2">
                <c:v>3</c:v>
              </c:pt>
              <c:pt idx="3">
                <c:v>4</c:v>
              </c:pt>
              <c:pt idx="4">
                <c:v>5</c:v>
              </c:pt>
            </c:numLit>
          </c:cat>
          <c:val>
            <c:numLit>
              <c:formatCode>General</c:formatCode>
              <c:ptCount val="5"/>
              <c:pt idx="0">
                <c:v>27.433333333333223</c:v>
              </c:pt>
              <c:pt idx="1">
                <c:v>26.6666666666667</c:v>
              </c:pt>
              <c:pt idx="2">
                <c:v>42.4</c:v>
              </c:pt>
              <c:pt idx="3">
                <c:v>42</c:v>
              </c:pt>
              <c:pt idx="4">
                <c:v>45.3333333333333</c:v>
              </c:pt>
            </c:numLit>
          </c:val>
          <c:extLst xmlns:c16r2="http://schemas.microsoft.com/office/drawing/2015/06/chart">
            <c:ext xmlns:c16="http://schemas.microsoft.com/office/drawing/2014/chart" uri="{C3380CC4-5D6E-409C-BE32-E72D297353CC}">
              <c16:uniqueId val="{00000000-1173-418D-9911-EA5D41F3ED8A}"/>
            </c:ext>
          </c:extLst>
        </c:ser>
        <c:ser>
          <c:idx val="1"/>
          <c:order val="1"/>
          <c:tx>
            <c:v>Гарант</c:v>
          </c:tx>
          <c:spPr>
            <a:solidFill>
              <a:srgbClr val="D9D9D9"/>
            </a:solidFill>
            <a:ln w="9528">
              <a:solidFill>
                <a:srgbClr val="000000"/>
              </a:solidFill>
              <a:prstDash val="solid"/>
            </a:ln>
          </c:spPr>
          <c:cat>
            <c:numLit>
              <c:formatCode>General</c:formatCode>
              <c:ptCount val="5"/>
              <c:pt idx="0">
                <c:v>1</c:v>
              </c:pt>
              <c:pt idx="1">
                <c:v>2</c:v>
              </c:pt>
              <c:pt idx="2">
                <c:v>3</c:v>
              </c:pt>
              <c:pt idx="3">
                <c:v>4</c:v>
              </c:pt>
              <c:pt idx="4">
                <c:v>5</c:v>
              </c:pt>
            </c:numLit>
          </c:cat>
          <c:val>
            <c:numLit>
              <c:formatCode>General</c:formatCode>
              <c:ptCount val="5"/>
              <c:pt idx="0">
                <c:v>32.166666666666579</c:v>
              </c:pt>
              <c:pt idx="1">
                <c:v>30.6666666666667</c:v>
              </c:pt>
              <c:pt idx="2">
                <c:v>46.6</c:v>
              </c:pt>
              <c:pt idx="3">
                <c:v>45.3333333333333</c:v>
              </c:pt>
              <c:pt idx="4">
                <c:v>48.5</c:v>
              </c:pt>
            </c:numLit>
          </c:val>
          <c:extLst xmlns:c16r2="http://schemas.microsoft.com/office/drawing/2015/06/chart">
            <c:ext xmlns:c16="http://schemas.microsoft.com/office/drawing/2014/chart" uri="{C3380CC4-5D6E-409C-BE32-E72D297353CC}">
              <c16:uniqueId val="{00000001-1173-418D-9911-EA5D41F3ED8A}"/>
            </c:ext>
          </c:extLst>
        </c:ser>
        <c:dLbls/>
        <c:gapWidth val="219"/>
        <c:overlap val="-27"/>
        <c:axId val="91661824"/>
        <c:axId val="91646976"/>
      </c:barChart>
      <c:valAx>
        <c:axId val="91646976"/>
        <c:scaling>
          <c:orientation val="minMax"/>
        </c:scaling>
        <c:axPos val="l"/>
        <c:majorGridlines>
          <c:spPr>
            <a:ln w="9528" cap="flat">
              <a:solidFill>
                <a:srgbClr val="D9D9D9"/>
              </a:solidFill>
              <a:prstDash val="solid"/>
              <a:round/>
            </a:ln>
          </c:spPr>
        </c:majorGridlines>
        <c:title>
          <c:tx>
            <c:rich>
              <a:bodyPr rot="0" vert="horz" lIns="0" tIns="0" rIns="0" bIns="0"/>
              <a:lstStyle/>
              <a:p>
                <a:pPr marL="0" marR="0" indent="0" algn="ctr"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r>
                  <a:rPr lang="ru-RU" sz="1200" b="0" i="0" u="none" strike="noStrike" kern="1200" cap="none" spc="0" baseline="0">
                    <a:solidFill>
                      <a:srgbClr val="000000"/>
                    </a:solidFill>
                    <a:uFillTx/>
                    <a:latin typeface="Times New Roman" pitchFamily="18"/>
                    <a:cs typeface="Times New Roman" pitchFamily="18"/>
                  </a:rPr>
                  <a:t>шт.</a:t>
                </a:r>
              </a:p>
            </c:rich>
          </c:tx>
          <c:layout>
            <c:manualLayout>
              <c:xMode val="edge"/>
              <c:yMode val="edge"/>
              <c:x val="2.7775945568644985E-3"/>
              <c:y val="1.1949057635711781E-3"/>
            </c:manualLayout>
          </c:layout>
          <c:spPr>
            <a:noFill/>
            <a:ln>
              <a:noFill/>
            </a:ln>
          </c:spPr>
        </c:title>
        <c:numFmt formatCode="General" sourceLinked="0"/>
        <c:majorTickMark val="in"/>
        <c:tickLblPos val="nextTo"/>
        <c:spPr>
          <a:no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crossAx val="91661824"/>
        <c:crosses val="autoZero"/>
        <c:crossBetween val="between"/>
        <c:majorUnit val="20"/>
      </c:valAx>
      <c:catAx>
        <c:axId val="91661824"/>
        <c:scaling>
          <c:orientation val="minMax"/>
        </c:scaling>
        <c:axPos val="b"/>
        <c:title>
          <c:tx>
            <c:rich>
              <a:bodyPr lIns="0" tIns="0" rIns="0" bIns="0"/>
              <a:lstStyle/>
              <a:p>
                <a:pPr marL="0" marR="0" indent="0" algn="ctr" defTabSz="914400" fontAlgn="auto" hangingPunct="1">
                  <a:lnSpc>
                    <a:spcPct val="100000"/>
                  </a:lnSpc>
                  <a:spcBef>
                    <a:spcPts val="0"/>
                  </a:spcBef>
                  <a:spcAft>
                    <a:spcPts val="0"/>
                  </a:spcAft>
                  <a:tabLst/>
                  <a:defRPr lang="ru-RU" sz="1000" b="0" i="0" u="none" strike="noStrike" kern="1200" baseline="0">
                    <a:solidFill>
                      <a:srgbClr val="000000"/>
                    </a:solidFill>
                    <a:latin typeface="Times New Roman" pitchFamily="18"/>
                    <a:cs typeface="Times New Roman" pitchFamily="18"/>
                  </a:defRPr>
                </a:pPr>
                <a:r>
                  <a:rPr lang="ru-RU" sz="1000" b="0" i="0" u="none" strike="noStrike" kern="1200" cap="none" spc="0" baseline="0">
                    <a:solidFill>
                      <a:srgbClr val="000000"/>
                    </a:solidFill>
                    <a:uFillTx/>
                    <a:latin typeface="Times New Roman" pitchFamily="18"/>
                    <a:cs typeface="Times New Roman" pitchFamily="18"/>
                  </a:rPr>
                  <a:t>Варіанти досліду</a:t>
                </a:r>
              </a:p>
            </c:rich>
          </c:tx>
          <c:layout>
            <c:manualLayout>
              <c:xMode val="edge"/>
              <c:yMode val="edge"/>
              <c:x val="0.83007951647213341"/>
              <c:y val="0.81986222585393465"/>
            </c:manualLayout>
          </c:layout>
          <c:spPr>
            <a:noFill/>
            <a:ln>
              <a:noFill/>
            </a:ln>
          </c:spPr>
        </c:title>
        <c:numFmt formatCode="General" sourceLinked="0"/>
        <c:majorTickMark val="in"/>
        <c:tickLblPos val="nextTo"/>
        <c:spPr>
          <a:no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crossAx val="91646976"/>
        <c:crosses val="autoZero"/>
        <c:auto val="1"/>
        <c:lblAlgn val="ctr"/>
        <c:lblOffset val="100"/>
      </c:catAx>
      <c:spPr>
        <a:noFill/>
        <a:ln>
          <a:noFill/>
        </a:ln>
      </c:spPr>
    </c:plotArea>
    <c:legend>
      <c:legendPos val="r"/>
      <c:layout>
        <c:manualLayout>
          <c:xMode val="edge"/>
          <c:yMode val="edge"/>
          <c:x val="1.1864955236759833E-3"/>
          <c:y val="0.84328846033078164"/>
          <c:w val="0.94751486252313077"/>
          <c:h val="0.15671153966921864"/>
        </c:manualLayout>
      </c:layout>
      <c:spPr>
        <a:noFill/>
        <a:ln>
          <a:noFill/>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legend>
    <c:plotVisOnly val="1"/>
    <c:dispBlanksAs val="gap"/>
  </c:chart>
  <c:spPr>
    <a:solidFill>
      <a:srgbClr val="FFFFFF"/>
    </a:solid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externalData r:id="rId1"/>
</c:chartSpace>
</file>

<file path=word/charts/chart69.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782222222222225"/>
          <c:y val="3.9250275633958102E-2"/>
          <c:w val="0.8524166034801206"/>
          <c:h val="0.62194087319715485"/>
        </c:manualLayout>
      </c:layout>
      <c:barChart>
        <c:barDir val="col"/>
        <c:grouping val="clustered"/>
        <c:ser>
          <c:idx val="0"/>
          <c:order val="0"/>
          <c:tx>
            <c:v>Ярило</c:v>
          </c:tx>
          <c:spPr>
            <a:pattFill prst="horzBrick">
              <a:fgClr>
                <a:sysClr val="windowText" lastClr="000000"/>
              </a:fgClr>
              <a:bgClr>
                <a:schemeClr val="bg1"/>
              </a:bgClr>
            </a:pattFill>
            <a:ln w="9528">
              <a:solidFill>
                <a:srgbClr val="000000"/>
              </a:solidFill>
              <a:prstDash val="solid"/>
            </a:ln>
          </c:spPr>
          <c:cat>
            <c:numLit>
              <c:formatCode>General</c:formatCode>
              <c:ptCount val="5"/>
              <c:pt idx="0">
                <c:v>1</c:v>
              </c:pt>
              <c:pt idx="1">
                <c:v>2</c:v>
              </c:pt>
              <c:pt idx="2">
                <c:v>3</c:v>
              </c:pt>
              <c:pt idx="3">
                <c:v>4</c:v>
              </c:pt>
              <c:pt idx="4">
                <c:v>5</c:v>
              </c:pt>
            </c:numLit>
          </c:cat>
          <c:val>
            <c:numLit>
              <c:formatCode>General</c:formatCode>
              <c:ptCount val="5"/>
              <c:pt idx="0">
                <c:v>25</c:v>
              </c:pt>
              <c:pt idx="1">
                <c:v>24.1666666666667</c:v>
              </c:pt>
              <c:pt idx="2">
                <c:v>35</c:v>
              </c:pt>
              <c:pt idx="3">
                <c:v>38.75</c:v>
              </c:pt>
              <c:pt idx="4">
                <c:v>34.5</c:v>
              </c:pt>
            </c:numLit>
          </c:val>
          <c:extLst xmlns:c16r2="http://schemas.microsoft.com/office/drawing/2015/06/chart">
            <c:ext xmlns:c16="http://schemas.microsoft.com/office/drawing/2014/chart" uri="{C3380CC4-5D6E-409C-BE32-E72D297353CC}">
              <c16:uniqueId val="{00000000-759B-409F-97D1-E237F4CAD5D2}"/>
            </c:ext>
          </c:extLst>
        </c:ser>
        <c:ser>
          <c:idx val="1"/>
          <c:order val="1"/>
          <c:tx>
            <c:v>Загрей</c:v>
          </c:tx>
          <c:spPr>
            <a:solidFill>
              <a:srgbClr val="D9D9D9"/>
            </a:solidFill>
            <a:ln w="9528">
              <a:solidFill>
                <a:srgbClr val="000000"/>
              </a:solidFill>
              <a:prstDash val="solid"/>
            </a:ln>
          </c:spPr>
          <c:cat>
            <c:numLit>
              <c:formatCode>General</c:formatCode>
              <c:ptCount val="5"/>
              <c:pt idx="0">
                <c:v>1</c:v>
              </c:pt>
              <c:pt idx="1">
                <c:v>2</c:v>
              </c:pt>
              <c:pt idx="2">
                <c:v>3</c:v>
              </c:pt>
              <c:pt idx="3">
                <c:v>4</c:v>
              </c:pt>
              <c:pt idx="4">
                <c:v>5</c:v>
              </c:pt>
            </c:numLit>
          </c:cat>
          <c:val>
            <c:numLit>
              <c:formatCode>General</c:formatCode>
              <c:ptCount val="5"/>
              <c:pt idx="0">
                <c:v>24</c:v>
              </c:pt>
              <c:pt idx="1">
                <c:v>23</c:v>
              </c:pt>
              <c:pt idx="2">
                <c:v>33</c:v>
              </c:pt>
              <c:pt idx="3">
                <c:v>36</c:v>
              </c:pt>
              <c:pt idx="4">
                <c:v>32</c:v>
              </c:pt>
            </c:numLit>
          </c:val>
          <c:extLst xmlns:c16r2="http://schemas.microsoft.com/office/drawing/2015/06/chart">
            <c:ext xmlns:c16="http://schemas.microsoft.com/office/drawing/2014/chart" uri="{C3380CC4-5D6E-409C-BE32-E72D297353CC}">
              <c16:uniqueId val="{00000001-759B-409F-97D1-E237F4CAD5D2}"/>
            </c:ext>
          </c:extLst>
        </c:ser>
        <c:dLbls/>
        <c:gapWidth val="219"/>
        <c:overlap val="-27"/>
        <c:axId val="91719936"/>
        <c:axId val="91717632"/>
      </c:barChart>
      <c:valAx>
        <c:axId val="91717632"/>
        <c:scaling>
          <c:orientation val="minMax"/>
          <c:max val="60"/>
        </c:scaling>
        <c:axPos val="l"/>
        <c:majorGridlines>
          <c:spPr>
            <a:ln w="9528" cap="flat">
              <a:solidFill>
                <a:srgbClr val="D9D9D9"/>
              </a:solidFill>
              <a:prstDash val="solid"/>
              <a:round/>
            </a:ln>
          </c:spPr>
        </c:majorGridlines>
        <c:title>
          <c:tx>
            <c:rich>
              <a:bodyPr rot="0" vert="horz" lIns="0" tIns="0" rIns="0" bIns="0"/>
              <a:lstStyle/>
              <a:p>
                <a:pPr marL="0" marR="0" indent="0" algn="ctr"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r>
                  <a:rPr lang="ru-RU" sz="1200" b="0" i="0" u="none" strike="noStrike" kern="1200" cap="none" spc="0" baseline="0">
                    <a:solidFill>
                      <a:srgbClr val="000000"/>
                    </a:solidFill>
                    <a:uFillTx/>
                    <a:latin typeface="Times New Roman" pitchFamily="18"/>
                    <a:cs typeface="Times New Roman" pitchFamily="18"/>
                  </a:rPr>
                  <a:t>шт.</a:t>
                </a:r>
              </a:p>
            </c:rich>
          </c:tx>
          <c:layout>
            <c:manualLayout>
              <c:xMode val="edge"/>
              <c:yMode val="edge"/>
              <c:x val="2.7777194517352045E-3"/>
              <c:y val="1.1949057635711781E-3"/>
            </c:manualLayout>
          </c:layout>
          <c:spPr>
            <a:noFill/>
            <a:ln>
              <a:noFill/>
            </a:ln>
          </c:spPr>
        </c:title>
        <c:numFmt formatCode="General" sourceLinked="0"/>
        <c:majorTickMark val="in"/>
        <c:tickLblPos val="nextTo"/>
        <c:spPr>
          <a:no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crossAx val="91719936"/>
        <c:crosses val="autoZero"/>
        <c:crossBetween val="between"/>
        <c:majorUnit val="20"/>
      </c:valAx>
      <c:catAx>
        <c:axId val="91719936"/>
        <c:scaling>
          <c:orientation val="minMax"/>
        </c:scaling>
        <c:axPos val="b"/>
        <c:title>
          <c:tx>
            <c:rich>
              <a:bodyPr lIns="0" tIns="0" rIns="0" bIns="0"/>
              <a:lstStyle/>
              <a:p>
                <a:pPr marL="0" marR="0" indent="0" algn="ctr" defTabSz="914400" fontAlgn="auto" hangingPunct="1">
                  <a:lnSpc>
                    <a:spcPct val="100000"/>
                  </a:lnSpc>
                  <a:spcBef>
                    <a:spcPts val="0"/>
                  </a:spcBef>
                  <a:spcAft>
                    <a:spcPts val="0"/>
                  </a:spcAft>
                  <a:tabLst/>
                  <a:defRPr lang="ru-RU" sz="1000" b="0" i="0" u="none" strike="noStrike" kern="1200" baseline="0">
                    <a:solidFill>
                      <a:srgbClr val="000000"/>
                    </a:solidFill>
                    <a:latin typeface="Times New Roman" pitchFamily="18"/>
                    <a:cs typeface="Times New Roman" pitchFamily="18"/>
                  </a:defRPr>
                </a:pPr>
                <a:r>
                  <a:rPr lang="ru-RU" sz="1000" b="0" i="0" u="none" strike="noStrike" kern="1200" cap="none" spc="0" baseline="0">
                    <a:solidFill>
                      <a:srgbClr val="000000"/>
                    </a:solidFill>
                    <a:uFillTx/>
                    <a:latin typeface="Times New Roman" pitchFamily="18"/>
                    <a:cs typeface="Times New Roman" pitchFamily="18"/>
                  </a:rPr>
                  <a:t>Варіанти досліду</a:t>
                </a:r>
              </a:p>
            </c:rich>
          </c:tx>
          <c:layout>
            <c:manualLayout>
              <c:xMode val="edge"/>
              <c:yMode val="edge"/>
              <c:x val="0.83010675747527529"/>
              <c:y val="0.82427222294115332"/>
            </c:manualLayout>
          </c:layout>
          <c:spPr>
            <a:noFill/>
            <a:ln>
              <a:noFill/>
            </a:ln>
          </c:spPr>
        </c:title>
        <c:numFmt formatCode="General" sourceLinked="0"/>
        <c:majorTickMark val="in"/>
        <c:tickLblPos val="nextTo"/>
        <c:spPr>
          <a:no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crossAx val="91717632"/>
        <c:crosses val="autoZero"/>
        <c:auto val="1"/>
        <c:lblAlgn val="ctr"/>
        <c:lblOffset val="100"/>
      </c:catAx>
      <c:spPr>
        <a:noFill/>
        <a:ln>
          <a:noFill/>
        </a:ln>
      </c:spPr>
    </c:plotArea>
    <c:legend>
      <c:legendPos val="r"/>
      <c:layout>
        <c:manualLayout>
          <c:xMode val="edge"/>
          <c:yMode val="edge"/>
          <c:x val="1.1865850102070602E-3"/>
          <c:y val="0.83038709817766365"/>
          <c:w val="0.95690394583210936"/>
          <c:h val="0.16961290182233621"/>
        </c:manualLayout>
      </c:layout>
      <c:spPr>
        <a:noFill/>
        <a:ln>
          <a:noFill/>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legend>
    <c:plotVisOnly val="1"/>
    <c:dispBlanksAs val="gap"/>
  </c:chart>
  <c:spPr>
    <a:solidFill>
      <a:srgbClr val="FFFFFF"/>
    </a:solid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externalData r:id="rId1"/>
</c:chartSpace>
</file>

<file path=word/charts/chart70.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401858993374865"/>
          <c:y val="6.1300992282249174E-2"/>
          <c:w val="0.85446532918182028"/>
          <c:h val="0.59333778198268639"/>
        </c:manualLayout>
      </c:layout>
      <c:barChart>
        <c:barDir val="col"/>
        <c:grouping val="clustered"/>
        <c:ser>
          <c:idx val="0"/>
          <c:order val="0"/>
          <c:tx>
            <c:v>Добриня</c:v>
          </c:tx>
          <c:spPr>
            <a:pattFill prst="horzBrick">
              <a:fgClr>
                <a:schemeClr val="tx1"/>
              </a:fgClr>
              <a:bgClr>
                <a:schemeClr val="bg1"/>
              </a:bgClr>
            </a:pattFill>
            <a:ln w="9528">
              <a:solidFill>
                <a:srgbClr val="000000"/>
              </a:solidFill>
              <a:prstDash val="solid"/>
            </a:ln>
          </c:spPr>
          <c:cat>
            <c:numLit>
              <c:formatCode>General</c:formatCode>
              <c:ptCount val="5"/>
              <c:pt idx="0">
                <c:v>1</c:v>
              </c:pt>
              <c:pt idx="1">
                <c:v>2</c:v>
              </c:pt>
              <c:pt idx="2">
                <c:v>3</c:v>
              </c:pt>
              <c:pt idx="3">
                <c:v>4</c:v>
              </c:pt>
              <c:pt idx="4">
                <c:v>5</c:v>
              </c:pt>
            </c:numLit>
          </c:cat>
          <c:val>
            <c:numLit>
              <c:formatCode>General</c:formatCode>
              <c:ptCount val="5"/>
              <c:pt idx="0">
                <c:v>493.79999999999899</c:v>
              </c:pt>
              <c:pt idx="1">
                <c:v>469.333333333334</c:v>
              </c:pt>
              <c:pt idx="2">
                <c:v>131.44</c:v>
              </c:pt>
              <c:pt idx="3">
                <c:v>100.8</c:v>
              </c:pt>
              <c:pt idx="4">
                <c:v>149.59999999999988</c:v>
              </c:pt>
            </c:numLit>
          </c:val>
          <c:extLst xmlns:c16r2="http://schemas.microsoft.com/office/drawing/2015/06/chart">
            <c:ext xmlns:c16="http://schemas.microsoft.com/office/drawing/2014/chart" uri="{C3380CC4-5D6E-409C-BE32-E72D297353CC}">
              <c16:uniqueId val="{00000000-5E67-499E-BAC4-59FF9C154A74}"/>
            </c:ext>
          </c:extLst>
        </c:ser>
        <c:ser>
          <c:idx val="1"/>
          <c:order val="1"/>
          <c:tx>
            <c:v>Гарант</c:v>
          </c:tx>
          <c:spPr>
            <a:solidFill>
              <a:srgbClr val="D9D9D9"/>
            </a:solidFill>
            <a:ln w="9528">
              <a:solidFill>
                <a:srgbClr val="000000"/>
              </a:solidFill>
              <a:prstDash val="solid"/>
            </a:ln>
          </c:spPr>
          <c:cat>
            <c:numLit>
              <c:formatCode>General</c:formatCode>
              <c:ptCount val="5"/>
              <c:pt idx="0">
                <c:v>1</c:v>
              </c:pt>
              <c:pt idx="1">
                <c:v>2</c:v>
              </c:pt>
              <c:pt idx="2">
                <c:v>3</c:v>
              </c:pt>
              <c:pt idx="3">
                <c:v>4</c:v>
              </c:pt>
              <c:pt idx="4">
                <c:v>5</c:v>
              </c:pt>
            </c:numLit>
          </c:cat>
          <c:val>
            <c:numLit>
              <c:formatCode>General</c:formatCode>
              <c:ptCount val="5"/>
              <c:pt idx="0">
                <c:v>643.33333333333394</c:v>
              </c:pt>
              <c:pt idx="1">
                <c:v>499.8666666666673</c:v>
              </c:pt>
              <c:pt idx="2">
                <c:v>144.46</c:v>
              </c:pt>
              <c:pt idx="3">
                <c:v>104.26666666666659</c:v>
              </c:pt>
              <c:pt idx="4">
                <c:v>160.04999999999998</c:v>
              </c:pt>
            </c:numLit>
          </c:val>
          <c:extLst xmlns:c16r2="http://schemas.microsoft.com/office/drawing/2015/06/chart">
            <c:ext xmlns:c16="http://schemas.microsoft.com/office/drawing/2014/chart" uri="{C3380CC4-5D6E-409C-BE32-E72D297353CC}">
              <c16:uniqueId val="{00000001-5E67-499E-BAC4-59FF9C154A74}"/>
            </c:ext>
          </c:extLst>
        </c:ser>
        <c:dLbls/>
        <c:gapWidth val="219"/>
        <c:overlap val="-27"/>
        <c:axId val="91769856"/>
        <c:axId val="91767552"/>
      </c:barChart>
      <c:valAx>
        <c:axId val="91767552"/>
        <c:scaling>
          <c:orientation val="minMax"/>
          <c:max val="800"/>
        </c:scaling>
        <c:axPos val="l"/>
        <c:majorGridlines>
          <c:spPr>
            <a:ln w="9528" cap="flat">
              <a:solidFill>
                <a:srgbClr val="D9D9D9"/>
              </a:solidFill>
              <a:prstDash val="solid"/>
              <a:round/>
            </a:ln>
          </c:spPr>
        </c:majorGridlines>
        <c:title>
          <c:tx>
            <c:rich>
              <a:bodyPr rot="0" vert="horz" lIns="0" tIns="0" rIns="0" bIns="0"/>
              <a:lstStyle/>
              <a:p>
                <a:pPr marL="0" marR="0" indent="0" algn="ctr"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r>
                  <a:rPr lang="ru-RU" sz="1200" b="0" i="0" u="none" strike="noStrike" kern="1200" cap="none" spc="0" baseline="0">
                    <a:solidFill>
                      <a:srgbClr val="000000"/>
                    </a:solidFill>
                    <a:uFillTx/>
                    <a:latin typeface="Times New Roman" pitchFamily="18"/>
                    <a:cs typeface="Times New Roman" pitchFamily="18"/>
                  </a:rPr>
                  <a:t>шт.</a:t>
                </a:r>
              </a:p>
            </c:rich>
          </c:tx>
          <c:layout>
            <c:manualLayout>
              <c:xMode val="edge"/>
              <c:yMode val="edge"/>
              <c:x val="2.7775896152998692E-3"/>
              <c:y val="1.1949057635711781E-3"/>
            </c:manualLayout>
          </c:layout>
          <c:spPr>
            <a:noFill/>
            <a:ln>
              <a:noFill/>
            </a:ln>
          </c:spPr>
        </c:title>
        <c:numFmt formatCode="General" sourceLinked="0"/>
        <c:majorTickMark val="in"/>
        <c:tickLblPos val="nextTo"/>
        <c:spPr>
          <a:no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crossAx val="91769856"/>
        <c:crosses val="autoZero"/>
        <c:crossBetween val="between"/>
        <c:majorUnit val="200"/>
      </c:valAx>
      <c:catAx>
        <c:axId val="91769856"/>
        <c:scaling>
          <c:orientation val="minMax"/>
        </c:scaling>
        <c:axPos val="b"/>
        <c:title>
          <c:tx>
            <c:rich>
              <a:bodyPr lIns="0" tIns="0" rIns="0" bIns="0"/>
              <a:lstStyle/>
              <a:p>
                <a:pPr marL="0" marR="0" indent="0" algn="ctr" defTabSz="914400" fontAlgn="auto" hangingPunct="1">
                  <a:lnSpc>
                    <a:spcPct val="100000"/>
                  </a:lnSpc>
                  <a:spcBef>
                    <a:spcPts val="0"/>
                  </a:spcBef>
                  <a:spcAft>
                    <a:spcPts val="0"/>
                  </a:spcAft>
                  <a:tabLst/>
                  <a:defRPr lang="ru-RU" sz="1000" b="0" i="0" u="none" strike="noStrike" kern="1200" baseline="0">
                    <a:solidFill>
                      <a:srgbClr val="000000"/>
                    </a:solidFill>
                    <a:latin typeface="Times New Roman" pitchFamily="18"/>
                    <a:cs typeface="Times New Roman" pitchFamily="18"/>
                  </a:defRPr>
                </a:pPr>
                <a:r>
                  <a:rPr lang="ru-RU" sz="1000" b="0" i="0" u="none" strike="noStrike" kern="1200" cap="none" spc="0" baseline="0">
                    <a:solidFill>
                      <a:srgbClr val="000000"/>
                    </a:solidFill>
                    <a:uFillTx/>
                    <a:latin typeface="Times New Roman" pitchFamily="18"/>
                    <a:cs typeface="Times New Roman" pitchFamily="18"/>
                  </a:rPr>
                  <a:t>Варіанти досліду</a:t>
                </a:r>
              </a:p>
            </c:rich>
          </c:tx>
          <c:layout>
            <c:manualLayout>
              <c:xMode val="edge"/>
              <c:yMode val="edge"/>
              <c:x val="0.83018894540649768"/>
              <c:y val="0.81952895738142051"/>
            </c:manualLayout>
          </c:layout>
          <c:spPr>
            <a:noFill/>
            <a:ln>
              <a:noFill/>
            </a:ln>
          </c:spPr>
        </c:title>
        <c:numFmt formatCode="General" sourceLinked="0"/>
        <c:majorTickMark val="in"/>
        <c:tickLblPos val="nextTo"/>
        <c:spPr>
          <a:no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crossAx val="91767552"/>
        <c:crosses val="autoZero"/>
        <c:auto val="1"/>
        <c:lblAlgn val="ctr"/>
        <c:lblOffset val="100"/>
      </c:catAx>
      <c:spPr>
        <a:noFill/>
        <a:ln>
          <a:noFill/>
        </a:ln>
      </c:spPr>
    </c:plotArea>
    <c:legend>
      <c:legendPos val="r"/>
      <c:layout>
        <c:manualLayout>
          <c:xMode val="edge"/>
          <c:yMode val="edge"/>
          <c:x val="0"/>
          <c:y val="0.84766937713483892"/>
          <c:w val="0.95955536172118649"/>
          <c:h val="0.15233062286516139"/>
        </c:manualLayout>
      </c:layout>
      <c:spPr>
        <a:noFill/>
        <a:ln>
          <a:noFill/>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legend>
    <c:plotVisOnly val="1"/>
    <c:dispBlanksAs val="gap"/>
  </c:chart>
  <c:spPr>
    <a:solidFill>
      <a:srgbClr val="FFFFFF"/>
    </a:solid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externalData r:id="rId1"/>
</c:chartSpace>
</file>

<file path=word/charts/chart71.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632936507936524"/>
          <c:y val="6.1300992282249174E-2"/>
          <c:w val="0.84876562304712022"/>
          <c:h val="0.57775841709320708"/>
        </c:manualLayout>
      </c:layout>
      <c:barChart>
        <c:barDir val="col"/>
        <c:grouping val="clustered"/>
        <c:ser>
          <c:idx val="0"/>
          <c:order val="0"/>
          <c:tx>
            <c:v>Ярило</c:v>
          </c:tx>
          <c:spPr>
            <a:pattFill prst="horzBrick">
              <a:fgClr>
                <a:schemeClr val="tx1"/>
              </a:fgClr>
              <a:bgClr>
                <a:schemeClr val="bg1"/>
              </a:bgClr>
            </a:pattFill>
            <a:ln w="9528">
              <a:solidFill>
                <a:srgbClr val="000000"/>
              </a:solidFill>
              <a:prstDash val="solid"/>
            </a:ln>
          </c:spPr>
          <c:cat>
            <c:numLit>
              <c:formatCode>General</c:formatCode>
              <c:ptCount val="5"/>
              <c:pt idx="0">
                <c:v>1</c:v>
              </c:pt>
              <c:pt idx="1">
                <c:v>2</c:v>
              </c:pt>
              <c:pt idx="2">
                <c:v>3</c:v>
              </c:pt>
              <c:pt idx="3">
                <c:v>4</c:v>
              </c:pt>
              <c:pt idx="4">
                <c:v>5</c:v>
              </c:pt>
            </c:numLit>
          </c:cat>
          <c:val>
            <c:numLit>
              <c:formatCode>General</c:formatCode>
              <c:ptCount val="5"/>
              <c:pt idx="0">
                <c:v>357.5</c:v>
              </c:pt>
              <c:pt idx="1">
                <c:v>323.83333333333377</c:v>
              </c:pt>
              <c:pt idx="2">
                <c:v>298</c:v>
              </c:pt>
              <c:pt idx="3">
                <c:v>293</c:v>
              </c:pt>
              <c:pt idx="4">
                <c:v>282.8</c:v>
              </c:pt>
            </c:numLit>
          </c:val>
          <c:extLst xmlns:c16r2="http://schemas.microsoft.com/office/drawing/2015/06/chart">
            <c:ext xmlns:c16="http://schemas.microsoft.com/office/drawing/2014/chart" uri="{C3380CC4-5D6E-409C-BE32-E72D297353CC}">
              <c16:uniqueId val="{00000000-765D-499D-BA36-37E8C571C911}"/>
            </c:ext>
          </c:extLst>
        </c:ser>
        <c:ser>
          <c:idx val="1"/>
          <c:order val="1"/>
          <c:tx>
            <c:v>Загрей</c:v>
          </c:tx>
          <c:spPr>
            <a:solidFill>
              <a:srgbClr val="D9D9D9"/>
            </a:solidFill>
            <a:ln w="9528">
              <a:solidFill>
                <a:srgbClr val="000000"/>
              </a:solidFill>
              <a:prstDash val="solid"/>
            </a:ln>
          </c:spPr>
          <c:cat>
            <c:numLit>
              <c:formatCode>General</c:formatCode>
              <c:ptCount val="5"/>
              <c:pt idx="0">
                <c:v>1</c:v>
              </c:pt>
              <c:pt idx="1">
                <c:v>2</c:v>
              </c:pt>
              <c:pt idx="2">
                <c:v>3</c:v>
              </c:pt>
              <c:pt idx="3">
                <c:v>4</c:v>
              </c:pt>
              <c:pt idx="4">
                <c:v>5</c:v>
              </c:pt>
            </c:numLit>
          </c:cat>
          <c:val>
            <c:numLit>
              <c:formatCode>General</c:formatCode>
              <c:ptCount val="5"/>
              <c:pt idx="0">
                <c:v>314.39999999999969</c:v>
              </c:pt>
              <c:pt idx="1">
                <c:v>292.09999999999945</c:v>
              </c:pt>
              <c:pt idx="2">
                <c:v>310.2</c:v>
              </c:pt>
              <c:pt idx="3">
                <c:v>370.8</c:v>
              </c:pt>
              <c:pt idx="4">
                <c:v>284.8</c:v>
              </c:pt>
            </c:numLit>
          </c:val>
          <c:extLst xmlns:c16r2="http://schemas.microsoft.com/office/drawing/2015/06/chart">
            <c:ext xmlns:c16="http://schemas.microsoft.com/office/drawing/2014/chart" uri="{C3380CC4-5D6E-409C-BE32-E72D297353CC}">
              <c16:uniqueId val="{00000001-765D-499D-BA36-37E8C571C911}"/>
            </c:ext>
          </c:extLst>
        </c:ser>
        <c:dLbls/>
        <c:gapWidth val="219"/>
        <c:overlap val="-27"/>
        <c:axId val="91848704"/>
        <c:axId val="91821568"/>
      </c:barChart>
      <c:valAx>
        <c:axId val="91821568"/>
        <c:scaling>
          <c:orientation val="minMax"/>
          <c:max val="800"/>
          <c:min val="0"/>
        </c:scaling>
        <c:axPos val="l"/>
        <c:majorGridlines>
          <c:spPr>
            <a:ln w="9528" cap="flat">
              <a:solidFill>
                <a:srgbClr val="D9D9D9"/>
              </a:solidFill>
              <a:prstDash val="solid"/>
              <a:round/>
            </a:ln>
          </c:spPr>
        </c:majorGridlines>
        <c:title>
          <c:tx>
            <c:rich>
              <a:bodyPr rot="0" vert="horz" lIns="0" tIns="0" rIns="0" bIns="0"/>
              <a:lstStyle/>
              <a:p>
                <a:pPr marL="0" marR="0" indent="0" algn="ctr"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r>
                  <a:rPr lang="ru-RU" sz="1200" b="0" i="0" u="none" strike="noStrike" kern="1200" cap="none" spc="0" baseline="0">
                    <a:solidFill>
                      <a:srgbClr val="000000"/>
                    </a:solidFill>
                    <a:uFillTx/>
                    <a:latin typeface="Times New Roman" pitchFamily="18"/>
                    <a:cs typeface="Times New Roman" pitchFamily="18"/>
                  </a:rPr>
                  <a:t>шт.</a:t>
                </a:r>
              </a:p>
            </c:rich>
          </c:tx>
          <c:layout>
            <c:manualLayout>
              <c:xMode val="edge"/>
              <c:yMode val="edge"/>
              <c:x val="2.7777777777777896E-3"/>
              <c:y val="1.1949057635711781E-3"/>
            </c:manualLayout>
          </c:layout>
          <c:spPr>
            <a:noFill/>
            <a:ln>
              <a:noFill/>
            </a:ln>
          </c:spPr>
        </c:title>
        <c:numFmt formatCode="General" sourceLinked="0"/>
        <c:majorTickMark val="in"/>
        <c:tickLblPos val="nextTo"/>
        <c:spPr>
          <a:no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crossAx val="91848704"/>
        <c:crosses val="autoZero"/>
        <c:crossBetween val="between"/>
      </c:valAx>
      <c:catAx>
        <c:axId val="91848704"/>
        <c:scaling>
          <c:orientation val="minMax"/>
        </c:scaling>
        <c:axPos val="b"/>
        <c:title>
          <c:tx>
            <c:rich>
              <a:bodyPr lIns="0" tIns="0" rIns="0" bIns="0"/>
              <a:lstStyle/>
              <a:p>
                <a:pPr marL="0" marR="0" indent="0" algn="ctr" defTabSz="914400" fontAlgn="auto" hangingPunct="1">
                  <a:lnSpc>
                    <a:spcPct val="100000"/>
                  </a:lnSpc>
                  <a:spcBef>
                    <a:spcPts val="0"/>
                  </a:spcBef>
                  <a:spcAft>
                    <a:spcPts val="0"/>
                  </a:spcAft>
                  <a:tabLst/>
                  <a:defRPr lang="ru-RU" sz="1000" b="0" i="0" u="none" strike="noStrike" kern="1200" baseline="0">
                    <a:solidFill>
                      <a:srgbClr val="000000"/>
                    </a:solidFill>
                    <a:latin typeface="Times New Roman" pitchFamily="18"/>
                    <a:cs typeface="Times New Roman" pitchFamily="18"/>
                  </a:defRPr>
                </a:pPr>
                <a:r>
                  <a:rPr lang="ru-RU" sz="1000" b="0" i="0" u="none" strike="noStrike" kern="1200" cap="none" spc="0" baseline="0">
                    <a:solidFill>
                      <a:srgbClr val="000000"/>
                    </a:solidFill>
                    <a:uFillTx/>
                    <a:latin typeface="Times New Roman" pitchFamily="18"/>
                    <a:cs typeface="Times New Roman" pitchFamily="18"/>
                  </a:rPr>
                  <a:t>Варіанти досліду</a:t>
                </a:r>
              </a:p>
            </c:rich>
          </c:tx>
          <c:layout>
            <c:manualLayout>
              <c:xMode val="edge"/>
              <c:yMode val="edge"/>
              <c:x val="0.8291989682742138"/>
              <c:y val="0.79660604352310382"/>
            </c:manualLayout>
          </c:layout>
          <c:spPr>
            <a:noFill/>
            <a:ln>
              <a:noFill/>
            </a:ln>
          </c:spPr>
        </c:title>
        <c:numFmt formatCode="General" sourceLinked="0"/>
        <c:majorTickMark val="in"/>
        <c:tickLblPos val="nextTo"/>
        <c:spPr>
          <a:no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crossAx val="91821568"/>
        <c:crosses val="autoZero"/>
        <c:auto val="1"/>
        <c:lblAlgn val="ctr"/>
        <c:lblOffset val="100"/>
      </c:catAx>
      <c:spPr>
        <a:noFill/>
        <a:ln>
          <a:noFill/>
        </a:ln>
      </c:spPr>
    </c:plotArea>
    <c:legend>
      <c:legendPos val="r"/>
      <c:layout>
        <c:manualLayout>
          <c:xMode val="edge"/>
          <c:yMode val="edge"/>
          <c:x val="0"/>
          <c:y val="0.82957179394956659"/>
          <c:w val="0.95947727192194765"/>
          <c:h val="0.17042749242125824"/>
        </c:manualLayout>
      </c:layout>
      <c:spPr>
        <a:noFill/>
        <a:ln>
          <a:noFill/>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legend>
    <c:plotVisOnly val="1"/>
    <c:dispBlanksAs val="gap"/>
  </c:chart>
  <c:spPr>
    <a:solidFill>
      <a:srgbClr val="FFFFFF"/>
    </a:solidFill>
    <a:ln w="9528" cap="flat">
      <a:solidFill>
        <a:srgbClr val="000000"/>
      </a:solidFill>
      <a:prstDash val="solid"/>
      <a:round/>
    </a:ln>
  </c:spPr>
  <c:txPr>
    <a:bodyPr lIns="0" tIns="0" rIns="0" bIns="0"/>
    <a:lstStyle/>
    <a:p>
      <a:pPr marL="0" marR="0" indent="0" defTabSz="914400" fontAlgn="auto" hangingPunct="1">
        <a:lnSpc>
          <a:spcPct val="100000"/>
        </a:lnSpc>
        <a:spcBef>
          <a:spcPts val="0"/>
        </a:spcBef>
        <a:spcAft>
          <a:spcPts val="0"/>
        </a:spcAft>
        <a:tabLst/>
        <a:defRPr lang="ru-RU" sz="1200" b="0" i="0" u="none" strike="noStrike" kern="1200" baseline="0">
          <a:solidFill>
            <a:srgbClr val="000000"/>
          </a:solidFill>
          <a:latin typeface="Times New Roman" pitchFamily="18"/>
          <a:cs typeface="Times New Roman" pitchFamily="18"/>
        </a:defRPr>
      </a:pPr>
      <a:endParaRPr lang="ru-RU"/>
    </a:p>
  </c:txPr>
  <c:externalData r:id="rId1"/>
</c:chartSpace>
</file>

<file path=word/charts/chart72.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846173103175821"/>
          <c:y val="5.3912219305920134E-2"/>
          <c:w val="0.83098270689338194"/>
          <c:h val="0.51918799445756691"/>
        </c:manualLayout>
      </c:layout>
      <c:barChart>
        <c:barDir val="col"/>
        <c:grouping val="clustered"/>
        <c:ser>
          <c:idx val="0"/>
          <c:order val="0"/>
          <c:tx>
            <c:strRef>
              <c:f>'2'!$G$1</c:f>
              <c:strCache>
                <c:ptCount val="1"/>
                <c:pt idx="0">
                  <c:v>Добриня</c:v>
                </c:pt>
              </c:strCache>
            </c:strRef>
          </c:tx>
          <c:spPr>
            <a:solidFill>
              <a:schemeClr val="tx1"/>
            </a:solidFill>
            <a:ln>
              <a:solidFill>
                <a:sysClr val="windowText" lastClr="000000"/>
              </a:solidFill>
            </a:ln>
            <a:effectLst/>
          </c:spPr>
          <c:cat>
            <c:numRef>
              <c:f>'2'!$F$2:$F$6</c:f>
              <c:numCache>
                <c:formatCode>0</c:formatCode>
                <c:ptCount val="5"/>
                <c:pt idx="0">
                  <c:v>1</c:v>
                </c:pt>
                <c:pt idx="1">
                  <c:v>2</c:v>
                </c:pt>
                <c:pt idx="2">
                  <c:v>3</c:v>
                </c:pt>
                <c:pt idx="3">
                  <c:v>4</c:v>
                </c:pt>
                <c:pt idx="4">
                  <c:v>5</c:v>
                </c:pt>
              </c:numCache>
            </c:numRef>
          </c:cat>
          <c:val>
            <c:numRef>
              <c:f>'2'!$G$2:$G$6</c:f>
              <c:numCache>
                <c:formatCode>0.0</c:formatCode>
                <c:ptCount val="5"/>
                <c:pt idx="0">
                  <c:v>24.046732375755276</c:v>
                </c:pt>
                <c:pt idx="1">
                  <c:v>24.461609297135542</c:v>
                </c:pt>
                <c:pt idx="2">
                  <c:v>21.9740355793157</c:v>
                </c:pt>
                <c:pt idx="3">
                  <c:v>22.10685483870969</c:v>
                </c:pt>
                <c:pt idx="4">
                  <c:v>22.34259259259256</c:v>
                </c:pt>
              </c:numCache>
            </c:numRef>
          </c:val>
          <c:extLst xmlns:c16r2="http://schemas.microsoft.com/office/drawing/2015/06/chart">
            <c:ext xmlns:c16="http://schemas.microsoft.com/office/drawing/2014/chart" uri="{C3380CC4-5D6E-409C-BE32-E72D297353CC}">
              <c16:uniqueId val="{00000000-823F-46C8-9EB2-5C305063BFB8}"/>
            </c:ext>
          </c:extLst>
        </c:ser>
        <c:ser>
          <c:idx val="1"/>
          <c:order val="1"/>
          <c:tx>
            <c:strRef>
              <c:f>'2'!$H$1</c:f>
              <c:strCache>
                <c:ptCount val="1"/>
                <c:pt idx="0">
                  <c:v>Гарант</c:v>
                </c:pt>
              </c:strCache>
            </c:strRef>
          </c:tx>
          <c:spPr>
            <a:solidFill>
              <a:schemeClr val="bg1"/>
            </a:solidFill>
            <a:ln>
              <a:solidFill>
                <a:sysClr val="windowText" lastClr="000000"/>
              </a:solidFill>
            </a:ln>
            <a:effectLst/>
          </c:spPr>
          <c:cat>
            <c:numRef>
              <c:f>'2'!$F$2:$F$6</c:f>
              <c:numCache>
                <c:formatCode>0</c:formatCode>
                <c:ptCount val="5"/>
                <c:pt idx="0">
                  <c:v>1</c:v>
                </c:pt>
                <c:pt idx="1">
                  <c:v>2</c:v>
                </c:pt>
                <c:pt idx="2">
                  <c:v>3</c:v>
                </c:pt>
                <c:pt idx="3">
                  <c:v>4</c:v>
                </c:pt>
                <c:pt idx="4">
                  <c:v>5</c:v>
                </c:pt>
              </c:numCache>
            </c:numRef>
          </c:cat>
          <c:val>
            <c:numRef>
              <c:f>'2'!$H$2:$H$6</c:f>
              <c:numCache>
                <c:formatCode>0.0</c:formatCode>
                <c:ptCount val="5"/>
                <c:pt idx="0">
                  <c:v>24.387565062481105</c:v>
                </c:pt>
                <c:pt idx="1">
                  <c:v>24.853263784146101</c:v>
                </c:pt>
                <c:pt idx="2">
                  <c:v>22.376293231961778</c:v>
                </c:pt>
                <c:pt idx="3">
                  <c:v>22.431992337164687</c:v>
                </c:pt>
                <c:pt idx="4">
                  <c:v>21.630681818181799</c:v>
                </c:pt>
              </c:numCache>
            </c:numRef>
          </c:val>
          <c:extLst xmlns:c16r2="http://schemas.microsoft.com/office/drawing/2015/06/chart">
            <c:ext xmlns:c16="http://schemas.microsoft.com/office/drawing/2014/chart" uri="{C3380CC4-5D6E-409C-BE32-E72D297353CC}">
              <c16:uniqueId val="{00000001-823F-46C8-9EB2-5C305063BFB8}"/>
            </c:ext>
          </c:extLst>
        </c:ser>
        <c:dLbls/>
        <c:gapWidth val="219"/>
        <c:overlap val="-27"/>
        <c:axId val="91867008"/>
        <c:axId val="91955200"/>
      </c:barChart>
      <c:catAx>
        <c:axId val="9186700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243272026857829"/>
              <c:y val="0.83264761745985494"/>
            </c:manualLayout>
          </c:layout>
          <c:spPr>
            <a:noFill/>
            <a:ln>
              <a:noFill/>
            </a:ln>
            <a:effectLst/>
          </c:spPr>
        </c:title>
        <c:numFmt formatCode="0"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1955200"/>
        <c:crosses val="autoZero"/>
        <c:auto val="1"/>
        <c:lblAlgn val="ctr"/>
        <c:lblOffset val="100"/>
      </c:catAx>
      <c:valAx>
        <c:axId val="91955200"/>
        <c:scaling>
          <c:orientation val="minMax"/>
          <c:max val="30"/>
          <c:min val="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1867008"/>
        <c:crosses val="autoZero"/>
        <c:crossBetween val="between"/>
        <c:majorUnit val="10"/>
      </c:valAx>
      <c:spPr>
        <a:noFill/>
        <a:ln>
          <a:noFill/>
        </a:ln>
        <a:effectLst/>
      </c:spPr>
    </c:plotArea>
    <c:legend>
      <c:legendPos val="b"/>
      <c:layout>
        <c:manualLayout>
          <c:xMode val="edge"/>
          <c:yMode val="edge"/>
          <c:x val="1.1866566471722161E-3"/>
          <c:y val="0.78937819449039981"/>
          <c:w val="0.99484908136482963"/>
          <c:h val="0.18945746931290344"/>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73.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647464707746146"/>
          <c:y val="5.3912219305920134E-2"/>
          <c:w val="0.83296979084767908"/>
          <c:h val="0.57890664410522852"/>
        </c:manualLayout>
      </c:layout>
      <c:barChart>
        <c:barDir val="col"/>
        <c:grouping val="clustered"/>
        <c:ser>
          <c:idx val="0"/>
          <c:order val="0"/>
          <c:tx>
            <c:strRef>
              <c:f>'2'!$G$9</c:f>
              <c:strCache>
                <c:ptCount val="1"/>
                <c:pt idx="0">
                  <c:v>Ярило</c:v>
                </c:pt>
              </c:strCache>
            </c:strRef>
          </c:tx>
          <c:spPr>
            <a:solidFill>
              <a:schemeClr val="tx1"/>
            </a:solidFill>
            <a:ln>
              <a:solidFill>
                <a:sysClr val="windowText" lastClr="000000"/>
              </a:solidFill>
            </a:ln>
            <a:effectLst/>
          </c:spPr>
          <c:dPt>
            <c:idx val="0"/>
            <c:spPr>
              <a:solidFill>
                <a:schemeClr val="tx1"/>
              </a:solidFill>
              <a:ln>
                <a:solidFill>
                  <a:sysClr val="windowText" lastClr="000000"/>
                </a:solidFill>
              </a:ln>
              <a:effectLst/>
            </c:spPr>
            <c:extLst xmlns:c16r2="http://schemas.microsoft.com/office/drawing/2015/06/chart">
              <c:ext xmlns:c16="http://schemas.microsoft.com/office/drawing/2014/chart" uri="{C3380CC4-5D6E-409C-BE32-E72D297353CC}">
                <c16:uniqueId val="{00000001-FE7C-4DB2-9F15-FC94F1E27224}"/>
              </c:ext>
            </c:extLst>
          </c:dPt>
          <c:cat>
            <c:numRef>
              <c:f>'2'!$F$10:$F$14</c:f>
              <c:numCache>
                <c:formatCode>0</c:formatCode>
                <c:ptCount val="5"/>
                <c:pt idx="0">
                  <c:v>1</c:v>
                </c:pt>
                <c:pt idx="1">
                  <c:v>2</c:v>
                </c:pt>
                <c:pt idx="2">
                  <c:v>3</c:v>
                </c:pt>
                <c:pt idx="3">
                  <c:v>4</c:v>
                </c:pt>
                <c:pt idx="4">
                  <c:v>5</c:v>
                </c:pt>
              </c:numCache>
            </c:numRef>
          </c:cat>
          <c:val>
            <c:numRef>
              <c:f>'2'!$G$10:$G$14</c:f>
              <c:numCache>
                <c:formatCode>0.0</c:formatCode>
                <c:ptCount val="5"/>
                <c:pt idx="0">
                  <c:v>23.367778655188101</c:v>
                </c:pt>
                <c:pt idx="1">
                  <c:v>24.150965298142744</c:v>
                </c:pt>
                <c:pt idx="2">
                  <c:v>23.52088452088454</c:v>
                </c:pt>
                <c:pt idx="3">
                  <c:v>23.273843191122602</c:v>
                </c:pt>
                <c:pt idx="4">
                  <c:v>20.97938144329899</c:v>
                </c:pt>
              </c:numCache>
            </c:numRef>
          </c:val>
          <c:extLst xmlns:c16r2="http://schemas.microsoft.com/office/drawing/2015/06/chart">
            <c:ext xmlns:c16="http://schemas.microsoft.com/office/drawing/2014/chart" uri="{C3380CC4-5D6E-409C-BE32-E72D297353CC}">
              <c16:uniqueId val="{00000002-FE7C-4DB2-9F15-FC94F1E27224}"/>
            </c:ext>
          </c:extLst>
        </c:ser>
        <c:ser>
          <c:idx val="1"/>
          <c:order val="1"/>
          <c:tx>
            <c:strRef>
              <c:f>'2'!$H$9</c:f>
              <c:strCache>
                <c:ptCount val="1"/>
                <c:pt idx="0">
                  <c:v>Загрей</c:v>
                </c:pt>
              </c:strCache>
            </c:strRef>
          </c:tx>
          <c:spPr>
            <a:solidFill>
              <a:schemeClr val="bg1"/>
            </a:solidFill>
            <a:ln>
              <a:solidFill>
                <a:sysClr val="windowText" lastClr="000000"/>
              </a:solidFill>
            </a:ln>
            <a:effectLst/>
          </c:spPr>
          <c:cat>
            <c:numRef>
              <c:f>'2'!$F$10:$F$14</c:f>
              <c:numCache>
                <c:formatCode>0</c:formatCode>
                <c:ptCount val="5"/>
                <c:pt idx="0">
                  <c:v>1</c:v>
                </c:pt>
                <c:pt idx="1">
                  <c:v>2</c:v>
                </c:pt>
                <c:pt idx="2">
                  <c:v>3</c:v>
                </c:pt>
                <c:pt idx="3">
                  <c:v>4</c:v>
                </c:pt>
                <c:pt idx="4">
                  <c:v>5</c:v>
                </c:pt>
              </c:numCache>
            </c:numRef>
          </c:cat>
          <c:val>
            <c:numRef>
              <c:f>'2'!$H$10:$H$14</c:f>
              <c:numCache>
                <c:formatCode>0.0</c:formatCode>
                <c:ptCount val="5"/>
                <c:pt idx="0">
                  <c:v>23.324999999999999</c:v>
                </c:pt>
                <c:pt idx="1">
                  <c:v>23.35</c:v>
                </c:pt>
                <c:pt idx="2">
                  <c:v>22.64588452088454</c:v>
                </c:pt>
                <c:pt idx="3">
                  <c:v>22.398843191122602</c:v>
                </c:pt>
                <c:pt idx="4">
                  <c:v>20.104381443299012</c:v>
                </c:pt>
              </c:numCache>
            </c:numRef>
          </c:val>
          <c:extLst xmlns:c16r2="http://schemas.microsoft.com/office/drawing/2015/06/chart">
            <c:ext xmlns:c16="http://schemas.microsoft.com/office/drawing/2014/chart" uri="{C3380CC4-5D6E-409C-BE32-E72D297353CC}">
              <c16:uniqueId val="{00000003-FE7C-4DB2-9F15-FC94F1E27224}"/>
            </c:ext>
          </c:extLst>
        </c:ser>
        <c:dLbls/>
        <c:gapWidth val="219"/>
        <c:overlap val="-27"/>
        <c:axId val="91982848"/>
        <c:axId val="92009600"/>
      </c:barChart>
      <c:catAx>
        <c:axId val="9198284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25275460468391"/>
              <c:y val="0.84445079977915216"/>
            </c:manualLayout>
          </c:layout>
          <c:spPr>
            <a:noFill/>
            <a:ln>
              <a:noFill/>
            </a:ln>
            <a:effectLst/>
          </c:spPr>
        </c:title>
        <c:numFmt formatCode="0"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009600"/>
        <c:crosses val="autoZero"/>
        <c:auto val="1"/>
        <c:lblAlgn val="ctr"/>
        <c:lblOffset val="100"/>
      </c:catAx>
      <c:valAx>
        <c:axId val="92009600"/>
        <c:scaling>
          <c:orientation val="minMax"/>
          <c:max val="3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1982848"/>
        <c:crosses val="autoZero"/>
        <c:crossBetween val="between"/>
        <c:majorUnit val="10"/>
      </c:valAx>
      <c:spPr>
        <a:noFill/>
        <a:ln>
          <a:noFill/>
        </a:ln>
        <a:effectLst/>
      </c:spPr>
    </c:plotArea>
    <c:legend>
      <c:legendPos val="b"/>
      <c:layout>
        <c:manualLayout>
          <c:xMode val="edge"/>
          <c:yMode val="edge"/>
          <c:x val="3.1737016479497539E-3"/>
          <c:y val="0.8160321262169471"/>
          <c:w val="0.99484908136482963"/>
          <c:h val="0.18396787378305271"/>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74.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887955672207638"/>
          <c:y val="5.3912219305920134E-2"/>
          <c:w val="0.84056475162826849"/>
          <c:h val="0.56966660606819008"/>
        </c:manualLayout>
      </c:layout>
      <c:barChart>
        <c:barDir val="col"/>
        <c:grouping val="clustered"/>
        <c:ser>
          <c:idx val="0"/>
          <c:order val="0"/>
          <c:tx>
            <c:strRef>
              <c:f>'2'!$T$1</c:f>
              <c:strCache>
                <c:ptCount val="1"/>
                <c:pt idx="0">
                  <c:v>Добриня</c:v>
                </c:pt>
              </c:strCache>
            </c:strRef>
          </c:tx>
          <c:spPr>
            <a:pattFill prst="narHorz">
              <a:fgClr>
                <a:schemeClr val="tx1"/>
              </a:fgClr>
              <a:bgClr>
                <a:schemeClr val="bg1"/>
              </a:bgClr>
            </a:pattFill>
            <a:ln>
              <a:solidFill>
                <a:sysClr val="windowText" lastClr="000000"/>
              </a:solidFill>
            </a:ln>
            <a:effectLst/>
          </c:spPr>
          <c:cat>
            <c:numRef>
              <c:f>'2'!$S$2:$S$6</c:f>
              <c:numCache>
                <c:formatCode>0</c:formatCode>
                <c:ptCount val="5"/>
                <c:pt idx="0">
                  <c:v>1</c:v>
                </c:pt>
                <c:pt idx="1">
                  <c:v>2</c:v>
                </c:pt>
                <c:pt idx="2">
                  <c:v>3</c:v>
                </c:pt>
                <c:pt idx="3">
                  <c:v>4</c:v>
                </c:pt>
                <c:pt idx="4">
                  <c:v>5</c:v>
                </c:pt>
              </c:numCache>
            </c:numRef>
          </c:cat>
          <c:val>
            <c:numRef>
              <c:f>'2'!$T$2:$T$6</c:f>
              <c:numCache>
                <c:formatCode>0.0</c:formatCode>
                <c:ptCount val="5"/>
                <c:pt idx="0">
                  <c:v>18.5047731088227</c:v>
                </c:pt>
                <c:pt idx="1">
                  <c:v>18.019063056826205</c:v>
                </c:pt>
                <c:pt idx="2">
                  <c:v>17.856797168379359</c:v>
                </c:pt>
                <c:pt idx="3">
                  <c:v>15.914818548387096</c:v>
                </c:pt>
                <c:pt idx="4">
                  <c:v>16.414351851851851</c:v>
                </c:pt>
              </c:numCache>
            </c:numRef>
          </c:val>
          <c:extLst xmlns:c16r2="http://schemas.microsoft.com/office/drawing/2015/06/chart">
            <c:ext xmlns:c16="http://schemas.microsoft.com/office/drawing/2014/chart" uri="{C3380CC4-5D6E-409C-BE32-E72D297353CC}">
              <c16:uniqueId val="{00000000-77AF-4D82-A420-FBAE06583421}"/>
            </c:ext>
          </c:extLst>
        </c:ser>
        <c:ser>
          <c:idx val="1"/>
          <c:order val="1"/>
          <c:tx>
            <c:strRef>
              <c:f>'2'!$U$1</c:f>
              <c:strCache>
                <c:ptCount val="1"/>
                <c:pt idx="0">
                  <c:v>Гарант</c:v>
                </c:pt>
              </c:strCache>
            </c:strRef>
          </c:tx>
          <c:spPr>
            <a:solidFill>
              <a:schemeClr val="bg1">
                <a:lumMod val="85000"/>
              </a:schemeClr>
            </a:solidFill>
            <a:ln>
              <a:solidFill>
                <a:sysClr val="windowText" lastClr="000000"/>
              </a:solidFill>
            </a:ln>
            <a:effectLst/>
          </c:spPr>
          <c:cat>
            <c:numRef>
              <c:f>'2'!$S$2:$S$6</c:f>
              <c:numCache>
                <c:formatCode>0</c:formatCode>
                <c:ptCount val="5"/>
                <c:pt idx="0">
                  <c:v>1</c:v>
                </c:pt>
                <c:pt idx="1">
                  <c:v>2</c:v>
                </c:pt>
                <c:pt idx="2">
                  <c:v>3</c:v>
                </c:pt>
                <c:pt idx="3">
                  <c:v>4</c:v>
                </c:pt>
                <c:pt idx="4">
                  <c:v>5</c:v>
                </c:pt>
              </c:numCache>
            </c:numRef>
          </c:cat>
          <c:val>
            <c:numRef>
              <c:f>'2'!$U$2:$U$6</c:f>
              <c:numCache>
                <c:formatCode>0.0</c:formatCode>
                <c:ptCount val="5"/>
                <c:pt idx="0">
                  <c:v>18.187033484308799</c:v>
                </c:pt>
                <c:pt idx="1">
                  <c:v>18.798106849577323</c:v>
                </c:pt>
                <c:pt idx="2">
                  <c:v>16.821568773603701</c:v>
                </c:pt>
                <c:pt idx="3">
                  <c:v>16.839798850574699</c:v>
                </c:pt>
                <c:pt idx="4">
                  <c:v>16.073863636363587</c:v>
                </c:pt>
              </c:numCache>
            </c:numRef>
          </c:val>
          <c:extLst xmlns:c16r2="http://schemas.microsoft.com/office/drawing/2015/06/chart">
            <c:ext xmlns:c16="http://schemas.microsoft.com/office/drawing/2014/chart" uri="{C3380CC4-5D6E-409C-BE32-E72D297353CC}">
              <c16:uniqueId val="{00000001-77AF-4D82-A420-FBAE06583421}"/>
            </c:ext>
          </c:extLst>
        </c:ser>
        <c:dLbls/>
        <c:gapWidth val="219"/>
        <c:overlap val="-27"/>
        <c:axId val="92024192"/>
        <c:axId val="92059136"/>
      </c:barChart>
      <c:catAx>
        <c:axId val="9202419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196648128718531"/>
              <c:y val="0.8454368953432827"/>
            </c:manualLayout>
          </c:layout>
          <c:spPr>
            <a:noFill/>
            <a:ln>
              <a:noFill/>
            </a:ln>
            <a:effectLst/>
          </c:spPr>
        </c:title>
        <c:numFmt formatCode="0"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059136"/>
        <c:crosses val="autoZero"/>
        <c:auto val="1"/>
        <c:lblAlgn val="ctr"/>
        <c:lblOffset val="100"/>
      </c:catAx>
      <c:valAx>
        <c:axId val="92059136"/>
        <c:scaling>
          <c:orientation val="minMax"/>
          <c:max val="3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024192"/>
        <c:crosses val="autoZero"/>
        <c:crossBetween val="between"/>
        <c:majorUnit val="10"/>
      </c:valAx>
      <c:spPr>
        <a:noFill/>
        <a:ln>
          <a:noFill/>
        </a:ln>
        <a:effectLst/>
      </c:spPr>
    </c:plotArea>
    <c:legend>
      <c:legendPos val="b"/>
      <c:layout>
        <c:manualLayout>
          <c:xMode val="edge"/>
          <c:yMode val="edge"/>
          <c:x val="1.1866566471722161E-3"/>
          <c:y val="0.83662650640337066"/>
          <c:w val="0.99484908136482963"/>
          <c:h val="0.14220888531069323"/>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75.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283017400602704"/>
          <c:y val="5.3912219305920134E-2"/>
          <c:w val="0.83661413434431864"/>
          <c:h val="0.57890710399878009"/>
        </c:manualLayout>
      </c:layout>
      <c:barChart>
        <c:barDir val="col"/>
        <c:grouping val="clustered"/>
        <c:ser>
          <c:idx val="0"/>
          <c:order val="0"/>
          <c:tx>
            <c:strRef>
              <c:f>'2'!$T$9</c:f>
              <c:strCache>
                <c:ptCount val="1"/>
                <c:pt idx="0">
                  <c:v>Ярило</c:v>
                </c:pt>
              </c:strCache>
            </c:strRef>
          </c:tx>
          <c:spPr>
            <a:pattFill prst="narHorz">
              <a:fgClr>
                <a:schemeClr val="tx1"/>
              </a:fgClr>
              <a:bgClr>
                <a:schemeClr val="bg1"/>
              </a:bgClr>
            </a:pattFill>
            <a:ln>
              <a:solidFill>
                <a:sysClr val="windowText" lastClr="000000"/>
              </a:solidFill>
            </a:ln>
            <a:effectLst/>
          </c:spPr>
          <c:cat>
            <c:numRef>
              <c:f>'2'!$S$10:$S$14</c:f>
              <c:numCache>
                <c:formatCode>0</c:formatCode>
                <c:ptCount val="5"/>
                <c:pt idx="0">
                  <c:v>1</c:v>
                </c:pt>
                <c:pt idx="1">
                  <c:v>2</c:v>
                </c:pt>
                <c:pt idx="2">
                  <c:v>3</c:v>
                </c:pt>
                <c:pt idx="3">
                  <c:v>4</c:v>
                </c:pt>
                <c:pt idx="4">
                  <c:v>5</c:v>
                </c:pt>
              </c:numCache>
            </c:numRef>
          </c:cat>
          <c:val>
            <c:numRef>
              <c:f>'2'!$T$10:$T$14</c:f>
              <c:numCache>
                <c:formatCode>0.0</c:formatCode>
                <c:ptCount val="5"/>
                <c:pt idx="0">
                  <c:v>17.828059839382259</c:v>
                </c:pt>
                <c:pt idx="1">
                  <c:v>17.560179199431087</c:v>
                </c:pt>
                <c:pt idx="2">
                  <c:v>17.060687960688</c:v>
                </c:pt>
                <c:pt idx="3">
                  <c:v>17.0429110105581</c:v>
                </c:pt>
                <c:pt idx="4">
                  <c:v>15.257731958762918</c:v>
                </c:pt>
              </c:numCache>
            </c:numRef>
          </c:val>
          <c:extLst xmlns:c16r2="http://schemas.microsoft.com/office/drawing/2015/06/chart">
            <c:ext xmlns:c16="http://schemas.microsoft.com/office/drawing/2014/chart" uri="{C3380CC4-5D6E-409C-BE32-E72D297353CC}">
              <c16:uniqueId val="{00000000-9A28-4327-BD53-C236C7574353}"/>
            </c:ext>
          </c:extLst>
        </c:ser>
        <c:ser>
          <c:idx val="1"/>
          <c:order val="1"/>
          <c:tx>
            <c:strRef>
              <c:f>'2'!$U$9</c:f>
              <c:strCache>
                <c:ptCount val="1"/>
                <c:pt idx="0">
                  <c:v>Загрей</c:v>
                </c:pt>
              </c:strCache>
            </c:strRef>
          </c:tx>
          <c:spPr>
            <a:solidFill>
              <a:schemeClr val="bg1">
                <a:lumMod val="85000"/>
              </a:schemeClr>
            </a:solidFill>
            <a:ln>
              <a:solidFill>
                <a:sysClr val="windowText" lastClr="000000"/>
              </a:solidFill>
            </a:ln>
            <a:effectLst/>
          </c:spPr>
          <c:cat>
            <c:numRef>
              <c:f>'2'!$S$10:$S$14</c:f>
              <c:numCache>
                <c:formatCode>0</c:formatCode>
                <c:ptCount val="5"/>
                <c:pt idx="0">
                  <c:v>1</c:v>
                </c:pt>
                <c:pt idx="1">
                  <c:v>2</c:v>
                </c:pt>
                <c:pt idx="2">
                  <c:v>3</c:v>
                </c:pt>
                <c:pt idx="3">
                  <c:v>4</c:v>
                </c:pt>
                <c:pt idx="4">
                  <c:v>5</c:v>
                </c:pt>
              </c:numCache>
            </c:numRef>
          </c:cat>
          <c:val>
            <c:numRef>
              <c:f>'2'!$U$10:$U$14</c:f>
              <c:numCache>
                <c:formatCode>0.0</c:formatCode>
                <c:ptCount val="5"/>
                <c:pt idx="0">
                  <c:v>17.478059839382258</c:v>
                </c:pt>
                <c:pt idx="1">
                  <c:v>17.060179199431186</c:v>
                </c:pt>
                <c:pt idx="2">
                  <c:v>16.785687960687962</c:v>
                </c:pt>
                <c:pt idx="3">
                  <c:v>16.517911010558123</c:v>
                </c:pt>
                <c:pt idx="4">
                  <c:v>14.382731958762912</c:v>
                </c:pt>
              </c:numCache>
            </c:numRef>
          </c:val>
          <c:extLst xmlns:c16r2="http://schemas.microsoft.com/office/drawing/2015/06/chart">
            <c:ext xmlns:c16="http://schemas.microsoft.com/office/drawing/2014/chart" uri="{C3380CC4-5D6E-409C-BE32-E72D297353CC}">
              <c16:uniqueId val="{00000001-9A28-4327-BD53-C236C7574353}"/>
            </c:ext>
          </c:extLst>
        </c:ser>
        <c:dLbls/>
        <c:gapWidth val="219"/>
        <c:overlap val="-27"/>
        <c:axId val="92168192"/>
        <c:axId val="92170112"/>
      </c:barChart>
      <c:catAx>
        <c:axId val="9216819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228610971916328"/>
              <c:y val="0.84572015532450384"/>
            </c:manualLayout>
          </c:layout>
          <c:spPr>
            <a:noFill/>
            <a:ln>
              <a:noFill/>
            </a:ln>
            <a:effectLst/>
          </c:spPr>
        </c:title>
        <c:numFmt formatCode="0"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170112"/>
        <c:crosses val="autoZero"/>
        <c:auto val="1"/>
        <c:lblAlgn val="ctr"/>
        <c:lblOffset val="100"/>
      </c:catAx>
      <c:valAx>
        <c:axId val="92170112"/>
        <c:scaling>
          <c:orientation val="minMax"/>
          <c:max val="30"/>
          <c:min val="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168192"/>
        <c:crosses val="autoZero"/>
        <c:crossBetween val="between"/>
        <c:majorUnit val="10"/>
      </c:valAx>
      <c:spPr>
        <a:noFill/>
        <a:ln>
          <a:noFill/>
        </a:ln>
        <a:effectLst/>
      </c:spPr>
    </c:plotArea>
    <c:legend>
      <c:legendPos val="b"/>
      <c:layout>
        <c:manualLayout>
          <c:xMode val="edge"/>
          <c:yMode val="edge"/>
          <c:x val="1.1865704286964176E-3"/>
          <c:y val="0.81603277448712408"/>
          <c:w val="0.99484908136482963"/>
          <c:h val="0.18396722551287603"/>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76.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138706967116486"/>
          <c:y val="5.3912219305920134E-2"/>
          <c:w val="0.8480572352133231"/>
          <c:h val="0.65961978710994462"/>
        </c:manualLayout>
      </c:layout>
      <c:barChart>
        <c:barDir val="col"/>
        <c:grouping val="clustered"/>
        <c:ser>
          <c:idx val="0"/>
          <c:order val="0"/>
          <c:tx>
            <c:strRef>
              <c:f>'3'!$J$1</c:f>
              <c:strCache>
                <c:ptCount val="1"/>
                <c:pt idx="0">
                  <c:v>Добриня</c:v>
                </c:pt>
              </c:strCache>
            </c:strRef>
          </c:tx>
          <c:spPr>
            <a:pattFill prst="wdDnDiag">
              <a:fgClr>
                <a:schemeClr val="tx1"/>
              </a:fgClr>
              <a:bgClr>
                <a:schemeClr val="bg1"/>
              </a:bgClr>
            </a:pattFill>
            <a:ln>
              <a:solidFill>
                <a:sysClr val="windowText" lastClr="000000"/>
              </a:solidFill>
            </a:ln>
            <a:effectLst/>
          </c:spPr>
          <c:cat>
            <c:numRef>
              <c:f>'3'!$I$2:$I$6</c:f>
              <c:numCache>
                <c:formatCode>General</c:formatCode>
                <c:ptCount val="5"/>
                <c:pt idx="0">
                  <c:v>1</c:v>
                </c:pt>
                <c:pt idx="1">
                  <c:v>2</c:v>
                </c:pt>
                <c:pt idx="2">
                  <c:v>3</c:v>
                </c:pt>
                <c:pt idx="3">
                  <c:v>4</c:v>
                </c:pt>
                <c:pt idx="4">
                  <c:v>5</c:v>
                </c:pt>
              </c:numCache>
            </c:numRef>
          </c:cat>
          <c:val>
            <c:numRef>
              <c:f>'3'!$J$2:$J$6</c:f>
              <c:numCache>
                <c:formatCode>0.0</c:formatCode>
                <c:ptCount val="5"/>
                <c:pt idx="0">
                  <c:v>4.0197171352508914</c:v>
                </c:pt>
                <c:pt idx="1">
                  <c:v>3.9863800307879256</c:v>
                </c:pt>
                <c:pt idx="2">
                  <c:v>4.6159317967500675</c:v>
                </c:pt>
                <c:pt idx="3">
                  <c:v>4.7143346774193358</c:v>
                </c:pt>
                <c:pt idx="4">
                  <c:v>4.8603009259259276</c:v>
                </c:pt>
              </c:numCache>
            </c:numRef>
          </c:val>
          <c:extLst xmlns:c16r2="http://schemas.microsoft.com/office/drawing/2015/06/chart">
            <c:ext xmlns:c16="http://schemas.microsoft.com/office/drawing/2014/chart" uri="{C3380CC4-5D6E-409C-BE32-E72D297353CC}">
              <c16:uniqueId val="{00000000-D89E-4569-8636-2DFB503F493D}"/>
            </c:ext>
          </c:extLst>
        </c:ser>
        <c:ser>
          <c:idx val="1"/>
          <c:order val="1"/>
          <c:tx>
            <c:strRef>
              <c:f>'3'!$K$1</c:f>
              <c:strCache>
                <c:ptCount val="1"/>
                <c:pt idx="0">
                  <c:v>Гарант</c:v>
                </c:pt>
              </c:strCache>
            </c:strRef>
          </c:tx>
          <c:spPr>
            <a:solidFill>
              <a:schemeClr val="tx1">
                <a:lumMod val="50000"/>
                <a:lumOff val="50000"/>
              </a:schemeClr>
            </a:solidFill>
            <a:ln>
              <a:solidFill>
                <a:sysClr val="windowText" lastClr="000000"/>
              </a:solidFill>
            </a:ln>
            <a:effectLst/>
          </c:spPr>
          <c:cat>
            <c:numRef>
              <c:f>'3'!$I$2:$I$6</c:f>
              <c:numCache>
                <c:formatCode>General</c:formatCode>
                <c:ptCount val="5"/>
                <c:pt idx="0">
                  <c:v>1</c:v>
                </c:pt>
                <c:pt idx="1">
                  <c:v>2</c:v>
                </c:pt>
                <c:pt idx="2">
                  <c:v>3</c:v>
                </c:pt>
                <c:pt idx="3">
                  <c:v>4</c:v>
                </c:pt>
                <c:pt idx="4">
                  <c:v>5</c:v>
                </c:pt>
              </c:numCache>
            </c:numRef>
          </c:cat>
          <c:val>
            <c:numRef>
              <c:f>'3'!$K$2:$K$6</c:f>
              <c:numCache>
                <c:formatCode>0.0</c:formatCode>
                <c:ptCount val="5"/>
                <c:pt idx="0">
                  <c:v>4.7642888879991485</c:v>
                </c:pt>
                <c:pt idx="1">
                  <c:v>3.9606586224233267</c:v>
                </c:pt>
                <c:pt idx="2">
                  <c:v>4.9652380242496514</c:v>
                </c:pt>
                <c:pt idx="3">
                  <c:v>4.8521551724137817</c:v>
                </c:pt>
                <c:pt idx="4">
                  <c:v>5.5017045454545404</c:v>
                </c:pt>
              </c:numCache>
            </c:numRef>
          </c:val>
          <c:extLst xmlns:c16r2="http://schemas.microsoft.com/office/drawing/2015/06/chart">
            <c:ext xmlns:c16="http://schemas.microsoft.com/office/drawing/2014/chart" uri="{C3380CC4-5D6E-409C-BE32-E72D297353CC}">
              <c16:uniqueId val="{00000001-D89E-4569-8636-2DFB503F493D}"/>
            </c:ext>
          </c:extLst>
        </c:ser>
        <c:dLbls/>
        <c:gapWidth val="219"/>
        <c:overlap val="-27"/>
        <c:axId val="92230016"/>
        <c:axId val="92231936"/>
      </c:barChart>
      <c:catAx>
        <c:axId val="92230016"/>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938379230489301"/>
              <c:y val="0.81545251774739902"/>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231936"/>
        <c:crosses val="autoZero"/>
        <c:auto val="1"/>
        <c:lblAlgn val="ctr"/>
        <c:lblOffset val="100"/>
      </c:catAx>
      <c:valAx>
        <c:axId val="92231936"/>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230016"/>
        <c:crosses val="autoZero"/>
        <c:crossBetween val="between"/>
      </c:valAx>
      <c:spPr>
        <a:noFill/>
        <a:ln>
          <a:noFill/>
        </a:ln>
        <a:effectLst/>
      </c:spPr>
    </c:plotArea>
    <c:legend>
      <c:legendPos val="b"/>
      <c:layout>
        <c:manualLayout>
          <c:xMode val="edge"/>
          <c:yMode val="edge"/>
          <c:x val="1.1865704286964176E-3"/>
          <c:y val="0.87641970890002352"/>
          <c:w val="0.99484908136482963"/>
          <c:h val="0.12358029109997611"/>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77.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897889341430441"/>
          <c:y val="5.3912219305920134E-2"/>
          <c:w val="0.8404655467169333"/>
          <c:h val="0.65961978710994462"/>
        </c:manualLayout>
      </c:layout>
      <c:barChart>
        <c:barDir val="col"/>
        <c:grouping val="clustered"/>
        <c:ser>
          <c:idx val="0"/>
          <c:order val="0"/>
          <c:tx>
            <c:strRef>
              <c:f>'3'!$J$9</c:f>
              <c:strCache>
                <c:ptCount val="1"/>
                <c:pt idx="0">
                  <c:v>Ярило</c:v>
                </c:pt>
              </c:strCache>
            </c:strRef>
          </c:tx>
          <c:spPr>
            <a:pattFill prst="wdDnDiag">
              <a:fgClr>
                <a:schemeClr val="tx1"/>
              </a:fgClr>
              <a:bgClr>
                <a:schemeClr val="bg1"/>
              </a:bgClr>
            </a:pattFill>
            <a:ln>
              <a:solidFill>
                <a:sysClr val="windowText" lastClr="000000"/>
              </a:solidFill>
            </a:ln>
            <a:effectLst/>
          </c:spPr>
          <c:cat>
            <c:numRef>
              <c:f>'3'!$I$10:$I$14</c:f>
              <c:numCache>
                <c:formatCode>General</c:formatCode>
                <c:ptCount val="5"/>
                <c:pt idx="0">
                  <c:v>1</c:v>
                </c:pt>
                <c:pt idx="1">
                  <c:v>2</c:v>
                </c:pt>
                <c:pt idx="2">
                  <c:v>3</c:v>
                </c:pt>
                <c:pt idx="3">
                  <c:v>4</c:v>
                </c:pt>
                <c:pt idx="4">
                  <c:v>5</c:v>
                </c:pt>
              </c:numCache>
            </c:numRef>
          </c:cat>
          <c:val>
            <c:numRef>
              <c:f>'3'!$J$10:$J$14</c:f>
              <c:numCache>
                <c:formatCode>0.0</c:formatCode>
                <c:ptCount val="5"/>
                <c:pt idx="0">
                  <c:v>4.342093307423923</c:v>
                </c:pt>
                <c:pt idx="1">
                  <c:v>4.1265090420332395</c:v>
                </c:pt>
                <c:pt idx="2">
                  <c:v>4.8173423423423403</c:v>
                </c:pt>
                <c:pt idx="3">
                  <c:v>4.8240932719241485</c:v>
                </c:pt>
                <c:pt idx="4">
                  <c:v>4.9291237113402104</c:v>
                </c:pt>
              </c:numCache>
            </c:numRef>
          </c:val>
          <c:extLst xmlns:c16r2="http://schemas.microsoft.com/office/drawing/2015/06/chart">
            <c:ext xmlns:c16="http://schemas.microsoft.com/office/drawing/2014/chart" uri="{C3380CC4-5D6E-409C-BE32-E72D297353CC}">
              <c16:uniqueId val="{00000000-E293-4687-884C-1594DD213E5F}"/>
            </c:ext>
          </c:extLst>
        </c:ser>
        <c:ser>
          <c:idx val="1"/>
          <c:order val="1"/>
          <c:tx>
            <c:strRef>
              <c:f>'3'!$K$9</c:f>
              <c:strCache>
                <c:ptCount val="1"/>
                <c:pt idx="0">
                  <c:v>Загрей</c:v>
                </c:pt>
              </c:strCache>
            </c:strRef>
          </c:tx>
          <c:spPr>
            <a:solidFill>
              <a:schemeClr val="tx1">
                <a:lumMod val="50000"/>
                <a:lumOff val="50000"/>
              </a:schemeClr>
            </a:solidFill>
            <a:ln>
              <a:solidFill>
                <a:sysClr val="windowText" lastClr="000000"/>
              </a:solidFill>
            </a:ln>
            <a:effectLst/>
          </c:spPr>
          <c:cat>
            <c:numRef>
              <c:f>'3'!$I$10:$I$14</c:f>
              <c:numCache>
                <c:formatCode>General</c:formatCode>
                <c:ptCount val="5"/>
                <c:pt idx="0">
                  <c:v>1</c:v>
                </c:pt>
                <c:pt idx="1">
                  <c:v>2</c:v>
                </c:pt>
                <c:pt idx="2">
                  <c:v>3</c:v>
                </c:pt>
                <c:pt idx="3">
                  <c:v>4</c:v>
                </c:pt>
                <c:pt idx="4">
                  <c:v>5</c:v>
                </c:pt>
              </c:numCache>
            </c:numRef>
          </c:cat>
          <c:val>
            <c:numRef>
              <c:f>'3'!$K$10:$K$14</c:f>
              <c:numCache>
                <c:formatCode>0.0</c:formatCode>
                <c:ptCount val="5"/>
                <c:pt idx="0">
                  <c:v>4.0868948449564426</c:v>
                </c:pt>
                <c:pt idx="1">
                  <c:v>4.3590847996090005</c:v>
                </c:pt>
                <c:pt idx="2">
                  <c:v>4.5423423423423479</c:v>
                </c:pt>
                <c:pt idx="3">
                  <c:v>4.7909327192414946</c:v>
                </c:pt>
                <c:pt idx="4">
                  <c:v>5.0541237113402095</c:v>
                </c:pt>
              </c:numCache>
            </c:numRef>
          </c:val>
          <c:extLst xmlns:c16r2="http://schemas.microsoft.com/office/drawing/2015/06/chart">
            <c:ext xmlns:c16="http://schemas.microsoft.com/office/drawing/2014/chart" uri="{C3380CC4-5D6E-409C-BE32-E72D297353CC}">
              <c16:uniqueId val="{00000001-E293-4687-884C-1594DD213E5F}"/>
            </c:ext>
          </c:extLst>
        </c:ser>
        <c:dLbls/>
        <c:gapWidth val="219"/>
        <c:overlap val="-27"/>
        <c:axId val="92275456"/>
        <c:axId val="92277376"/>
      </c:barChart>
      <c:catAx>
        <c:axId val="92275456"/>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938379230489301"/>
              <c:y val="0.82427295819116542"/>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277376"/>
        <c:crosses val="autoZero"/>
        <c:auto val="1"/>
        <c:lblAlgn val="ctr"/>
        <c:lblOffset val="100"/>
      </c:catAx>
      <c:valAx>
        <c:axId val="92277376"/>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275456"/>
        <c:crosses val="autoZero"/>
        <c:crossBetween val="between"/>
      </c:valAx>
      <c:spPr>
        <a:noFill/>
        <a:ln>
          <a:noFill/>
        </a:ln>
        <a:effectLst/>
      </c:spPr>
    </c:plotArea>
    <c:legend>
      <c:legendPos val="b"/>
      <c:layout>
        <c:manualLayout>
          <c:xMode val="edge"/>
          <c:yMode val="edge"/>
          <c:x val="1.1865704286964176E-3"/>
          <c:y val="0.86792468860467653"/>
          <c:w val="0.99484908136482963"/>
          <c:h val="0.1320753113953242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78.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107548354208543"/>
          <c:y val="5.3912219305920134E-2"/>
          <c:w val="0.84836878536250349"/>
          <c:h val="0.65961978710994462"/>
        </c:manualLayout>
      </c:layout>
      <c:barChart>
        <c:barDir val="col"/>
        <c:grouping val="clustered"/>
        <c:ser>
          <c:idx val="0"/>
          <c:order val="0"/>
          <c:tx>
            <c:strRef>
              <c:f>'4'!$K$1</c:f>
              <c:strCache>
                <c:ptCount val="1"/>
                <c:pt idx="0">
                  <c:v>Добриня</c:v>
                </c:pt>
              </c:strCache>
            </c:strRef>
          </c:tx>
          <c:spPr>
            <a:pattFill prst="dkUpDiag">
              <a:fgClr>
                <a:schemeClr val="tx1"/>
              </a:fgClr>
              <a:bgClr>
                <a:schemeClr val="bg1"/>
              </a:bgClr>
            </a:pattFill>
            <a:ln>
              <a:solidFill>
                <a:sysClr val="windowText" lastClr="000000"/>
              </a:solidFill>
            </a:ln>
            <a:effectLst/>
          </c:spPr>
          <c:cat>
            <c:numRef>
              <c:f>'4'!$J$2:$J$6</c:f>
              <c:numCache>
                <c:formatCode>General</c:formatCode>
                <c:ptCount val="5"/>
                <c:pt idx="0">
                  <c:v>1</c:v>
                </c:pt>
                <c:pt idx="1">
                  <c:v>2</c:v>
                </c:pt>
                <c:pt idx="2">
                  <c:v>3</c:v>
                </c:pt>
                <c:pt idx="3">
                  <c:v>4</c:v>
                </c:pt>
                <c:pt idx="4">
                  <c:v>5</c:v>
                </c:pt>
              </c:numCache>
            </c:numRef>
          </c:cat>
          <c:val>
            <c:numRef>
              <c:f>'4'!$K$2:$K$6</c:f>
              <c:numCache>
                <c:formatCode>General</c:formatCode>
                <c:ptCount val="5"/>
                <c:pt idx="0">
                  <c:v>10.200000000000001</c:v>
                </c:pt>
                <c:pt idx="1">
                  <c:v>10.4</c:v>
                </c:pt>
                <c:pt idx="2" formatCode="0.0">
                  <c:v>8.3449335748792208</c:v>
                </c:pt>
                <c:pt idx="3" formatCode="0.0">
                  <c:v>8.2061491935483861</c:v>
                </c:pt>
                <c:pt idx="4" formatCode="0.0">
                  <c:v>8.09375</c:v>
                </c:pt>
              </c:numCache>
            </c:numRef>
          </c:val>
          <c:extLst xmlns:c16r2="http://schemas.microsoft.com/office/drawing/2015/06/chart">
            <c:ext xmlns:c16="http://schemas.microsoft.com/office/drawing/2014/chart" uri="{C3380CC4-5D6E-409C-BE32-E72D297353CC}">
              <c16:uniqueId val="{00000000-330C-4522-A9F9-BEE17E118C32}"/>
            </c:ext>
          </c:extLst>
        </c:ser>
        <c:ser>
          <c:idx val="1"/>
          <c:order val="1"/>
          <c:tx>
            <c:strRef>
              <c:f>'4'!$L$1</c:f>
              <c:strCache>
                <c:ptCount val="1"/>
                <c:pt idx="0">
                  <c:v>Гарант</c:v>
                </c:pt>
              </c:strCache>
            </c:strRef>
          </c:tx>
          <c:spPr>
            <a:solidFill>
              <a:schemeClr val="tx1"/>
            </a:solidFill>
            <a:ln>
              <a:solidFill>
                <a:sysClr val="windowText" lastClr="000000"/>
              </a:solidFill>
            </a:ln>
            <a:effectLst/>
          </c:spPr>
          <c:cat>
            <c:numRef>
              <c:f>'4'!$J$2:$J$6</c:f>
              <c:numCache>
                <c:formatCode>General</c:formatCode>
                <c:ptCount val="5"/>
                <c:pt idx="0">
                  <c:v>1</c:v>
                </c:pt>
                <c:pt idx="1">
                  <c:v>2</c:v>
                </c:pt>
                <c:pt idx="2">
                  <c:v>3</c:v>
                </c:pt>
                <c:pt idx="3">
                  <c:v>4</c:v>
                </c:pt>
                <c:pt idx="4">
                  <c:v>5</c:v>
                </c:pt>
              </c:numCache>
            </c:numRef>
          </c:cat>
          <c:val>
            <c:numRef>
              <c:f>'4'!$L$2:$L$6</c:f>
              <c:numCache>
                <c:formatCode>General</c:formatCode>
                <c:ptCount val="5"/>
                <c:pt idx="0">
                  <c:v>10.3</c:v>
                </c:pt>
                <c:pt idx="1">
                  <c:v>10.5</c:v>
                </c:pt>
                <c:pt idx="2" formatCode="0.0">
                  <c:v>7.3910927251043761</c:v>
                </c:pt>
                <c:pt idx="3" formatCode="0.0">
                  <c:v>7.3354885057471302</c:v>
                </c:pt>
                <c:pt idx="4" formatCode="0.0">
                  <c:v>6.6704545454545485</c:v>
                </c:pt>
              </c:numCache>
            </c:numRef>
          </c:val>
          <c:extLst xmlns:c16r2="http://schemas.microsoft.com/office/drawing/2015/06/chart">
            <c:ext xmlns:c16="http://schemas.microsoft.com/office/drawing/2014/chart" uri="{C3380CC4-5D6E-409C-BE32-E72D297353CC}">
              <c16:uniqueId val="{00000001-330C-4522-A9F9-BEE17E118C32}"/>
            </c:ext>
          </c:extLst>
        </c:ser>
        <c:dLbls/>
        <c:gapWidth val="219"/>
        <c:overlap val="-27"/>
        <c:axId val="92329088"/>
        <c:axId val="92331008"/>
      </c:barChart>
      <c:catAx>
        <c:axId val="9232908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613551603892943"/>
              <c:y val="0.82427266674204447"/>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331008"/>
        <c:crosses val="autoZero"/>
        <c:auto val="1"/>
        <c:lblAlgn val="ctr"/>
        <c:lblOffset val="100"/>
      </c:catAx>
      <c:valAx>
        <c:axId val="92331008"/>
        <c:scaling>
          <c:orientation val="minMax"/>
          <c:max val="12"/>
          <c:min val="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329088"/>
        <c:crosses val="autoZero"/>
        <c:crossBetween val="between"/>
        <c:majorUnit val="2"/>
      </c:valAx>
      <c:spPr>
        <a:noFill/>
        <a:ln>
          <a:noFill/>
        </a:ln>
        <a:effectLst/>
      </c:spPr>
    </c:plotArea>
    <c:legend>
      <c:legendPos val="b"/>
      <c:layout>
        <c:manualLayout>
          <c:xMode val="edge"/>
          <c:yMode val="edge"/>
          <c:x val="1.1865704286964176E-3"/>
          <c:y val="0.88187454068241466"/>
          <c:w val="0.99484908136482963"/>
          <c:h val="0.11812545931758538"/>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79.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724966453148356"/>
          <c:y val="5.3912219305920134E-2"/>
          <c:w val="0.8421947658471951"/>
          <c:h val="0.65961978710994462"/>
        </c:manualLayout>
      </c:layout>
      <c:barChart>
        <c:barDir val="col"/>
        <c:grouping val="clustered"/>
        <c:ser>
          <c:idx val="0"/>
          <c:order val="0"/>
          <c:tx>
            <c:strRef>
              <c:f>'4'!$K$9</c:f>
              <c:strCache>
                <c:ptCount val="1"/>
                <c:pt idx="0">
                  <c:v>Ярило</c:v>
                </c:pt>
              </c:strCache>
            </c:strRef>
          </c:tx>
          <c:spPr>
            <a:pattFill prst="dkUpDiag">
              <a:fgClr>
                <a:schemeClr val="tx1"/>
              </a:fgClr>
              <a:bgClr>
                <a:schemeClr val="bg1"/>
              </a:bgClr>
            </a:pattFill>
            <a:ln>
              <a:solidFill>
                <a:sysClr val="windowText" lastClr="000000"/>
              </a:solidFill>
            </a:ln>
            <a:effectLst/>
          </c:spPr>
          <c:cat>
            <c:numRef>
              <c:f>'4'!$J$10:$J$14</c:f>
              <c:numCache>
                <c:formatCode>General</c:formatCode>
                <c:ptCount val="5"/>
                <c:pt idx="0">
                  <c:v>1</c:v>
                </c:pt>
                <c:pt idx="1">
                  <c:v>2</c:v>
                </c:pt>
                <c:pt idx="2">
                  <c:v>3</c:v>
                </c:pt>
                <c:pt idx="3">
                  <c:v>4</c:v>
                </c:pt>
                <c:pt idx="4">
                  <c:v>5</c:v>
                </c:pt>
              </c:numCache>
            </c:numRef>
          </c:cat>
          <c:val>
            <c:numRef>
              <c:f>'4'!$K$10:$K$14</c:f>
              <c:numCache>
                <c:formatCode>General</c:formatCode>
                <c:ptCount val="5"/>
                <c:pt idx="0">
                  <c:v>10.1</c:v>
                </c:pt>
                <c:pt idx="1">
                  <c:v>10.3</c:v>
                </c:pt>
                <c:pt idx="2" formatCode="0.0">
                  <c:v>9.5260032760032978</c:v>
                </c:pt>
                <c:pt idx="3" formatCode="0.0">
                  <c:v>8.8847244667097627</c:v>
                </c:pt>
                <c:pt idx="4" formatCode="0.0">
                  <c:v>7.3994845360824604</c:v>
                </c:pt>
              </c:numCache>
            </c:numRef>
          </c:val>
          <c:extLst xmlns:c16r2="http://schemas.microsoft.com/office/drawing/2015/06/chart">
            <c:ext xmlns:c16="http://schemas.microsoft.com/office/drawing/2014/chart" uri="{C3380CC4-5D6E-409C-BE32-E72D297353CC}">
              <c16:uniqueId val="{00000000-3B4B-419B-859F-D281DFBB074F}"/>
            </c:ext>
          </c:extLst>
        </c:ser>
        <c:ser>
          <c:idx val="1"/>
          <c:order val="1"/>
          <c:tx>
            <c:strRef>
              <c:f>'4'!$L$9</c:f>
              <c:strCache>
                <c:ptCount val="1"/>
                <c:pt idx="0">
                  <c:v>Загрей</c:v>
                </c:pt>
              </c:strCache>
            </c:strRef>
          </c:tx>
          <c:spPr>
            <a:solidFill>
              <a:schemeClr val="tx1"/>
            </a:solidFill>
            <a:ln>
              <a:solidFill>
                <a:sysClr val="windowText" lastClr="000000"/>
              </a:solidFill>
            </a:ln>
            <a:effectLst/>
          </c:spPr>
          <c:cat>
            <c:numRef>
              <c:f>'4'!$J$10:$J$14</c:f>
              <c:numCache>
                <c:formatCode>General</c:formatCode>
                <c:ptCount val="5"/>
                <c:pt idx="0">
                  <c:v>1</c:v>
                </c:pt>
                <c:pt idx="1">
                  <c:v>2</c:v>
                </c:pt>
                <c:pt idx="2">
                  <c:v>3</c:v>
                </c:pt>
                <c:pt idx="3">
                  <c:v>4</c:v>
                </c:pt>
                <c:pt idx="4">
                  <c:v>5</c:v>
                </c:pt>
              </c:numCache>
            </c:numRef>
          </c:cat>
          <c:val>
            <c:numRef>
              <c:f>'4'!$L$10:$L$14</c:f>
              <c:numCache>
                <c:formatCode>General</c:formatCode>
                <c:ptCount val="5"/>
                <c:pt idx="0">
                  <c:v>10</c:v>
                </c:pt>
                <c:pt idx="1">
                  <c:v>10.200000000000001</c:v>
                </c:pt>
                <c:pt idx="2" formatCode="0.0">
                  <c:v>9.4010032760033067</c:v>
                </c:pt>
                <c:pt idx="3" formatCode="0.0">
                  <c:v>9.7597244667097627</c:v>
                </c:pt>
                <c:pt idx="4" formatCode="0.0">
                  <c:v>8.2744845360824915</c:v>
                </c:pt>
              </c:numCache>
            </c:numRef>
          </c:val>
          <c:extLst xmlns:c16r2="http://schemas.microsoft.com/office/drawing/2015/06/chart">
            <c:ext xmlns:c16="http://schemas.microsoft.com/office/drawing/2014/chart" uri="{C3380CC4-5D6E-409C-BE32-E72D297353CC}">
              <c16:uniqueId val="{00000001-3B4B-419B-859F-D281DFBB074F}"/>
            </c:ext>
          </c:extLst>
        </c:ser>
        <c:dLbls/>
        <c:gapWidth val="219"/>
        <c:overlap val="-27"/>
        <c:axId val="92399104"/>
        <c:axId val="92401024"/>
      </c:barChart>
      <c:catAx>
        <c:axId val="92399104"/>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625735270901401"/>
              <c:y val="0.8242727752308916"/>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401024"/>
        <c:crosses val="autoZero"/>
        <c:auto val="1"/>
        <c:lblAlgn val="ctr"/>
        <c:lblOffset val="100"/>
      </c:catAx>
      <c:valAx>
        <c:axId val="92401024"/>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399104"/>
        <c:crosses val="autoZero"/>
        <c:crossBetween val="between"/>
      </c:valAx>
      <c:spPr>
        <a:noFill/>
        <a:ln>
          <a:noFill/>
        </a:ln>
        <a:effectLst/>
      </c:spPr>
    </c:plotArea>
    <c:legend>
      <c:legendPos val="b"/>
      <c:layout>
        <c:manualLayout>
          <c:xMode val="edge"/>
          <c:yMode val="edge"/>
          <c:x val="1.1865704286964176E-3"/>
          <c:y val="0.8952078740157482"/>
          <c:w val="0.99484908136482963"/>
          <c:h val="0.1047921259842521"/>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0.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4519735757667987"/>
          <c:y val="5.3912051977109424E-2"/>
          <c:w val="0.83498243878935419"/>
          <c:h val="0.65961978710994462"/>
        </c:manualLayout>
      </c:layout>
      <c:barChart>
        <c:barDir val="col"/>
        <c:grouping val="clustered"/>
        <c:ser>
          <c:idx val="0"/>
          <c:order val="0"/>
          <c:tx>
            <c:strRef>
              <c:f>'5'!$B$1</c:f>
              <c:strCache>
                <c:ptCount val="1"/>
                <c:pt idx="0">
                  <c:v>Добриня</c:v>
                </c:pt>
              </c:strCache>
            </c:strRef>
          </c:tx>
          <c:spPr>
            <a:pattFill prst="horzBrick">
              <a:fgClr>
                <a:schemeClr val="tx1"/>
              </a:fgClr>
              <a:bgClr>
                <a:schemeClr val="bg1"/>
              </a:bgClr>
            </a:pattFill>
            <a:ln>
              <a:solidFill>
                <a:sysClr val="windowText" lastClr="000000"/>
              </a:solidFill>
            </a:ln>
            <a:effectLst/>
          </c:spPr>
          <c:cat>
            <c:numRef>
              <c:f>'5'!$A$2:$A$6</c:f>
              <c:numCache>
                <c:formatCode>General</c:formatCode>
                <c:ptCount val="5"/>
                <c:pt idx="0">
                  <c:v>1</c:v>
                </c:pt>
                <c:pt idx="1">
                  <c:v>2</c:v>
                </c:pt>
                <c:pt idx="2">
                  <c:v>3</c:v>
                </c:pt>
                <c:pt idx="3">
                  <c:v>4</c:v>
                </c:pt>
                <c:pt idx="4">
                  <c:v>5</c:v>
                </c:pt>
              </c:numCache>
            </c:numRef>
          </c:cat>
          <c:val>
            <c:numRef>
              <c:f>'5'!$B$2:$B$6</c:f>
              <c:numCache>
                <c:formatCode>0.0</c:formatCode>
                <c:ptCount val="5"/>
                <c:pt idx="0">
                  <c:v>349.30877139821825</c:v>
                </c:pt>
                <c:pt idx="1">
                  <c:v>346.00859511127777</c:v>
                </c:pt>
                <c:pt idx="2">
                  <c:v>308.02292860381533</c:v>
                </c:pt>
                <c:pt idx="3">
                  <c:v>276.18386799537427</c:v>
                </c:pt>
                <c:pt idx="4">
                  <c:v>287.89025323645404</c:v>
                </c:pt>
              </c:numCache>
            </c:numRef>
          </c:val>
          <c:extLst xmlns:c16r2="http://schemas.microsoft.com/office/drawing/2015/06/chart">
            <c:ext xmlns:c16="http://schemas.microsoft.com/office/drawing/2014/chart" uri="{C3380CC4-5D6E-409C-BE32-E72D297353CC}">
              <c16:uniqueId val="{00000000-1785-4B20-BA44-CCB323A29288}"/>
            </c:ext>
          </c:extLst>
        </c:ser>
        <c:ser>
          <c:idx val="1"/>
          <c:order val="1"/>
          <c:tx>
            <c:strRef>
              <c:f>'5'!$C$1</c:f>
              <c:strCache>
                <c:ptCount val="1"/>
                <c:pt idx="0">
                  <c:v>Гарант</c:v>
                </c:pt>
              </c:strCache>
            </c:strRef>
          </c:tx>
          <c:spPr>
            <a:solidFill>
              <a:schemeClr val="bg1">
                <a:lumMod val="85000"/>
              </a:schemeClr>
            </a:solidFill>
            <a:ln>
              <a:solidFill>
                <a:sysClr val="windowText" lastClr="000000"/>
              </a:solidFill>
            </a:ln>
            <a:effectLst/>
          </c:spPr>
          <c:cat>
            <c:numRef>
              <c:f>'5'!$A$2:$A$6</c:f>
              <c:numCache>
                <c:formatCode>General</c:formatCode>
                <c:ptCount val="5"/>
                <c:pt idx="0">
                  <c:v>1</c:v>
                </c:pt>
                <c:pt idx="1">
                  <c:v>2</c:v>
                </c:pt>
                <c:pt idx="2">
                  <c:v>3</c:v>
                </c:pt>
                <c:pt idx="3">
                  <c:v>4</c:v>
                </c:pt>
                <c:pt idx="4">
                  <c:v>5</c:v>
                </c:pt>
              </c:numCache>
            </c:numRef>
          </c:cat>
          <c:val>
            <c:numRef>
              <c:f>'5'!$C$2:$C$6</c:f>
              <c:numCache>
                <c:formatCode>0.0</c:formatCode>
                <c:ptCount val="5"/>
                <c:pt idx="0">
                  <c:v>348.17690797780074</c:v>
                </c:pt>
                <c:pt idx="1">
                  <c:v>366.74753191746197</c:v>
                </c:pt>
                <c:pt idx="2">
                  <c:v>295.47741906731869</c:v>
                </c:pt>
                <c:pt idx="3">
                  <c:v>296.53393743875699</c:v>
                </c:pt>
                <c:pt idx="4">
                  <c:v>272.93557447701318</c:v>
                </c:pt>
              </c:numCache>
            </c:numRef>
          </c:val>
          <c:extLst xmlns:c16r2="http://schemas.microsoft.com/office/drawing/2015/06/chart">
            <c:ext xmlns:c16="http://schemas.microsoft.com/office/drawing/2014/chart" uri="{C3380CC4-5D6E-409C-BE32-E72D297353CC}">
              <c16:uniqueId val="{00000001-1785-4B20-BA44-CCB323A29288}"/>
            </c:ext>
          </c:extLst>
        </c:ser>
        <c:dLbls/>
        <c:gapWidth val="219"/>
        <c:overlap val="-27"/>
        <c:axId val="92440448"/>
        <c:axId val="92454912"/>
      </c:barChart>
      <c:catAx>
        <c:axId val="9244044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844701942983623"/>
              <c:y val="0.80192990282745025"/>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454912"/>
        <c:crosses val="autoZero"/>
        <c:auto val="1"/>
        <c:lblAlgn val="ctr"/>
        <c:lblOffset val="100"/>
      </c:catAx>
      <c:valAx>
        <c:axId val="92454912"/>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r>
                  <a:rPr lang="uk-UA" baseline="30000"/>
                  <a:t>2</a:t>
                </a:r>
              </a:p>
            </c:rich>
          </c:tx>
          <c:layout>
            <c:manualLayout>
              <c:xMode val="edge"/>
              <c:yMode val="edge"/>
              <c:x val="2.7777777777777861E-3"/>
              <c:y val="1.1956838728492071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440448"/>
        <c:crosses val="autoZero"/>
        <c:crossBetween val="between"/>
        <c:majorUnit val="100"/>
      </c:valAx>
      <c:spPr>
        <a:noFill/>
        <a:ln>
          <a:noFill/>
        </a:ln>
        <a:effectLst/>
      </c:spPr>
    </c:plotArea>
    <c:legend>
      <c:legendPos val="b"/>
      <c:layout>
        <c:manualLayout>
          <c:xMode val="edge"/>
          <c:yMode val="edge"/>
          <c:x val="1.1865704286964161E-3"/>
          <c:y val="0.8975213029878113"/>
          <c:w val="0.99484908136482963"/>
          <c:h val="0.10247869701218854"/>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1.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4305028296583699"/>
          <c:y val="5.3912219305920134E-2"/>
          <c:w val="0.82639414034598335"/>
          <c:h val="0.65961978710994462"/>
        </c:manualLayout>
      </c:layout>
      <c:barChart>
        <c:barDir val="col"/>
        <c:grouping val="clustered"/>
        <c:ser>
          <c:idx val="0"/>
          <c:order val="0"/>
          <c:tx>
            <c:strRef>
              <c:f>'5'!$B$9</c:f>
              <c:strCache>
                <c:ptCount val="1"/>
                <c:pt idx="0">
                  <c:v>Ярило</c:v>
                </c:pt>
              </c:strCache>
            </c:strRef>
          </c:tx>
          <c:spPr>
            <a:pattFill prst="horzBrick">
              <a:fgClr>
                <a:schemeClr val="tx1"/>
              </a:fgClr>
              <a:bgClr>
                <a:schemeClr val="bg1"/>
              </a:bgClr>
            </a:pattFill>
            <a:ln>
              <a:solidFill>
                <a:sysClr val="windowText" lastClr="000000"/>
              </a:solidFill>
            </a:ln>
            <a:effectLst/>
          </c:spPr>
          <c:cat>
            <c:numRef>
              <c:f>'5'!$A$10:$A$14</c:f>
              <c:numCache>
                <c:formatCode>General</c:formatCode>
                <c:ptCount val="5"/>
                <c:pt idx="0">
                  <c:v>1</c:v>
                </c:pt>
                <c:pt idx="1">
                  <c:v>2</c:v>
                </c:pt>
                <c:pt idx="2">
                  <c:v>3</c:v>
                </c:pt>
                <c:pt idx="3">
                  <c:v>4</c:v>
                </c:pt>
                <c:pt idx="4">
                  <c:v>5</c:v>
                </c:pt>
              </c:numCache>
            </c:numRef>
          </c:cat>
          <c:val>
            <c:numRef>
              <c:f>'5'!$B$10:$B$14</c:f>
              <c:numCache>
                <c:formatCode>0.0</c:formatCode>
                <c:ptCount val="5"/>
                <c:pt idx="0">
                  <c:v>327.03269259983546</c:v>
                </c:pt>
                <c:pt idx="1">
                  <c:v>332.91479360258256</c:v>
                </c:pt>
                <c:pt idx="2">
                  <c:v>315.00674002559674</c:v>
                </c:pt>
                <c:pt idx="3">
                  <c:v>311.37342012828896</c:v>
                </c:pt>
                <c:pt idx="4">
                  <c:v>251.27675629716225</c:v>
                </c:pt>
              </c:numCache>
            </c:numRef>
          </c:val>
          <c:extLst xmlns:c16r2="http://schemas.microsoft.com/office/drawing/2015/06/chart">
            <c:ext xmlns:c16="http://schemas.microsoft.com/office/drawing/2014/chart" uri="{C3380CC4-5D6E-409C-BE32-E72D297353CC}">
              <c16:uniqueId val="{00000000-ECB2-42C4-BAE0-FACEB21AA304}"/>
            </c:ext>
          </c:extLst>
        </c:ser>
        <c:ser>
          <c:idx val="1"/>
          <c:order val="1"/>
          <c:tx>
            <c:strRef>
              <c:f>'5'!$C$9</c:f>
              <c:strCache>
                <c:ptCount val="1"/>
                <c:pt idx="0">
                  <c:v>Загрей</c:v>
                </c:pt>
              </c:strCache>
            </c:strRef>
          </c:tx>
          <c:spPr>
            <a:solidFill>
              <a:schemeClr val="bg1">
                <a:lumMod val="85000"/>
              </a:schemeClr>
            </a:solidFill>
            <a:ln>
              <a:solidFill>
                <a:sysClr val="windowText" lastClr="000000"/>
              </a:solidFill>
            </a:ln>
            <a:effectLst/>
          </c:spPr>
          <c:cat>
            <c:numRef>
              <c:f>'5'!$A$10:$A$14</c:f>
              <c:numCache>
                <c:formatCode>General</c:formatCode>
                <c:ptCount val="5"/>
                <c:pt idx="0">
                  <c:v>1</c:v>
                </c:pt>
                <c:pt idx="1">
                  <c:v>2</c:v>
                </c:pt>
                <c:pt idx="2">
                  <c:v>3</c:v>
                </c:pt>
                <c:pt idx="3">
                  <c:v>4</c:v>
                </c:pt>
                <c:pt idx="4">
                  <c:v>5</c:v>
                </c:pt>
              </c:numCache>
            </c:numRef>
          </c:cat>
          <c:val>
            <c:numRef>
              <c:f>'5'!$C$10:$C$14</c:f>
              <c:numCache>
                <c:formatCode>0.0</c:formatCode>
                <c:ptCount val="5"/>
                <c:pt idx="0">
                  <c:v>320.02546041656984</c:v>
                </c:pt>
                <c:pt idx="1">
                  <c:v>312.70881968077396</c:v>
                </c:pt>
                <c:pt idx="2">
                  <c:v>298.39949966165335</c:v>
                </c:pt>
                <c:pt idx="3">
                  <c:v>290.43594737776999</c:v>
                </c:pt>
                <c:pt idx="4">
                  <c:v>226.98740465412106</c:v>
                </c:pt>
              </c:numCache>
            </c:numRef>
          </c:val>
          <c:extLst xmlns:c16r2="http://schemas.microsoft.com/office/drawing/2015/06/chart">
            <c:ext xmlns:c16="http://schemas.microsoft.com/office/drawing/2014/chart" uri="{C3380CC4-5D6E-409C-BE32-E72D297353CC}">
              <c16:uniqueId val="{00000001-ECB2-42C4-BAE0-FACEB21AA304}"/>
            </c:ext>
          </c:extLst>
        </c:ser>
        <c:dLbls/>
        <c:gapWidth val="219"/>
        <c:overlap val="-27"/>
        <c:axId val="92498176"/>
        <c:axId val="92516736"/>
      </c:barChart>
      <c:catAx>
        <c:axId val="92498176"/>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844770558183312"/>
              <c:y val="0.797255672587041"/>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516736"/>
        <c:crosses val="autoZero"/>
        <c:auto val="1"/>
        <c:lblAlgn val="ctr"/>
        <c:lblOffset val="100"/>
      </c:catAx>
      <c:valAx>
        <c:axId val="92516736"/>
        <c:scaling>
          <c:orientation val="minMax"/>
          <c:max val="4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r>
                  <a:rPr lang="uk-UA" baseline="30000"/>
                  <a:t>2</a:t>
                </a:r>
              </a:p>
            </c:rich>
          </c:tx>
          <c:layout>
            <c:manualLayout>
              <c:xMode val="edge"/>
              <c:yMode val="edge"/>
              <c:x val="2.7777777777777861E-3"/>
              <c:y val="1.1956838728492071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498176"/>
        <c:crosses val="autoZero"/>
        <c:crossBetween val="between"/>
      </c:valAx>
      <c:spPr>
        <a:noFill/>
        <a:ln>
          <a:noFill/>
        </a:ln>
        <a:effectLst/>
      </c:spPr>
    </c:plotArea>
    <c:legend>
      <c:legendPos val="b"/>
      <c:layout>
        <c:manualLayout>
          <c:xMode val="edge"/>
          <c:yMode val="edge"/>
          <c:x val="1.1865704286964161E-3"/>
          <c:y val="0.90587464566929166"/>
          <c:w val="0.99484908136482963"/>
          <c:h val="9.4125354330708705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2.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154830903868975"/>
          <c:y val="5.3912219305920134E-2"/>
          <c:w val="0.85396139915500269"/>
          <c:h val="0.70729114759221812"/>
        </c:manualLayout>
      </c:layout>
      <c:barChart>
        <c:barDir val="col"/>
        <c:grouping val="clustered"/>
        <c:ser>
          <c:idx val="0"/>
          <c:order val="0"/>
          <c:tx>
            <c:strRef>
              <c:f>'1'!$B$1</c:f>
              <c:strCache>
                <c:ptCount val="1"/>
                <c:pt idx="0">
                  <c:v>Кількість продихів на 1 мм2, шт.</c:v>
                </c:pt>
              </c:strCache>
            </c:strRef>
          </c:tx>
          <c:spPr>
            <a:pattFill prst="horzBrick">
              <a:fgClr>
                <a:schemeClr val="tx1"/>
              </a:fgClr>
              <a:bgClr>
                <a:schemeClr val="bg1"/>
              </a:bgClr>
            </a:pattFill>
            <a:ln>
              <a:solidFill>
                <a:sysClr val="windowText" lastClr="000000"/>
              </a:solidFill>
            </a:ln>
            <a:effectLst/>
          </c:spPr>
          <c:cat>
            <c:strRef>
              <c:f>'1'!$A$2:$A$7</c:f>
              <c:strCache>
                <c:ptCount val="6"/>
                <c:pt idx="0">
                  <c:v>Контроль 1</c:v>
                </c:pt>
                <c:pt idx="1">
                  <c:v>Контроль 2</c:v>
                </c:pt>
                <c:pt idx="2">
                  <c:v>Добриня</c:v>
                </c:pt>
                <c:pt idx="3">
                  <c:v>Гарант</c:v>
                </c:pt>
                <c:pt idx="4">
                  <c:v>Ярило</c:v>
                </c:pt>
                <c:pt idx="5">
                  <c:v>Загрей</c:v>
                </c:pt>
              </c:strCache>
            </c:strRef>
          </c:cat>
          <c:val>
            <c:numRef>
              <c:f>'1'!$B$2:$B$7</c:f>
              <c:numCache>
                <c:formatCode>General</c:formatCode>
                <c:ptCount val="6"/>
                <c:pt idx="0">
                  <c:v>27.2</c:v>
                </c:pt>
                <c:pt idx="1">
                  <c:v>26.1</c:v>
                </c:pt>
                <c:pt idx="2" formatCode="0.0">
                  <c:v>59</c:v>
                </c:pt>
                <c:pt idx="3" formatCode="0.0">
                  <c:v>60.666666666666579</c:v>
                </c:pt>
                <c:pt idx="4" formatCode="0.0">
                  <c:v>66.5</c:v>
                </c:pt>
                <c:pt idx="5" formatCode="0.0">
                  <c:v>63.2</c:v>
                </c:pt>
              </c:numCache>
            </c:numRef>
          </c:val>
          <c:extLst xmlns:c16r2="http://schemas.microsoft.com/office/drawing/2015/06/chart">
            <c:ext xmlns:c16="http://schemas.microsoft.com/office/drawing/2014/chart" uri="{C3380CC4-5D6E-409C-BE32-E72D297353CC}">
              <c16:uniqueId val="{00000000-287B-4905-BC30-5EF2E66B1489}"/>
            </c:ext>
          </c:extLst>
        </c:ser>
        <c:dLbls/>
        <c:gapWidth val="219"/>
        <c:overlap val="-27"/>
        <c:axId val="92550272"/>
        <c:axId val="92552192"/>
      </c:barChart>
      <c:catAx>
        <c:axId val="9255027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764580921730524"/>
              <c:y val="0.86728685633041713"/>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552192"/>
        <c:crosses val="autoZero"/>
        <c:auto val="1"/>
        <c:lblAlgn val="ctr"/>
        <c:lblOffset val="100"/>
      </c:catAx>
      <c:valAx>
        <c:axId val="92552192"/>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шт.</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550272"/>
        <c:crosses val="autoZero"/>
        <c:crossBetween val="between"/>
      </c:valAx>
      <c:spPr>
        <a:noFill/>
        <a:ln>
          <a:noFill/>
        </a:ln>
        <a:effectLst/>
      </c:spPr>
    </c:plotArea>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3.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889242619418954"/>
          <c:y val="5.3912219305920134E-2"/>
          <c:w val="0.83055208072397757"/>
          <c:h val="0.69680021529833691"/>
        </c:manualLayout>
      </c:layout>
      <c:barChart>
        <c:barDir val="col"/>
        <c:grouping val="clustered"/>
        <c:ser>
          <c:idx val="0"/>
          <c:order val="0"/>
          <c:tx>
            <c:strRef>
              <c:f>'1'!$B$10</c:f>
              <c:strCache>
                <c:ptCount val="1"/>
                <c:pt idx="0">
                  <c:v>Кількість на площі листкової поверхні, шт.</c:v>
                </c:pt>
              </c:strCache>
            </c:strRef>
          </c:tx>
          <c:spPr>
            <a:pattFill prst="horzBrick">
              <a:fgClr>
                <a:schemeClr val="tx1"/>
              </a:fgClr>
              <a:bgClr>
                <a:schemeClr val="bg1"/>
              </a:bgClr>
            </a:pattFill>
            <a:ln>
              <a:solidFill>
                <a:sysClr val="windowText" lastClr="000000"/>
              </a:solidFill>
            </a:ln>
            <a:effectLst/>
          </c:spPr>
          <c:cat>
            <c:strRef>
              <c:f>'1'!$A$11:$A$16</c:f>
              <c:strCache>
                <c:ptCount val="6"/>
                <c:pt idx="0">
                  <c:v>Контроль 1</c:v>
                </c:pt>
                <c:pt idx="1">
                  <c:v>Контроль 2</c:v>
                </c:pt>
                <c:pt idx="2">
                  <c:v>Добриня</c:v>
                </c:pt>
                <c:pt idx="3">
                  <c:v>Гарант</c:v>
                </c:pt>
                <c:pt idx="4">
                  <c:v>Ярило</c:v>
                </c:pt>
                <c:pt idx="5">
                  <c:v>Загрей</c:v>
                </c:pt>
              </c:strCache>
            </c:strRef>
          </c:cat>
          <c:val>
            <c:numRef>
              <c:f>'1'!$B$11:$B$16</c:f>
              <c:numCache>
                <c:formatCode>General</c:formatCode>
                <c:ptCount val="6"/>
                <c:pt idx="0">
                  <c:v>452.3</c:v>
                </c:pt>
                <c:pt idx="1">
                  <c:v>396.3</c:v>
                </c:pt>
                <c:pt idx="2" formatCode="0.0">
                  <c:v>1743.3000000000002</c:v>
                </c:pt>
                <c:pt idx="3" formatCode="0.0">
                  <c:v>1838.1333333333296</c:v>
                </c:pt>
                <c:pt idx="4" formatCode="0.0">
                  <c:v>1372.4</c:v>
                </c:pt>
                <c:pt idx="5" formatCode="0.0">
                  <c:v>1425.9</c:v>
                </c:pt>
              </c:numCache>
            </c:numRef>
          </c:val>
          <c:extLst xmlns:c16r2="http://schemas.microsoft.com/office/drawing/2015/06/chart">
            <c:ext xmlns:c16="http://schemas.microsoft.com/office/drawing/2014/chart" uri="{C3380CC4-5D6E-409C-BE32-E72D297353CC}">
              <c16:uniqueId val="{00000000-2D51-455F-A563-FC1391F3420E}"/>
            </c:ext>
          </c:extLst>
        </c:ser>
        <c:dLbls/>
        <c:gapWidth val="219"/>
        <c:overlap val="-27"/>
        <c:axId val="92581248"/>
        <c:axId val="92591616"/>
      </c:barChart>
      <c:catAx>
        <c:axId val="9258124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799436244102953"/>
              <c:y val="0.855965997397929"/>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591616"/>
        <c:crosses val="autoZero"/>
        <c:auto val="1"/>
        <c:lblAlgn val="ctr"/>
        <c:lblOffset val="100"/>
      </c:catAx>
      <c:valAx>
        <c:axId val="92591616"/>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шт.</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581248"/>
        <c:crosses val="autoZero"/>
        <c:crossBetween val="between"/>
      </c:valAx>
      <c:spPr>
        <a:noFill/>
        <a:ln>
          <a:noFill/>
        </a:ln>
        <a:effectLst/>
      </c:spPr>
    </c:plotArea>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4.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266263592051024"/>
          <c:y val="5.3912219305920134E-2"/>
          <c:w val="0.84678180852393581"/>
          <c:h val="0.70729114759221812"/>
        </c:manualLayout>
      </c:layout>
      <c:barChart>
        <c:barDir val="col"/>
        <c:grouping val="clustered"/>
        <c:ser>
          <c:idx val="0"/>
          <c:order val="0"/>
          <c:tx>
            <c:strRef>
              <c:f>'2'!$B$1</c:f>
              <c:strCache>
                <c:ptCount val="1"/>
                <c:pt idx="0">
                  <c:v>Довжина продиху, мкм</c:v>
                </c:pt>
              </c:strCache>
            </c:strRef>
          </c:tx>
          <c:spPr>
            <a:solidFill>
              <a:schemeClr val="tx1"/>
            </a:solidFill>
            <a:ln>
              <a:solidFill>
                <a:sysClr val="windowText" lastClr="000000"/>
              </a:solidFill>
            </a:ln>
            <a:effectLst/>
          </c:spPr>
          <c:cat>
            <c:strRef>
              <c:f>'2'!$A$2:$A$7</c:f>
              <c:strCache>
                <c:ptCount val="6"/>
                <c:pt idx="0">
                  <c:v>Контроль 1</c:v>
                </c:pt>
                <c:pt idx="1">
                  <c:v>Контроль 2</c:v>
                </c:pt>
                <c:pt idx="2">
                  <c:v>Добриня</c:v>
                </c:pt>
                <c:pt idx="3">
                  <c:v>Гарант</c:v>
                </c:pt>
                <c:pt idx="4">
                  <c:v>Ярило</c:v>
                </c:pt>
                <c:pt idx="5">
                  <c:v>Загрей</c:v>
                </c:pt>
              </c:strCache>
            </c:strRef>
          </c:cat>
          <c:val>
            <c:numRef>
              <c:f>'2'!$B$2:$B$7</c:f>
              <c:numCache>
                <c:formatCode>General</c:formatCode>
                <c:ptCount val="6"/>
                <c:pt idx="0">
                  <c:v>23.8</c:v>
                </c:pt>
                <c:pt idx="1">
                  <c:v>24.2</c:v>
                </c:pt>
                <c:pt idx="2" formatCode="0.0">
                  <c:v>18.214285714285754</c:v>
                </c:pt>
                <c:pt idx="3" formatCode="0.0">
                  <c:v>17.786885245901626</c:v>
                </c:pt>
                <c:pt idx="4" formatCode="0.0">
                  <c:v>17.822580645161221</c:v>
                </c:pt>
                <c:pt idx="5" formatCode="0.0">
                  <c:v>18</c:v>
                </c:pt>
              </c:numCache>
            </c:numRef>
          </c:val>
          <c:extLst xmlns:c16r2="http://schemas.microsoft.com/office/drawing/2015/06/chart">
            <c:ext xmlns:c16="http://schemas.microsoft.com/office/drawing/2014/chart" uri="{C3380CC4-5D6E-409C-BE32-E72D297353CC}">
              <c16:uniqueId val="{00000000-3B13-4EC3-B938-F22D563F6AC3}"/>
            </c:ext>
          </c:extLst>
        </c:ser>
        <c:dLbls/>
        <c:gapWidth val="219"/>
        <c:overlap val="-27"/>
        <c:axId val="92645248"/>
        <c:axId val="92655616"/>
      </c:barChart>
      <c:catAx>
        <c:axId val="9264524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938887477774959"/>
              <c:y val="0.8726470691163607"/>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655616"/>
        <c:crosses val="autoZero"/>
        <c:auto val="1"/>
        <c:lblAlgn val="ctr"/>
        <c:lblOffset val="100"/>
      </c:catAx>
      <c:valAx>
        <c:axId val="92655616"/>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645248"/>
        <c:crosses val="autoZero"/>
        <c:crossBetween val="between"/>
      </c:valAx>
      <c:spPr>
        <a:noFill/>
        <a:ln>
          <a:noFill/>
        </a:ln>
        <a:effectLst/>
      </c:spPr>
    </c:plotArea>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5.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45521433516788"/>
          <c:y val="5.3912219305920134E-2"/>
          <c:w val="0.84489229457346282"/>
          <c:h val="0.70729114759221812"/>
        </c:manualLayout>
      </c:layout>
      <c:barChart>
        <c:barDir val="col"/>
        <c:grouping val="clustered"/>
        <c:ser>
          <c:idx val="0"/>
          <c:order val="0"/>
          <c:tx>
            <c:strRef>
              <c:f>'2'!$B$10</c:f>
              <c:strCache>
                <c:ptCount val="1"/>
                <c:pt idx="0">
                  <c:v>Ширина продиху, мкм</c:v>
                </c:pt>
              </c:strCache>
            </c:strRef>
          </c:tx>
          <c:spPr>
            <a:solidFill>
              <a:schemeClr val="bg1">
                <a:lumMod val="75000"/>
              </a:schemeClr>
            </a:solidFill>
            <a:ln>
              <a:solidFill>
                <a:sysClr val="windowText" lastClr="000000"/>
              </a:solidFill>
            </a:ln>
            <a:effectLst/>
          </c:spPr>
          <c:cat>
            <c:strRef>
              <c:f>'2'!$A$11:$A$16</c:f>
              <c:strCache>
                <c:ptCount val="6"/>
                <c:pt idx="0">
                  <c:v>Контроль 1</c:v>
                </c:pt>
                <c:pt idx="1">
                  <c:v>Контроль 2</c:v>
                </c:pt>
                <c:pt idx="2">
                  <c:v>Добриня</c:v>
                </c:pt>
                <c:pt idx="3">
                  <c:v>Гарант</c:v>
                </c:pt>
                <c:pt idx="4">
                  <c:v>Ярило</c:v>
                </c:pt>
                <c:pt idx="5">
                  <c:v>Загрей</c:v>
                </c:pt>
              </c:strCache>
            </c:strRef>
          </c:cat>
          <c:val>
            <c:numRef>
              <c:f>'2'!$B$11:$B$16</c:f>
              <c:numCache>
                <c:formatCode>General</c:formatCode>
                <c:ptCount val="6"/>
                <c:pt idx="0">
                  <c:v>18</c:v>
                </c:pt>
                <c:pt idx="1">
                  <c:v>17.899999999999999</c:v>
                </c:pt>
                <c:pt idx="2" formatCode="0.0">
                  <c:v>13.0952380952381</c:v>
                </c:pt>
                <c:pt idx="3" formatCode="0.0">
                  <c:v>12.725409836065589</c:v>
                </c:pt>
                <c:pt idx="4" formatCode="0.0">
                  <c:v>12.419354838709708</c:v>
                </c:pt>
                <c:pt idx="5" formatCode="0.0">
                  <c:v>12.7</c:v>
                </c:pt>
              </c:numCache>
            </c:numRef>
          </c:val>
          <c:extLst xmlns:c16r2="http://schemas.microsoft.com/office/drawing/2015/06/chart">
            <c:ext xmlns:c16="http://schemas.microsoft.com/office/drawing/2014/chart" uri="{C3380CC4-5D6E-409C-BE32-E72D297353CC}">
              <c16:uniqueId val="{00000000-F7CF-4D0B-8D6F-61B0E98B60D9}"/>
            </c:ext>
          </c:extLst>
        </c:ser>
        <c:dLbls/>
        <c:gapWidth val="219"/>
        <c:overlap val="-27"/>
        <c:axId val="92684672"/>
        <c:axId val="92686592"/>
      </c:barChart>
      <c:catAx>
        <c:axId val="9268467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874927386903796"/>
              <c:y val="0.868202624671916"/>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686592"/>
        <c:crosses val="autoZero"/>
        <c:auto val="1"/>
        <c:lblAlgn val="ctr"/>
        <c:lblOffset val="100"/>
      </c:catAx>
      <c:valAx>
        <c:axId val="92686592"/>
        <c:scaling>
          <c:orientation val="minMax"/>
          <c:max val="3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684672"/>
        <c:crosses val="autoZero"/>
        <c:crossBetween val="between"/>
        <c:majorUnit val="5"/>
      </c:valAx>
      <c:spPr>
        <a:noFill/>
        <a:ln>
          <a:noFill/>
        </a:ln>
        <a:effectLst/>
      </c:spPr>
    </c:plotArea>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6.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739056436261572"/>
          <c:y val="5.3912219305920134E-2"/>
          <c:w val="0.86205391238946072"/>
          <c:h val="0.68524043094392761"/>
        </c:manualLayout>
      </c:layout>
      <c:barChart>
        <c:barDir val="col"/>
        <c:grouping val="clustered"/>
        <c:ser>
          <c:idx val="0"/>
          <c:order val="0"/>
          <c:tx>
            <c:strRef>
              <c:f>'3'!$B$1</c:f>
              <c:strCache>
                <c:ptCount val="1"/>
                <c:pt idx="0">
                  <c:v>Ширина зам.клітини середнє, мкм</c:v>
                </c:pt>
              </c:strCache>
            </c:strRef>
          </c:tx>
          <c:spPr>
            <a:solidFill>
              <a:schemeClr val="tx1">
                <a:lumMod val="50000"/>
                <a:lumOff val="50000"/>
              </a:schemeClr>
            </a:solidFill>
            <a:ln>
              <a:solidFill>
                <a:sysClr val="windowText" lastClr="000000"/>
              </a:solidFill>
            </a:ln>
            <a:effectLst/>
          </c:spPr>
          <c:cat>
            <c:strRef>
              <c:f>'3'!$A$2:$A$7</c:f>
              <c:strCache>
                <c:ptCount val="6"/>
                <c:pt idx="0">
                  <c:v>Контроль 1</c:v>
                </c:pt>
                <c:pt idx="1">
                  <c:v>Контроль 2</c:v>
                </c:pt>
                <c:pt idx="2">
                  <c:v>Добриня</c:v>
                </c:pt>
                <c:pt idx="3">
                  <c:v>Гарант</c:v>
                </c:pt>
                <c:pt idx="4">
                  <c:v>Ярило</c:v>
                </c:pt>
                <c:pt idx="5">
                  <c:v>Загрей</c:v>
                </c:pt>
              </c:strCache>
            </c:strRef>
          </c:cat>
          <c:val>
            <c:numRef>
              <c:f>'3'!$B$2:$B$7</c:f>
              <c:numCache>
                <c:formatCode>General</c:formatCode>
                <c:ptCount val="6"/>
                <c:pt idx="0">
                  <c:v>4.3</c:v>
                </c:pt>
                <c:pt idx="1">
                  <c:v>4.0999999999999996</c:v>
                </c:pt>
                <c:pt idx="2" formatCode="0.0">
                  <c:v>4.8</c:v>
                </c:pt>
                <c:pt idx="3" formatCode="0.0">
                  <c:v>5.0999999999999996</c:v>
                </c:pt>
                <c:pt idx="4" formatCode="0.0">
                  <c:v>5.5</c:v>
                </c:pt>
                <c:pt idx="5" formatCode="0.0">
                  <c:v>5.5</c:v>
                </c:pt>
              </c:numCache>
            </c:numRef>
          </c:val>
          <c:extLst xmlns:c16r2="http://schemas.microsoft.com/office/drawing/2015/06/chart">
            <c:ext xmlns:c16="http://schemas.microsoft.com/office/drawing/2014/chart" uri="{C3380CC4-5D6E-409C-BE32-E72D297353CC}">
              <c16:uniqueId val="{00000000-134A-414B-8D20-1C81220C6FCB}"/>
            </c:ext>
          </c:extLst>
        </c:ser>
        <c:dLbls/>
        <c:gapWidth val="219"/>
        <c:overlap val="-27"/>
        <c:axId val="92707456"/>
        <c:axId val="92730112"/>
      </c:barChart>
      <c:catAx>
        <c:axId val="92707456"/>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78778319107527"/>
              <c:y val="0.86336560710688492"/>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730112"/>
        <c:crosses val="autoZero"/>
        <c:auto val="1"/>
        <c:lblAlgn val="ctr"/>
        <c:lblOffset val="100"/>
      </c:catAx>
      <c:valAx>
        <c:axId val="92730112"/>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707456"/>
        <c:crosses val="autoZero"/>
        <c:crossBetween val="between"/>
      </c:valAx>
      <c:spPr>
        <a:noFill/>
        <a:ln>
          <a:noFill/>
        </a:ln>
        <a:effectLst/>
      </c:spPr>
    </c:plotArea>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7.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2734859755433825"/>
          <c:y val="5.3912219305920134E-2"/>
          <c:w val="0.84209583616735773"/>
          <c:h val="0.68524043094392761"/>
        </c:manualLayout>
      </c:layout>
      <c:barChart>
        <c:barDir val="col"/>
        <c:grouping val="clustered"/>
        <c:ser>
          <c:idx val="0"/>
          <c:order val="0"/>
          <c:tx>
            <c:strRef>
              <c:f>'4'!$B$1</c:f>
              <c:strCache>
                <c:ptCount val="1"/>
                <c:pt idx="0">
                  <c:v>Ширина продихової щілини, мкм</c:v>
                </c:pt>
              </c:strCache>
            </c:strRef>
          </c:tx>
          <c:spPr>
            <a:pattFill prst="dkUpDiag">
              <a:fgClr>
                <a:schemeClr val="tx1"/>
              </a:fgClr>
              <a:bgClr>
                <a:schemeClr val="bg1"/>
              </a:bgClr>
            </a:pattFill>
            <a:ln>
              <a:solidFill>
                <a:sysClr val="windowText" lastClr="000000"/>
              </a:solidFill>
            </a:ln>
            <a:effectLst/>
          </c:spPr>
          <c:cat>
            <c:strRef>
              <c:f>'4'!$A$2:$A$7</c:f>
              <c:strCache>
                <c:ptCount val="6"/>
                <c:pt idx="0">
                  <c:v>Контроль 1</c:v>
                </c:pt>
                <c:pt idx="1">
                  <c:v>Контроль 2</c:v>
                </c:pt>
                <c:pt idx="2">
                  <c:v>Добриня</c:v>
                </c:pt>
                <c:pt idx="3">
                  <c:v>Гарант</c:v>
                </c:pt>
                <c:pt idx="4">
                  <c:v>Ярило</c:v>
                </c:pt>
                <c:pt idx="5">
                  <c:v>Загрей</c:v>
                </c:pt>
              </c:strCache>
            </c:strRef>
          </c:cat>
          <c:val>
            <c:numRef>
              <c:f>'4'!$B$2:$B$7</c:f>
              <c:numCache>
                <c:formatCode>General</c:formatCode>
                <c:ptCount val="6"/>
                <c:pt idx="0">
                  <c:v>10.200000000000001</c:v>
                </c:pt>
                <c:pt idx="1">
                  <c:v>10.4</c:v>
                </c:pt>
                <c:pt idx="2" formatCode="0.0">
                  <c:v>3.4952380952380913</c:v>
                </c:pt>
                <c:pt idx="3" formatCode="0.0">
                  <c:v>2.5254098360655739</c:v>
                </c:pt>
                <c:pt idx="4" formatCode="0.0">
                  <c:v>1.4193548387096759</c:v>
                </c:pt>
                <c:pt idx="5" formatCode="0.0">
                  <c:v>1.6999999999999973</c:v>
                </c:pt>
              </c:numCache>
            </c:numRef>
          </c:val>
          <c:extLst xmlns:c16r2="http://schemas.microsoft.com/office/drawing/2015/06/chart">
            <c:ext xmlns:c16="http://schemas.microsoft.com/office/drawing/2014/chart" uri="{C3380CC4-5D6E-409C-BE32-E72D297353CC}">
              <c16:uniqueId val="{00000000-C161-451A-9215-E01D0994AD89}"/>
            </c:ext>
          </c:extLst>
        </c:ser>
        <c:dLbls/>
        <c:gapWidth val="219"/>
        <c:overlap val="-27"/>
        <c:axId val="92910720"/>
        <c:axId val="92912640"/>
      </c:barChart>
      <c:catAx>
        <c:axId val="92910720"/>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942924002158946"/>
              <c:y val="0.86065622513632833"/>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912640"/>
        <c:crosses val="autoZero"/>
        <c:auto val="1"/>
        <c:lblAlgn val="ctr"/>
        <c:lblOffset val="100"/>
      </c:catAx>
      <c:valAx>
        <c:axId val="92912640"/>
        <c:scaling>
          <c:orientation val="minMax"/>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9E-3"/>
              <c:y val="1.1956838728492077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910720"/>
        <c:crosses val="autoZero"/>
        <c:crossBetween val="between"/>
      </c:valAx>
      <c:spPr>
        <a:noFill/>
        <a:ln>
          <a:noFill/>
        </a:ln>
        <a:effectLst/>
      </c:spPr>
    </c:plotArea>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8.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3405677644428612"/>
          <c:y val="5.3912219305920134E-2"/>
          <c:w val="0.83538778401529756"/>
          <c:h val="0.7218667764568647"/>
        </c:manualLayout>
      </c:layout>
      <c:barChart>
        <c:barDir val="col"/>
        <c:grouping val="clustered"/>
        <c:ser>
          <c:idx val="0"/>
          <c:order val="0"/>
          <c:tx>
            <c:strRef>
              <c:f>'5'!$B$1</c:f>
              <c:strCache>
                <c:ptCount val="1"/>
                <c:pt idx="0">
                  <c:v>Площа продиху, мкм^2</c:v>
                </c:pt>
              </c:strCache>
            </c:strRef>
          </c:tx>
          <c:spPr>
            <a:pattFill prst="horzBrick">
              <a:fgClr>
                <a:schemeClr val="tx1"/>
              </a:fgClr>
              <a:bgClr>
                <a:schemeClr val="bg1"/>
              </a:bgClr>
            </a:pattFill>
            <a:ln>
              <a:solidFill>
                <a:sysClr val="windowText" lastClr="000000"/>
              </a:solidFill>
            </a:ln>
            <a:effectLst/>
          </c:spPr>
          <c:cat>
            <c:strRef>
              <c:f>'5'!$A$2:$A$7</c:f>
              <c:strCache>
                <c:ptCount val="6"/>
                <c:pt idx="0">
                  <c:v>Контроль 1</c:v>
                </c:pt>
                <c:pt idx="1">
                  <c:v>Контроль 2</c:v>
                </c:pt>
                <c:pt idx="2">
                  <c:v>Добриня</c:v>
                </c:pt>
                <c:pt idx="3">
                  <c:v>Гарант</c:v>
                </c:pt>
                <c:pt idx="4">
                  <c:v>Ярило</c:v>
                </c:pt>
                <c:pt idx="5">
                  <c:v>Загрей</c:v>
                </c:pt>
              </c:strCache>
            </c:strRef>
          </c:cat>
          <c:val>
            <c:numRef>
              <c:f>'5'!$B$2:$B$7</c:f>
              <c:numCache>
                <c:formatCode>General</c:formatCode>
                <c:ptCount val="6"/>
                <c:pt idx="0">
                  <c:v>336.29399999999947</c:v>
                </c:pt>
                <c:pt idx="1">
                  <c:v>340.04629999999969</c:v>
                </c:pt>
                <c:pt idx="2" formatCode="0.0">
                  <c:v>187.23852040816328</c:v>
                </c:pt>
                <c:pt idx="3" formatCode="0.0">
                  <c:v>177.68114250201577</c:v>
                </c:pt>
                <c:pt idx="4" formatCode="0.0">
                  <c:v>173.75578824141519</c:v>
                </c:pt>
                <c:pt idx="5" formatCode="0.0">
                  <c:v>179.45100000000014</c:v>
                </c:pt>
              </c:numCache>
            </c:numRef>
          </c:val>
          <c:extLst xmlns:c16r2="http://schemas.microsoft.com/office/drawing/2015/06/chart">
            <c:ext xmlns:c16="http://schemas.microsoft.com/office/drawing/2014/chart" uri="{C3380CC4-5D6E-409C-BE32-E72D297353CC}">
              <c16:uniqueId val="{00000000-94C9-4BC0-9CAF-0D3A35993A9E}"/>
            </c:ext>
          </c:extLst>
        </c:ser>
        <c:dLbls/>
        <c:gapWidth val="219"/>
        <c:overlap val="-27"/>
        <c:axId val="92933504"/>
        <c:axId val="92952064"/>
      </c:barChart>
      <c:catAx>
        <c:axId val="92933504"/>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507020280811273"/>
              <c:y val="0.87656047895973788"/>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952064"/>
        <c:crosses val="autoZero"/>
        <c:auto val="1"/>
        <c:lblAlgn val="ctr"/>
        <c:lblOffset val="100"/>
      </c:catAx>
      <c:valAx>
        <c:axId val="92952064"/>
        <c:scaling>
          <c:orientation val="minMax"/>
          <c:max val="35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мкм</a:t>
                </a:r>
              </a:p>
            </c:rich>
          </c:tx>
          <c:layout>
            <c:manualLayout>
              <c:xMode val="edge"/>
              <c:yMode val="edge"/>
              <c:x val="2.7777777777777848E-3"/>
              <c:y val="1.1956838728492069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2933504"/>
        <c:crosses val="autoZero"/>
        <c:crossBetween val="between"/>
      </c:valAx>
      <c:spPr>
        <a:noFill/>
        <a:ln>
          <a:noFill/>
        </a:ln>
        <a:effectLst/>
      </c:spPr>
    </c:plotArea>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89.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'[Адаптація 07.10.2025.xlsx]in vivo середовища'!$J$17</c:f>
              <c:strCache>
                <c:ptCount val="1"/>
                <c:pt idx="0">
                  <c:v>Добриня</c:v>
                </c:pt>
              </c:strCache>
            </c:strRef>
          </c:tx>
          <c:spPr>
            <a:pattFill prst="dkDnDiag">
              <a:fgClr>
                <a:schemeClr val="tx1"/>
              </a:fgClr>
              <a:bgClr>
                <a:schemeClr val="bg1"/>
              </a:bgClr>
            </a:pattFill>
            <a:ln>
              <a:solidFill>
                <a:schemeClr val="tx1"/>
              </a:solidFill>
            </a:ln>
            <a:effectLst/>
          </c:spPr>
          <c:cat>
            <c:numRef>
              <c:f>'[Адаптація 07.10.2025.xlsx]in vivo середовища'!$I$18:$I$29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середовища'!$J$18:$J$29</c:f>
              <c:numCache>
                <c:formatCode>General</c:formatCode>
                <c:ptCount val="12"/>
                <c:pt idx="0">
                  <c:v>46.5</c:v>
                </c:pt>
                <c:pt idx="1">
                  <c:v>37.5</c:v>
                </c:pt>
                <c:pt idx="2">
                  <c:v>60</c:v>
                </c:pt>
                <c:pt idx="3">
                  <c:v>54.5</c:v>
                </c:pt>
                <c:pt idx="4">
                  <c:v>62</c:v>
                </c:pt>
                <c:pt idx="5">
                  <c:v>56</c:v>
                </c:pt>
                <c:pt idx="6">
                  <c:v>80</c:v>
                </c:pt>
                <c:pt idx="7">
                  <c:v>76</c:v>
                </c:pt>
                <c:pt idx="8">
                  <c:v>85.5</c:v>
                </c:pt>
                <c:pt idx="9">
                  <c:v>77</c:v>
                </c:pt>
                <c:pt idx="10">
                  <c:v>90</c:v>
                </c:pt>
                <c:pt idx="11">
                  <c:v>80</c:v>
                </c:pt>
              </c:numCache>
            </c:numRef>
          </c:val>
          <c:extLst xmlns:c16r2="http://schemas.microsoft.com/office/drawing/2015/06/chart">
            <c:ext xmlns:c16="http://schemas.microsoft.com/office/drawing/2014/chart" uri="{C3380CC4-5D6E-409C-BE32-E72D297353CC}">
              <c16:uniqueId val="{00000000-4A40-410A-B70E-DB1133838C1B}"/>
            </c:ext>
          </c:extLst>
        </c:ser>
        <c:ser>
          <c:idx val="1"/>
          <c:order val="1"/>
          <c:tx>
            <c:strRef>
              <c:f>'[Адаптація 07.10.2025.xlsx]in vivo середовища'!$K$17</c:f>
              <c:strCache>
                <c:ptCount val="1"/>
                <c:pt idx="0">
                  <c:v>Гарант</c:v>
                </c:pt>
              </c:strCache>
            </c:strRef>
          </c:tx>
          <c:spPr>
            <a:solidFill>
              <a:schemeClr val="bg2">
                <a:lumMod val="75000"/>
              </a:schemeClr>
            </a:solidFill>
            <a:ln>
              <a:solidFill>
                <a:schemeClr val="tx1"/>
              </a:solidFill>
            </a:ln>
            <a:effectLst/>
          </c:spPr>
          <c:cat>
            <c:numRef>
              <c:f>'[Адаптація 07.10.2025.xlsx]in vivo середовища'!$I$18:$I$29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середовища'!$K$18:$K$29</c:f>
              <c:numCache>
                <c:formatCode>General</c:formatCode>
                <c:ptCount val="12"/>
                <c:pt idx="0">
                  <c:v>53.5</c:v>
                </c:pt>
                <c:pt idx="1">
                  <c:v>49</c:v>
                </c:pt>
                <c:pt idx="2">
                  <c:v>68</c:v>
                </c:pt>
                <c:pt idx="3">
                  <c:v>55</c:v>
                </c:pt>
                <c:pt idx="4">
                  <c:v>72.5</c:v>
                </c:pt>
                <c:pt idx="5">
                  <c:v>62</c:v>
                </c:pt>
                <c:pt idx="6">
                  <c:v>96</c:v>
                </c:pt>
                <c:pt idx="7">
                  <c:v>81.5</c:v>
                </c:pt>
                <c:pt idx="8">
                  <c:v>86</c:v>
                </c:pt>
                <c:pt idx="9">
                  <c:v>77.5</c:v>
                </c:pt>
                <c:pt idx="10">
                  <c:v>87.5</c:v>
                </c:pt>
                <c:pt idx="11">
                  <c:v>84</c:v>
                </c:pt>
              </c:numCache>
            </c:numRef>
          </c:val>
          <c:extLst xmlns:c16r2="http://schemas.microsoft.com/office/drawing/2015/06/chart">
            <c:ext xmlns:c16="http://schemas.microsoft.com/office/drawing/2014/chart" uri="{C3380CC4-5D6E-409C-BE32-E72D297353CC}">
              <c16:uniqueId val="{00000001-4A40-410A-B70E-DB1133838C1B}"/>
            </c:ext>
          </c:extLst>
        </c:ser>
        <c:dLbls/>
        <c:gapWidth val="219"/>
        <c:overlap val="-27"/>
        <c:axId val="93027328"/>
        <c:axId val="93049984"/>
      </c:barChart>
      <c:catAx>
        <c:axId val="9302732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532911753906436"/>
              <c:y val="0.78059436620694655"/>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049984"/>
        <c:crosses val="autoZero"/>
        <c:auto val="1"/>
        <c:lblAlgn val="ctr"/>
        <c:lblOffset val="100"/>
      </c:catAx>
      <c:valAx>
        <c:axId val="93049984"/>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0"/>
              <c:y val="1.5084572761738121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027328"/>
        <c:crosses val="autoZero"/>
        <c:crossBetween val="between"/>
      </c:valAx>
      <c:spPr>
        <a:noFill/>
        <a:ln>
          <a:noFill/>
        </a:ln>
        <a:effectLst/>
      </c:spPr>
    </c:plotArea>
    <c:legend>
      <c:legendPos val="b"/>
      <c:layout>
        <c:manualLayout>
          <c:xMode val="edge"/>
          <c:yMode val="edge"/>
          <c:x val="1.1865704286963834E-3"/>
          <c:y val="0.91261519393409163"/>
          <c:w val="0.99207130358705142"/>
          <c:h val="7.8125546806649182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0.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'[Адаптація 07.10.2025.xlsx]in vivo середовища'!$M$17</c:f>
              <c:strCache>
                <c:ptCount val="1"/>
                <c:pt idx="0">
                  <c:v>Ярило</c:v>
                </c:pt>
              </c:strCache>
            </c:strRef>
          </c:tx>
          <c:spPr>
            <a:pattFill prst="dkDnDiag">
              <a:fgClr>
                <a:schemeClr val="tx1"/>
              </a:fgClr>
              <a:bgClr>
                <a:schemeClr val="bg1"/>
              </a:bgClr>
            </a:pattFill>
            <a:ln>
              <a:solidFill>
                <a:sysClr val="windowText" lastClr="000000"/>
              </a:solidFill>
            </a:ln>
            <a:effectLst/>
          </c:spPr>
          <c:cat>
            <c:numRef>
              <c:f>'[Адаптація 07.10.2025.xlsx]in vivo середовища'!$L$18:$L$29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середовища'!$M$18:$M$29</c:f>
              <c:numCache>
                <c:formatCode>General</c:formatCode>
                <c:ptCount val="12"/>
                <c:pt idx="0">
                  <c:v>60</c:v>
                </c:pt>
                <c:pt idx="1">
                  <c:v>52</c:v>
                </c:pt>
                <c:pt idx="2">
                  <c:v>65</c:v>
                </c:pt>
                <c:pt idx="3">
                  <c:v>58</c:v>
                </c:pt>
                <c:pt idx="4">
                  <c:v>68.5</c:v>
                </c:pt>
                <c:pt idx="5">
                  <c:v>62.5</c:v>
                </c:pt>
                <c:pt idx="6">
                  <c:v>79.5</c:v>
                </c:pt>
                <c:pt idx="7">
                  <c:v>68.5</c:v>
                </c:pt>
                <c:pt idx="8">
                  <c:v>81</c:v>
                </c:pt>
                <c:pt idx="9">
                  <c:v>75</c:v>
                </c:pt>
                <c:pt idx="10">
                  <c:v>98</c:v>
                </c:pt>
                <c:pt idx="11">
                  <c:v>80</c:v>
                </c:pt>
              </c:numCache>
            </c:numRef>
          </c:val>
          <c:extLst xmlns:c16r2="http://schemas.microsoft.com/office/drawing/2015/06/chart">
            <c:ext xmlns:c16="http://schemas.microsoft.com/office/drawing/2014/chart" uri="{C3380CC4-5D6E-409C-BE32-E72D297353CC}">
              <c16:uniqueId val="{00000000-E9EC-4C13-836E-E8E549B10E36}"/>
            </c:ext>
          </c:extLst>
        </c:ser>
        <c:ser>
          <c:idx val="1"/>
          <c:order val="1"/>
          <c:tx>
            <c:strRef>
              <c:f>'[Адаптація 07.10.2025.xlsx]in vivo середовища'!$N$17</c:f>
              <c:strCache>
                <c:ptCount val="1"/>
                <c:pt idx="0">
                  <c:v>Загрей</c:v>
                </c:pt>
              </c:strCache>
            </c:strRef>
          </c:tx>
          <c:spPr>
            <a:solidFill>
              <a:schemeClr val="bg2">
                <a:lumMod val="75000"/>
              </a:schemeClr>
            </a:solidFill>
            <a:ln>
              <a:solidFill>
                <a:sysClr val="windowText" lastClr="000000"/>
              </a:solidFill>
            </a:ln>
            <a:effectLst/>
          </c:spPr>
          <c:cat>
            <c:numRef>
              <c:f>'[Адаптація 07.10.2025.xlsx]in vivo середовища'!$L$18:$L$29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середовища'!$N$18:$N$29</c:f>
              <c:numCache>
                <c:formatCode>General</c:formatCode>
                <c:ptCount val="12"/>
                <c:pt idx="0">
                  <c:v>57</c:v>
                </c:pt>
                <c:pt idx="1">
                  <c:v>47.5</c:v>
                </c:pt>
                <c:pt idx="2">
                  <c:v>65.5</c:v>
                </c:pt>
                <c:pt idx="3">
                  <c:v>58</c:v>
                </c:pt>
                <c:pt idx="4">
                  <c:v>68.5</c:v>
                </c:pt>
                <c:pt idx="5">
                  <c:v>60</c:v>
                </c:pt>
                <c:pt idx="6">
                  <c:v>75</c:v>
                </c:pt>
                <c:pt idx="7">
                  <c:v>64</c:v>
                </c:pt>
                <c:pt idx="8">
                  <c:v>77.5</c:v>
                </c:pt>
                <c:pt idx="9">
                  <c:v>70</c:v>
                </c:pt>
                <c:pt idx="10">
                  <c:v>94</c:v>
                </c:pt>
                <c:pt idx="11">
                  <c:v>80</c:v>
                </c:pt>
              </c:numCache>
            </c:numRef>
          </c:val>
          <c:extLst xmlns:c16r2="http://schemas.microsoft.com/office/drawing/2015/06/chart">
            <c:ext xmlns:c16="http://schemas.microsoft.com/office/drawing/2014/chart" uri="{C3380CC4-5D6E-409C-BE32-E72D297353CC}">
              <c16:uniqueId val="{00000001-E9EC-4C13-836E-E8E549B10E36}"/>
            </c:ext>
          </c:extLst>
        </c:ser>
        <c:dLbls/>
        <c:gapWidth val="219"/>
        <c:overlap val="-27"/>
        <c:axId val="93105152"/>
        <c:axId val="93111424"/>
      </c:barChart>
      <c:catAx>
        <c:axId val="9310515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458949029365359"/>
              <c:y val="0.78704857169261766"/>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111424"/>
        <c:crosses val="autoZero"/>
        <c:auto val="1"/>
        <c:lblAlgn val="ctr"/>
        <c:lblOffset val="100"/>
      </c:catAx>
      <c:valAx>
        <c:axId val="93111424"/>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p>
            </c:rich>
          </c:tx>
          <c:layout>
            <c:manualLayout>
              <c:xMode val="edge"/>
              <c:yMode val="edge"/>
              <c:x val="0"/>
              <c:y val="2.0691276169285362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105152"/>
        <c:crosses val="autoZero"/>
        <c:crossBetween val="between"/>
        <c:majorUnit val="20"/>
      </c:valAx>
      <c:spPr>
        <a:noFill/>
        <a:ln>
          <a:noFill/>
        </a:ln>
        <a:effectLst/>
      </c:spPr>
    </c:plotArea>
    <c:legend>
      <c:legendPos val="b"/>
      <c:layout>
        <c:manualLayout>
          <c:xMode val="edge"/>
          <c:yMode val="edge"/>
          <c:x val="3.9966142781263621E-3"/>
          <c:y val="0.92492796287487233"/>
          <c:w val="0.99200658771670724"/>
          <c:h val="7.507203712512861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1.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'[Адаптація 07.10.2025.xlsx]in vivo середовища'!$J$32</c:f>
              <c:strCache>
                <c:ptCount val="1"/>
                <c:pt idx="0">
                  <c:v>Добриня</c:v>
                </c:pt>
              </c:strCache>
            </c:strRef>
          </c:tx>
          <c:spPr>
            <a:pattFill prst="dkDnDiag">
              <a:fgClr>
                <a:schemeClr val="tx1"/>
              </a:fgClr>
              <a:bgClr>
                <a:schemeClr val="bg1"/>
              </a:bgClr>
            </a:pattFill>
            <a:ln>
              <a:solidFill>
                <a:sysClr val="windowText" lastClr="000000"/>
              </a:solidFill>
            </a:ln>
            <a:effectLst/>
          </c:spPr>
          <c:cat>
            <c:numRef>
              <c:f>'[Адаптація 07.10.2025.xlsx]in vivo середовища'!$I$33:$I$44</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середовища'!$J$33:$J$44</c:f>
              <c:numCache>
                <c:formatCode>General</c:formatCode>
                <c:ptCount val="12"/>
                <c:pt idx="0">
                  <c:v>36</c:v>
                </c:pt>
                <c:pt idx="1">
                  <c:v>29.5</c:v>
                </c:pt>
                <c:pt idx="2">
                  <c:v>50</c:v>
                </c:pt>
                <c:pt idx="3">
                  <c:v>47</c:v>
                </c:pt>
                <c:pt idx="4">
                  <c:v>54.5</c:v>
                </c:pt>
                <c:pt idx="5">
                  <c:v>49.5</c:v>
                </c:pt>
                <c:pt idx="6">
                  <c:v>75</c:v>
                </c:pt>
                <c:pt idx="7">
                  <c:v>66</c:v>
                </c:pt>
                <c:pt idx="8">
                  <c:v>72.5</c:v>
                </c:pt>
                <c:pt idx="9">
                  <c:v>68</c:v>
                </c:pt>
                <c:pt idx="10">
                  <c:v>84.5</c:v>
                </c:pt>
                <c:pt idx="11">
                  <c:v>72</c:v>
                </c:pt>
              </c:numCache>
            </c:numRef>
          </c:val>
          <c:extLst xmlns:c16r2="http://schemas.microsoft.com/office/drawing/2015/06/chart">
            <c:ext xmlns:c16="http://schemas.microsoft.com/office/drawing/2014/chart" uri="{C3380CC4-5D6E-409C-BE32-E72D297353CC}">
              <c16:uniqueId val="{00000000-D189-4290-ACF6-44C547894C07}"/>
            </c:ext>
          </c:extLst>
        </c:ser>
        <c:ser>
          <c:idx val="1"/>
          <c:order val="1"/>
          <c:tx>
            <c:strRef>
              <c:f>'[Адаптація 07.10.2025.xlsx]in vivo середовища'!$K$32</c:f>
              <c:strCache>
                <c:ptCount val="1"/>
                <c:pt idx="0">
                  <c:v>Гарант</c:v>
                </c:pt>
              </c:strCache>
            </c:strRef>
          </c:tx>
          <c:spPr>
            <a:solidFill>
              <a:schemeClr val="bg2">
                <a:lumMod val="75000"/>
              </a:schemeClr>
            </a:solidFill>
            <a:ln>
              <a:solidFill>
                <a:sysClr val="windowText" lastClr="000000"/>
              </a:solidFill>
            </a:ln>
            <a:effectLst/>
          </c:spPr>
          <c:cat>
            <c:numRef>
              <c:f>'[Адаптація 07.10.2025.xlsx]in vivo середовища'!$I$33:$I$44</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середовища'!$K$33:$K$44</c:f>
              <c:numCache>
                <c:formatCode>General</c:formatCode>
                <c:ptCount val="12"/>
                <c:pt idx="0">
                  <c:v>36.300000000000004</c:v>
                </c:pt>
                <c:pt idx="1">
                  <c:v>30</c:v>
                </c:pt>
                <c:pt idx="2">
                  <c:v>52</c:v>
                </c:pt>
                <c:pt idx="3">
                  <c:v>48</c:v>
                </c:pt>
                <c:pt idx="4">
                  <c:v>65.5</c:v>
                </c:pt>
                <c:pt idx="5">
                  <c:v>55</c:v>
                </c:pt>
                <c:pt idx="6">
                  <c:v>77</c:v>
                </c:pt>
                <c:pt idx="7">
                  <c:v>61.5</c:v>
                </c:pt>
                <c:pt idx="8">
                  <c:v>67</c:v>
                </c:pt>
                <c:pt idx="9">
                  <c:v>58.5</c:v>
                </c:pt>
                <c:pt idx="10">
                  <c:v>71</c:v>
                </c:pt>
                <c:pt idx="11">
                  <c:v>68</c:v>
                </c:pt>
              </c:numCache>
            </c:numRef>
          </c:val>
          <c:extLst xmlns:c16r2="http://schemas.microsoft.com/office/drawing/2015/06/chart">
            <c:ext xmlns:c16="http://schemas.microsoft.com/office/drawing/2014/chart" uri="{C3380CC4-5D6E-409C-BE32-E72D297353CC}">
              <c16:uniqueId val="{00000001-D189-4290-ACF6-44C547894C07}"/>
            </c:ext>
          </c:extLst>
        </c:ser>
        <c:dLbls/>
        <c:gapWidth val="219"/>
        <c:overlap val="-27"/>
        <c:axId val="93150208"/>
        <c:axId val="93168768"/>
      </c:barChart>
      <c:catAx>
        <c:axId val="9315020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995476177102268"/>
              <c:y val="0.78584546596157689"/>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168768"/>
        <c:crosses val="autoZero"/>
        <c:auto val="1"/>
        <c:lblAlgn val="ctr"/>
        <c:lblOffset val="100"/>
      </c:catAx>
      <c:valAx>
        <c:axId val="93168768"/>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p>
            </c:rich>
          </c:tx>
          <c:layout>
            <c:manualLayout>
              <c:xMode val="edge"/>
              <c:yMode val="edge"/>
              <c:x val="0"/>
              <c:y val="4.4320572195058012E-3"/>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150208"/>
        <c:crosses val="autoZero"/>
        <c:crossBetween val="between"/>
      </c:valAx>
      <c:spPr>
        <a:noFill/>
        <a:ln>
          <a:noFill/>
        </a:ln>
        <a:effectLst/>
      </c:spPr>
    </c:plotArea>
    <c:legend>
      <c:legendPos val="b"/>
      <c:layout>
        <c:manualLayout>
          <c:xMode val="edge"/>
          <c:yMode val="edge"/>
          <c:x val="2.7794118495682112E-3"/>
          <c:y val="0.8957513827975464"/>
          <c:w val="0.99722058815043157"/>
          <c:h val="7.6904858792094757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2.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'[Адаптація 07.10.2025.xlsx]in vivo середовища'!$M$32</c:f>
              <c:strCache>
                <c:ptCount val="1"/>
                <c:pt idx="0">
                  <c:v>Ярило</c:v>
                </c:pt>
              </c:strCache>
            </c:strRef>
          </c:tx>
          <c:spPr>
            <a:pattFill prst="dkDnDiag">
              <a:fgClr>
                <a:schemeClr val="tx1"/>
              </a:fgClr>
              <a:bgClr>
                <a:schemeClr val="bg1"/>
              </a:bgClr>
            </a:pattFill>
            <a:ln>
              <a:solidFill>
                <a:schemeClr val="tx1"/>
              </a:solidFill>
            </a:ln>
            <a:effectLst/>
          </c:spPr>
          <c:cat>
            <c:numRef>
              <c:f>'[Адаптація 07.10.2025.xlsx]in vivo середовища'!$L$33:$L$44</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середовища'!$M$33:$M$44</c:f>
              <c:numCache>
                <c:formatCode>General</c:formatCode>
                <c:ptCount val="12"/>
                <c:pt idx="0">
                  <c:v>40</c:v>
                </c:pt>
                <c:pt idx="1">
                  <c:v>32</c:v>
                </c:pt>
                <c:pt idx="2">
                  <c:v>58</c:v>
                </c:pt>
                <c:pt idx="3">
                  <c:v>50</c:v>
                </c:pt>
                <c:pt idx="4">
                  <c:v>62.3</c:v>
                </c:pt>
                <c:pt idx="5">
                  <c:v>55.000000000000007</c:v>
                </c:pt>
                <c:pt idx="6">
                  <c:v>70</c:v>
                </c:pt>
                <c:pt idx="7">
                  <c:v>58.5</c:v>
                </c:pt>
                <c:pt idx="8">
                  <c:v>70</c:v>
                </c:pt>
                <c:pt idx="9">
                  <c:v>64.5</c:v>
                </c:pt>
                <c:pt idx="10">
                  <c:v>85.5</c:v>
                </c:pt>
                <c:pt idx="11">
                  <c:v>75</c:v>
                </c:pt>
              </c:numCache>
            </c:numRef>
          </c:val>
          <c:extLst xmlns:c16r2="http://schemas.microsoft.com/office/drawing/2015/06/chart">
            <c:ext xmlns:c16="http://schemas.microsoft.com/office/drawing/2014/chart" uri="{C3380CC4-5D6E-409C-BE32-E72D297353CC}">
              <c16:uniqueId val="{00000000-54B1-4F84-9ED2-72D5F18482D8}"/>
            </c:ext>
          </c:extLst>
        </c:ser>
        <c:ser>
          <c:idx val="1"/>
          <c:order val="1"/>
          <c:tx>
            <c:strRef>
              <c:f>'[Адаптація 07.10.2025.xlsx]in vivo середовища'!$N$32</c:f>
              <c:strCache>
                <c:ptCount val="1"/>
                <c:pt idx="0">
                  <c:v>Загрей</c:v>
                </c:pt>
              </c:strCache>
            </c:strRef>
          </c:tx>
          <c:spPr>
            <a:solidFill>
              <a:schemeClr val="bg2">
                <a:lumMod val="75000"/>
              </a:schemeClr>
            </a:solidFill>
            <a:ln>
              <a:solidFill>
                <a:schemeClr val="tx1"/>
              </a:solidFill>
            </a:ln>
            <a:effectLst/>
          </c:spPr>
          <c:cat>
            <c:numRef>
              <c:f>'[Адаптація 07.10.2025.xlsx]in vivo середовища'!$L$33:$L$44</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середовища'!$N$33:$N$44</c:f>
              <c:numCache>
                <c:formatCode>General</c:formatCode>
                <c:ptCount val="12"/>
                <c:pt idx="0">
                  <c:v>36.9</c:v>
                </c:pt>
                <c:pt idx="1">
                  <c:v>29.5</c:v>
                </c:pt>
                <c:pt idx="2">
                  <c:v>54.5</c:v>
                </c:pt>
                <c:pt idx="3">
                  <c:v>46.9</c:v>
                </c:pt>
                <c:pt idx="4">
                  <c:v>60.2</c:v>
                </c:pt>
                <c:pt idx="5">
                  <c:v>51.20000000000001</c:v>
                </c:pt>
                <c:pt idx="6">
                  <c:v>63.566666666666613</c:v>
                </c:pt>
                <c:pt idx="7">
                  <c:v>46.1</c:v>
                </c:pt>
                <c:pt idx="8">
                  <c:v>58.804761904761904</c:v>
                </c:pt>
                <c:pt idx="9">
                  <c:v>53</c:v>
                </c:pt>
                <c:pt idx="10">
                  <c:v>77.2</c:v>
                </c:pt>
                <c:pt idx="11">
                  <c:v>70</c:v>
                </c:pt>
              </c:numCache>
            </c:numRef>
          </c:val>
          <c:extLst xmlns:c16r2="http://schemas.microsoft.com/office/drawing/2015/06/chart">
            <c:ext xmlns:c16="http://schemas.microsoft.com/office/drawing/2014/chart" uri="{C3380CC4-5D6E-409C-BE32-E72D297353CC}">
              <c16:uniqueId val="{00000001-54B1-4F84-9ED2-72D5F18482D8}"/>
            </c:ext>
          </c:extLst>
        </c:ser>
        <c:dLbls/>
        <c:gapWidth val="219"/>
        <c:overlap val="-27"/>
        <c:axId val="93187072"/>
        <c:axId val="93222016"/>
      </c:barChart>
      <c:catAx>
        <c:axId val="9318707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825633476515859"/>
              <c:y val="0.78507836608079984"/>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222016"/>
        <c:crosses val="autoZero"/>
        <c:auto val="1"/>
        <c:lblAlgn val="ctr"/>
        <c:lblOffset val="100"/>
      </c:catAx>
      <c:valAx>
        <c:axId val="93222016"/>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t>%</a:t>
                </a:r>
              </a:p>
            </c:rich>
          </c:tx>
          <c:layout>
            <c:manualLayout>
              <c:xMode val="edge"/>
              <c:yMode val="edge"/>
              <c:x val="0"/>
              <c:y val="7.2027018201554192E-4"/>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187072"/>
        <c:crosses val="autoZero"/>
        <c:crossBetween val="between"/>
      </c:valAx>
      <c:spPr>
        <a:noFill/>
        <a:ln>
          <a:noFill/>
        </a:ln>
        <a:effectLst/>
      </c:spPr>
    </c:plotArea>
    <c:legend>
      <c:legendPos val="b"/>
      <c:layout>
        <c:manualLayout>
          <c:xMode val="edge"/>
          <c:yMode val="edge"/>
          <c:x val="0"/>
          <c:y val="0.8909595770411346"/>
          <c:w val="0.99630586167812163"/>
          <c:h val="8.0439803954392208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3.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'[Адаптація 07.10.2025.xlsx]in vivo середовища'!$J$47</c:f>
              <c:strCache>
                <c:ptCount val="1"/>
                <c:pt idx="0">
                  <c:v>Добриня</c:v>
                </c:pt>
              </c:strCache>
            </c:strRef>
          </c:tx>
          <c:spPr>
            <a:pattFill prst="dkDnDiag">
              <a:fgClr>
                <a:schemeClr val="tx1"/>
              </a:fgClr>
              <a:bgClr>
                <a:schemeClr val="bg1"/>
              </a:bgClr>
            </a:pattFill>
            <a:ln>
              <a:solidFill>
                <a:sysClr val="windowText" lastClr="000000"/>
              </a:solidFill>
            </a:ln>
            <a:effectLst/>
          </c:spPr>
          <c:cat>
            <c:numRef>
              <c:f>'[Адаптація 07.10.2025.xlsx]in vivo середовища'!$I$48:$I$59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середовища'!$J$48:$J$59</c:f>
              <c:numCache>
                <c:formatCode>General</c:formatCode>
                <c:ptCount val="12"/>
                <c:pt idx="0">
                  <c:v>28.1</c:v>
                </c:pt>
                <c:pt idx="1">
                  <c:v>21.5</c:v>
                </c:pt>
                <c:pt idx="2">
                  <c:v>44</c:v>
                </c:pt>
                <c:pt idx="3">
                  <c:v>41</c:v>
                </c:pt>
                <c:pt idx="4">
                  <c:v>50.5</c:v>
                </c:pt>
                <c:pt idx="5">
                  <c:v>44.5</c:v>
                </c:pt>
                <c:pt idx="6">
                  <c:v>72</c:v>
                </c:pt>
                <c:pt idx="7">
                  <c:v>63.5</c:v>
                </c:pt>
                <c:pt idx="8">
                  <c:v>70.5</c:v>
                </c:pt>
                <c:pt idx="9">
                  <c:v>64</c:v>
                </c:pt>
                <c:pt idx="10">
                  <c:v>81</c:v>
                </c:pt>
                <c:pt idx="11">
                  <c:v>70</c:v>
                </c:pt>
              </c:numCache>
            </c:numRef>
          </c:val>
          <c:extLst xmlns:c16r2="http://schemas.microsoft.com/office/drawing/2015/06/chart">
            <c:ext xmlns:c16="http://schemas.microsoft.com/office/drawing/2014/chart" uri="{C3380CC4-5D6E-409C-BE32-E72D297353CC}">
              <c16:uniqueId val="{00000000-3191-4941-B395-7496910D6C1E}"/>
            </c:ext>
          </c:extLst>
        </c:ser>
        <c:ser>
          <c:idx val="1"/>
          <c:order val="1"/>
          <c:tx>
            <c:strRef>
              <c:f>'[Адаптація 07.10.2025.xlsx]in vivo середовища'!$K$47</c:f>
              <c:strCache>
                <c:ptCount val="1"/>
                <c:pt idx="0">
                  <c:v>Гарант</c:v>
                </c:pt>
              </c:strCache>
            </c:strRef>
          </c:tx>
          <c:spPr>
            <a:solidFill>
              <a:schemeClr val="bg2">
                <a:lumMod val="75000"/>
              </a:schemeClr>
            </a:solidFill>
            <a:ln>
              <a:solidFill>
                <a:schemeClr val="tx1"/>
              </a:solidFill>
            </a:ln>
            <a:effectLst/>
          </c:spPr>
          <c:cat>
            <c:numRef>
              <c:f>'[Адаптація 07.10.2025.xlsx]in vivo середовища'!$I$48:$I$59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середовища'!$K$48:$K$59</c:f>
              <c:numCache>
                <c:formatCode>General</c:formatCode>
                <c:ptCount val="12"/>
                <c:pt idx="0">
                  <c:v>28.5</c:v>
                </c:pt>
                <c:pt idx="1">
                  <c:v>25.5</c:v>
                </c:pt>
                <c:pt idx="2">
                  <c:v>48</c:v>
                </c:pt>
                <c:pt idx="3">
                  <c:v>41</c:v>
                </c:pt>
                <c:pt idx="4">
                  <c:v>58.5</c:v>
                </c:pt>
                <c:pt idx="5">
                  <c:v>48</c:v>
                </c:pt>
                <c:pt idx="6">
                  <c:v>74</c:v>
                </c:pt>
                <c:pt idx="7">
                  <c:v>57</c:v>
                </c:pt>
                <c:pt idx="8">
                  <c:v>60</c:v>
                </c:pt>
                <c:pt idx="9">
                  <c:v>52.5</c:v>
                </c:pt>
                <c:pt idx="10">
                  <c:v>66.5</c:v>
                </c:pt>
                <c:pt idx="11">
                  <c:v>65</c:v>
                </c:pt>
              </c:numCache>
            </c:numRef>
          </c:val>
          <c:extLst xmlns:c16r2="http://schemas.microsoft.com/office/drawing/2015/06/chart">
            <c:ext xmlns:c16="http://schemas.microsoft.com/office/drawing/2014/chart" uri="{C3380CC4-5D6E-409C-BE32-E72D297353CC}">
              <c16:uniqueId val="{00000001-3191-4941-B395-7496910D6C1E}"/>
            </c:ext>
          </c:extLst>
        </c:ser>
        <c:dLbls/>
        <c:gapWidth val="219"/>
        <c:overlap val="-27"/>
        <c:axId val="93264896"/>
        <c:axId val="93279360"/>
      </c:barChart>
      <c:catAx>
        <c:axId val="93264896"/>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883131117429165"/>
              <c:y val="0.75501373172130626"/>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279360"/>
        <c:crosses val="autoZero"/>
        <c:auto val="1"/>
        <c:lblAlgn val="ctr"/>
        <c:lblOffset val="100"/>
      </c:catAx>
      <c:valAx>
        <c:axId val="93279360"/>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a:t>%</a:t>
                </a:r>
              </a:p>
            </c:rich>
          </c:tx>
          <c:layout>
            <c:manualLayout>
              <c:xMode val="edge"/>
              <c:yMode val="edge"/>
              <c:x val="0"/>
              <c:y val="1.5084572761738121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264896"/>
        <c:crosses val="autoZero"/>
        <c:crossBetween val="between"/>
      </c:valAx>
      <c:spPr>
        <a:noFill/>
        <a:ln>
          <a:noFill/>
        </a:ln>
        <a:effectLst/>
      </c:spPr>
    </c:plotArea>
    <c:legend>
      <c:legendPos val="b"/>
      <c:layout>
        <c:manualLayout>
          <c:xMode val="edge"/>
          <c:yMode val="edge"/>
          <c:x val="1.1865704286963834E-3"/>
          <c:y val="0.91261519393409163"/>
          <c:w val="0.99207130358705142"/>
          <c:h val="7.8125546806649182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4.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'[Адаптація 07.10.2025.xlsx]in vivo середовища'!$M$47</c:f>
              <c:strCache>
                <c:ptCount val="1"/>
                <c:pt idx="0">
                  <c:v>Ярило</c:v>
                </c:pt>
              </c:strCache>
            </c:strRef>
          </c:tx>
          <c:spPr>
            <a:pattFill prst="dkDnDiag">
              <a:fgClr>
                <a:schemeClr val="tx1"/>
              </a:fgClr>
              <a:bgClr>
                <a:schemeClr val="bg1"/>
              </a:bgClr>
            </a:pattFill>
            <a:ln>
              <a:solidFill>
                <a:schemeClr val="tx1"/>
              </a:solidFill>
            </a:ln>
            <a:effectLst/>
          </c:spPr>
          <c:cat>
            <c:numRef>
              <c:f>'[Адаптація 07.10.2025.xlsx]in vivo середовища'!$L$48:$L$59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середовища'!$M$48:$M$59</c:f>
              <c:numCache>
                <c:formatCode>General</c:formatCode>
                <c:ptCount val="12"/>
                <c:pt idx="0">
                  <c:v>35.5</c:v>
                </c:pt>
                <c:pt idx="1">
                  <c:v>28</c:v>
                </c:pt>
                <c:pt idx="2">
                  <c:v>53</c:v>
                </c:pt>
                <c:pt idx="3">
                  <c:v>47</c:v>
                </c:pt>
                <c:pt idx="4">
                  <c:v>58.5</c:v>
                </c:pt>
                <c:pt idx="5">
                  <c:v>51.5</c:v>
                </c:pt>
                <c:pt idx="6">
                  <c:v>66</c:v>
                </c:pt>
                <c:pt idx="7">
                  <c:v>52</c:v>
                </c:pt>
                <c:pt idx="8">
                  <c:v>66</c:v>
                </c:pt>
                <c:pt idx="9">
                  <c:v>58</c:v>
                </c:pt>
                <c:pt idx="10">
                  <c:v>82.5</c:v>
                </c:pt>
                <c:pt idx="11">
                  <c:v>70</c:v>
                </c:pt>
              </c:numCache>
            </c:numRef>
          </c:val>
          <c:extLst xmlns:c16r2="http://schemas.microsoft.com/office/drawing/2015/06/chart">
            <c:ext xmlns:c16="http://schemas.microsoft.com/office/drawing/2014/chart" uri="{C3380CC4-5D6E-409C-BE32-E72D297353CC}">
              <c16:uniqueId val="{00000000-89D3-4559-BDF7-640A5857EFA1}"/>
            </c:ext>
          </c:extLst>
        </c:ser>
        <c:ser>
          <c:idx val="1"/>
          <c:order val="1"/>
          <c:tx>
            <c:strRef>
              <c:f>'[Адаптація 07.10.2025.xlsx]in vivo середовища'!$N$47</c:f>
              <c:strCache>
                <c:ptCount val="1"/>
                <c:pt idx="0">
                  <c:v>Загрей</c:v>
                </c:pt>
              </c:strCache>
            </c:strRef>
          </c:tx>
          <c:spPr>
            <a:solidFill>
              <a:schemeClr val="bg2">
                <a:lumMod val="75000"/>
              </a:schemeClr>
            </a:solidFill>
            <a:ln>
              <a:solidFill>
                <a:schemeClr val="tx1"/>
              </a:solidFill>
            </a:ln>
            <a:effectLst/>
          </c:spPr>
          <c:cat>
            <c:numRef>
              <c:f>'[Адаптація 07.10.2025.xlsx]in vivo середовища'!$L$48:$L$59</c:f>
              <c:numCache>
                <c:formatCode>General</c:formatCode>
                <c:ptCount val="12"/>
                <c:pt idx="0">
                  <c:v>1</c:v>
                </c:pt>
                <c:pt idx="1">
                  <c:v>2</c:v>
                </c:pt>
                <c:pt idx="2">
                  <c:v>3</c:v>
                </c:pt>
                <c:pt idx="3">
                  <c:v>4</c:v>
                </c:pt>
                <c:pt idx="4">
                  <c:v>5</c:v>
                </c:pt>
                <c:pt idx="5">
                  <c:v>6</c:v>
                </c:pt>
                <c:pt idx="6">
                  <c:v>7</c:v>
                </c:pt>
                <c:pt idx="7">
                  <c:v>8</c:v>
                </c:pt>
                <c:pt idx="8">
                  <c:v>9</c:v>
                </c:pt>
                <c:pt idx="9">
                  <c:v>10</c:v>
                </c:pt>
                <c:pt idx="10">
                  <c:v>11</c:v>
                </c:pt>
                <c:pt idx="11">
                  <c:v>12</c:v>
                </c:pt>
              </c:numCache>
            </c:numRef>
          </c:cat>
          <c:val>
            <c:numRef>
              <c:f>'[Адаптація 07.10.2025.xlsx]in vivo середовища'!$N$48:$N$59</c:f>
              <c:numCache>
                <c:formatCode>General</c:formatCode>
                <c:ptCount val="12"/>
                <c:pt idx="0">
                  <c:v>28.5</c:v>
                </c:pt>
                <c:pt idx="1">
                  <c:v>25</c:v>
                </c:pt>
                <c:pt idx="2">
                  <c:v>45.6</c:v>
                </c:pt>
                <c:pt idx="3">
                  <c:v>40</c:v>
                </c:pt>
                <c:pt idx="4">
                  <c:v>55.5</c:v>
                </c:pt>
                <c:pt idx="5">
                  <c:v>47</c:v>
                </c:pt>
                <c:pt idx="6">
                  <c:v>56</c:v>
                </c:pt>
                <c:pt idx="7">
                  <c:v>42</c:v>
                </c:pt>
                <c:pt idx="8">
                  <c:v>50.3</c:v>
                </c:pt>
                <c:pt idx="9">
                  <c:v>47</c:v>
                </c:pt>
                <c:pt idx="10">
                  <c:v>65.2</c:v>
                </c:pt>
                <c:pt idx="11">
                  <c:v>60</c:v>
                </c:pt>
              </c:numCache>
            </c:numRef>
          </c:val>
          <c:extLst xmlns:c16r2="http://schemas.microsoft.com/office/drawing/2015/06/chart">
            <c:ext xmlns:c16="http://schemas.microsoft.com/office/drawing/2014/chart" uri="{C3380CC4-5D6E-409C-BE32-E72D297353CC}">
              <c16:uniqueId val="{00000001-89D3-4559-BDF7-640A5857EFA1}"/>
            </c:ext>
          </c:extLst>
        </c:ser>
        <c:dLbls/>
        <c:gapWidth val="219"/>
        <c:overlap val="-27"/>
        <c:axId val="93314048"/>
        <c:axId val="93324416"/>
      </c:barChart>
      <c:catAx>
        <c:axId val="9331404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757975512667825"/>
              <c:y val="0.76278617857778763"/>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324416"/>
        <c:crosses val="autoZero"/>
        <c:auto val="1"/>
        <c:lblAlgn val="ctr"/>
        <c:lblOffset val="100"/>
      </c:catAx>
      <c:valAx>
        <c:axId val="93324416"/>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t>%</a:t>
                </a:r>
              </a:p>
            </c:rich>
          </c:tx>
          <c:layout>
            <c:manualLayout>
              <c:xMode val="edge"/>
              <c:yMode val="edge"/>
              <c:x val="0"/>
              <c:y val="2.0691276169285362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314048"/>
        <c:crosses val="autoZero"/>
        <c:crossBetween val="between"/>
      </c:valAx>
      <c:spPr>
        <a:noFill/>
        <a:ln>
          <a:noFill/>
        </a:ln>
        <a:effectLst/>
      </c:spPr>
    </c:plotArea>
    <c:legend>
      <c:legendPos val="b"/>
      <c:layout>
        <c:manualLayout>
          <c:xMode val="edge"/>
          <c:yMode val="edge"/>
          <c:x val="3.9966142781263621E-3"/>
          <c:y val="0.92492796287487233"/>
          <c:w val="0.99200658771670724"/>
          <c:h val="7.507203712512861E-2"/>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5.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277260730044056"/>
          <c:y val="8.2397003745318331E-2"/>
          <c:w val="0.87351683865163154"/>
          <c:h val="0.62338258279512759"/>
        </c:manualLayout>
      </c:layout>
      <c:barChart>
        <c:barDir val="col"/>
        <c:grouping val="clustered"/>
        <c:ser>
          <c:idx val="0"/>
          <c:order val="0"/>
          <c:tx>
            <c:strRef>
              <c:f>'[Адаптація 07.10.2025.xlsx]in vivo субстрати'!$C$1</c:f>
              <c:strCache>
                <c:ptCount val="1"/>
                <c:pt idx="0">
                  <c:v>Добриня </c:v>
                </c:pt>
              </c:strCache>
            </c:strRef>
          </c:tx>
          <c:spPr>
            <a:pattFill prst="dkDnDiag">
              <a:fgClr>
                <a:schemeClr val="tx1"/>
              </a:fgClr>
              <a:bgClr>
                <a:schemeClr val="bg1"/>
              </a:bgClr>
            </a:pattFill>
            <a:ln>
              <a:solidFill>
                <a:sysClr val="windowText" lastClr="000000"/>
              </a:solidFill>
            </a:ln>
            <a:effectLst/>
          </c:spPr>
          <c:cat>
            <c:numRef>
              <c:f>'[Адаптація 07.10.2025.xlsx]in vivo субстрати'!$B$2:$B$6</c:f>
              <c:numCache>
                <c:formatCode>General</c:formatCode>
                <c:ptCount val="5"/>
                <c:pt idx="0">
                  <c:v>1</c:v>
                </c:pt>
                <c:pt idx="1">
                  <c:v>2</c:v>
                </c:pt>
                <c:pt idx="2">
                  <c:v>3</c:v>
                </c:pt>
                <c:pt idx="3">
                  <c:v>4</c:v>
                </c:pt>
                <c:pt idx="4">
                  <c:v>5</c:v>
                </c:pt>
              </c:numCache>
            </c:numRef>
          </c:cat>
          <c:val>
            <c:numRef>
              <c:f>'[Адаптація 07.10.2025.xlsx]in vivo субстрати'!$C$2:$C$6</c:f>
              <c:numCache>
                <c:formatCode>General</c:formatCode>
                <c:ptCount val="5"/>
                <c:pt idx="0">
                  <c:v>46.5</c:v>
                </c:pt>
                <c:pt idx="1">
                  <c:v>37.5</c:v>
                </c:pt>
                <c:pt idx="2" formatCode="0.0">
                  <c:v>82.5</c:v>
                </c:pt>
                <c:pt idx="3" formatCode="0.0">
                  <c:v>78.3</c:v>
                </c:pt>
                <c:pt idx="4" formatCode="0.0">
                  <c:v>86.7</c:v>
                </c:pt>
              </c:numCache>
            </c:numRef>
          </c:val>
          <c:extLst xmlns:c16r2="http://schemas.microsoft.com/office/drawing/2015/06/chart">
            <c:ext xmlns:c16="http://schemas.microsoft.com/office/drawing/2014/chart" uri="{C3380CC4-5D6E-409C-BE32-E72D297353CC}">
              <c16:uniqueId val="{00000000-7C5D-45EC-92C4-4F55A1FE3902}"/>
            </c:ext>
          </c:extLst>
        </c:ser>
        <c:ser>
          <c:idx val="1"/>
          <c:order val="1"/>
          <c:tx>
            <c:strRef>
              <c:f>'[Адаптація 07.10.2025.xlsx]in vivo субстрати'!$D$1</c:f>
              <c:strCache>
                <c:ptCount val="1"/>
                <c:pt idx="0">
                  <c:v>Гарант</c:v>
                </c:pt>
              </c:strCache>
            </c:strRef>
          </c:tx>
          <c:spPr>
            <a:solidFill>
              <a:schemeClr val="bg2">
                <a:lumMod val="75000"/>
              </a:schemeClr>
            </a:solidFill>
            <a:ln>
              <a:solidFill>
                <a:sysClr val="windowText" lastClr="000000"/>
              </a:solidFill>
            </a:ln>
            <a:effectLst/>
          </c:spPr>
          <c:cat>
            <c:numRef>
              <c:f>'[Адаптація 07.10.2025.xlsx]in vivo субстрати'!$B$2:$B$6</c:f>
              <c:numCache>
                <c:formatCode>General</c:formatCode>
                <c:ptCount val="5"/>
                <c:pt idx="0">
                  <c:v>1</c:v>
                </c:pt>
                <c:pt idx="1">
                  <c:v>2</c:v>
                </c:pt>
                <c:pt idx="2">
                  <c:v>3</c:v>
                </c:pt>
                <c:pt idx="3">
                  <c:v>4</c:v>
                </c:pt>
                <c:pt idx="4">
                  <c:v>5</c:v>
                </c:pt>
              </c:numCache>
            </c:numRef>
          </c:cat>
          <c:val>
            <c:numRef>
              <c:f>'[Адаптація 07.10.2025.xlsx]in vivo субстрати'!$D$2:$D$6</c:f>
              <c:numCache>
                <c:formatCode>General</c:formatCode>
                <c:ptCount val="5"/>
                <c:pt idx="0">
                  <c:v>53.5</c:v>
                </c:pt>
                <c:pt idx="1">
                  <c:v>49</c:v>
                </c:pt>
                <c:pt idx="2" formatCode="0.0">
                  <c:v>79.3</c:v>
                </c:pt>
                <c:pt idx="3">
                  <c:v>74.7</c:v>
                </c:pt>
                <c:pt idx="4" formatCode="0.0">
                  <c:v>81.2</c:v>
                </c:pt>
              </c:numCache>
            </c:numRef>
          </c:val>
          <c:extLst xmlns:c16r2="http://schemas.microsoft.com/office/drawing/2015/06/chart">
            <c:ext xmlns:c16="http://schemas.microsoft.com/office/drawing/2014/chart" uri="{C3380CC4-5D6E-409C-BE32-E72D297353CC}">
              <c16:uniqueId val="{00000001-7C5D-45EC-92C4-4F55A1FE3902}"/>
            </c:ext>
          </c:extLst>
        </c:ser>
        <c:dLbls/>
        <c:gapWidth val="219"/>
        <c:overlap val="-27"/>
        <c:axId val="93395968"/>
        <c:axId val="93410432"/>
      </c:barChart>
      <c:catAx>
        <c:axId val="9339596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337493334729085"/>
              <c:y val="0.82299061175045451"/>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410432"/>
        <c:crosses val="autoZero"/>
        <c:auto val="1"/>
        <c:lblAlgn val="ctr"/>
        <c:lblOffset val="100"/>
      </c:catAx>
      <c:valAx>
        <c:axId val="93410432"/>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0"/>
              <c:y val="1.5084572761738121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395968"/>
        <c:crosses val="autoZero"/>
        <c:crossBetween val="between"/>
      </c:valAx>
      <c:spPr>
        <a:noFill/>
        <a:ln>
          <a:noFill/>
        </a:ln>
        <a:effectLst/>
      </c:spPr>
    </c:plotArea>
    <c:legend>
      <c:legendPos val="b"/>
      <c:layout>
        <c:manualLayout>
          <c:xMode val="edge"/>
          <c:yMode val="edge"/>
          <c:x val="1.1865704286963834E-3"/>
          <c:y val="0.87415354330708661"/>
          <c:w val="0.99207130358705142"/>
          <c:h val="0.11658691701998787"/>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6.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277260730044056"/>
          <c:y val="8.2397003745318331E-2"/>
          <c:w val="0.87351683865163154"/>
          <c:h val="0.62338258279512759"/>
        </c:manualLayout>
      </c:layout>
      <c:barChart>
        <c:barDir val="col"/>
        <c:grouping val="clustered"/>
        <c:ser>
          <c:idx val="0"/>
          <c:order val="0"/>
          <c:tx>
            <c:strRef>
              <c:f>'[Адаптація 07.10.2025.xlsx]in vivo субстрати'!$F$1</c:f>
              <c:strCache>
                <c:ptCount val="1"/>
                <c:pt idx="0">
                  <c:v>Ярило </c:v>
                </c:pt>
              </c:strCache>
            </c:strRef>
          </c:tx>
          <c:spPr>
            <a:pattFill prst="dkDnDiag">
              <a:fgClr>
                <a:schemeClr val="tx1"/>
              </a:fgClr>
              <a:bgClr>
                <a:schemeClr val="bg1"/>
              </a:bgClr>
            </a:pattFill>
            <a:ln>
              <a:solidFill>
                <a:sysClr val="windowText" lastClr="000000"/>
              </a:solidFill>
            </a:ln>
            <a:effectLst/>
          </c:spPr>
          <c:cat>
            <c:numRef>
              <c:f>'[Адаптація 07.10.2025.xlsx]in vivo субстрати'!$E$2:$E$6</c:f>
              <c:numCache>
                <c:formatCode>General</c:formatCode>
                <c:ptCount val="5"/>
                <c:pt idx="0">
                  <c:v>1</c:v>
                </c:pt>
                <c:pt idx="1">
                  <c:v>2</c:v>
                </c:pt>
                <c:pt idx="2">
                  <c:v>3</c:v>
                </c:pt>
                <c:pt idx="3">
                  <c:v>4</c:v>
                </c:pt>
                <c:pt idx="4">
                  <c:v>5</c:v>
                </c:pt>
              </c:numCache>
            </c:numRef>
          </c:cat>
          <c:val>
            <c:numRef>
              <c:f>'[Адаптація 07.10.2025.xlsx]in vivo субстрати'!$F$2:$F$6</c:f>
              <c:numCache>
                <c:formatCode>General</c:formatCode>
                <c:ptCount val="5"/>
                <c:pt idx="0">
                  <c:v>60</c:v>
                </c:pt>
                <c:pt idx="1">
                  <c:v>52</c:v>
                </c:pt>
                <c:pt idx="2">
                  <c:v>73</c:v>
                </c:pt>
                <c:pt idx="3">
                  <c:v>67</c:v>
                </c:pt>
                <c:pt idx="4">
                  <c:v>80</c:v>
                </c:pt>
              </c:numCache>
            </c:numRef>
          </c:val>
          <c:extLst xmlns:c16r2="http://schemas.microsoft.com/office/drawing/2015/06/chart">
            <c:ext xmlns:c16="http://schemas.microsoft.com/office/drawing/2014/chart" uri="{C3380CC4-5D6E-409C-BE32-E72D297353CC}">
              <c16:uniqueId val="{00000000-0070-4C3F-BD33-922CFA788CD0}"/>
            </c:ext>
          </c:extLst>
        </c:ser>
        <c:ser>
          <c:idx val="1"/>
          <c:order val="1"/>
          <c:tx>
            <c:strRef>
              <c:f>'[Адаптація 07.10.2025.xlsx]in vivo субстрати'!$G$1</c:f>
              <c:strCache>
                <c:ptCount val="1"/>
                <c:pt idx="0">
                  <c:v>Загрей</c:v>
                </c:pt>
              </c:strCache>
            </c:strRef>
          </c:tx>
          <c:spPr>
            <a:solidFill>
              <a:schemeClr val="bg2">
                <a:lumMod val="75000"/>
              </a:schemeClr>
            </a:solidFill>
            <a:ln>
              <a:solidFill>
                <a:sysClr val="windowText" lastClr="000000"/>
              </a:solidFill>
            </a:ln>
            <a:effectLst/>
          </c:spPr>
          <c:cat>
            <c:numRef>
              <c:f>'[Адаптація 07.10.2025.xlsx]in vivo субстрати'!$E$2:$E$6</c:f>
              <c:numCache>
                <c:formatCode>General</c:formatCode>
                <c:ptCount val="5"/>
                <c:pt idx="0">
                  <c:v>1</c:v>
                </c:pt>
                <c:pt idx="1">
                  <c:v>2</c:v>
                </c:pt>
                <c:pt idx="2">
                  <c:v>3</c:v>
                </c:pt>
                <c:pt idx="3">
                  <c:v>4</c:v>
                </c:pt>
                <c:pt idx="4">
                  <c:v>5</c:v>
                </c:pt>
              </c:numCache>
            </c:numRef>
          </c:cat>
          <c:val>
            <c:numRef>
              <c:f>'[Адаптація 07.10.2025.xlsx]in vivo субстрати'!$G$2:$G$6</c:f>
              <c:numCache>
                <c:formatCode>General</c:formatCode>
                <c:ptCount val="5"/>
                <c:pt idx="0">
                  <c:v>57</c:v>
                </c:pt>
                <c:pt idx="1">
                  <c:v>47.5</c:v>
                </c:pt>
                <c:pt idx="2">
                  <c:v>70.900000000000006</c:v>
                </c:pt>
                <c:pt idx="3">
                  <c:v>64.5</c:v>
                </c:pt>
                <c:pt idx="4">
                  <c:v>75.2</c:v>
                </c:pt>
              </c:numCache>
            </c:numRef>
          </c:val>
          <c:extLst xmlns:c16r2="http://schemas.microsoft.com/office/drawing/2015/06/chart">
            <c:ext xmlns:c16="http://schemas.microsoft.com/office/drawing/2014/chart" uri="{C3380CC4-5D6E-409C-BE32-E72D297353CC}">
              <c16:uniqueId val="{00000001-0070-4C3F-BD33-922CFA788CD0}"/>
            </c:ext>
          </c:extLst>
        </c:ser>
        <c:dLbls/>
        <c:gapWidth val="219"/>
        <c:overlap val="-27"/>
        <c:axId val="93428736"/>
        <c:axId val="93467776"/>
      </c:barChart>
      <c:catAx>
        <c:axId val="93428736"/>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360795862958503"/>
              <c:y val="0.82201967178345148"/>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467776"/>
        <c:crosses val="autoZero"/>
        <c:auto val="1"/>
        <c:lblAlgn val="ctr"/>
        <c:lblOffset val="100"/>
      </c:catAx>
      <c:valAx>
        <c:axId val="93467776"/>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0"/>
              <c:y val="1.5084572761738121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428736"/>
        <c:crosses val="autoZero"/>
        <c:crossBetween val="between"/>
      </c:valAx>
      <c:spPr>
        <a:noFill/>
        <a:ln>
          <a:noFill/>
        </a:ln>
        <a:effectLst/>
      </c:spPr>
    </c:plotArea>
    <c:legend>
      <c:legendPos val="b"/>
      <c:layout>
        <c:manualLayout>
          <c:xMode val="edge"/>
          <c:yMode val="edge"/>
          <c:x val="1.1865704286963834E-3"/>
          <c:y val="0.87894535910283966"/>
          <c:w val="0.99207130358705142"/>
          <c:h val="0.11179564675627675"/>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7.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277260730044056"/>
          <c:y val="7.560137457044673E-2"/>
          <c:w val="0.87351683865163154"/>
          <c:h val="0.6475709608463891"/>
        </c:manualLayout>
      </c:layout>
      <c:barChart>
        <c:barDir val="col"/>
        <c:grouping val="clustered"/>
        <c:ser>
          <c:idx val="0"/>
          <c:order val="0"/>
          <c:tx>
            <c:strRef>
              <c:f>'[Адаптація 07.10.2025.xlsx]in vivo субстрати'!$C$10</c:f>
              <c:strCache>
                <c:ptCount val="1"/>
                <c:pt idx="0">
                  <c:v>Добриня </c:v>
                </c:pt>
              </c:strCache>
            </c:strRef>
          </c:tx>
          <c:spPr>
            <a:pattFill prst="dkDnDiag">
              <a:fgClr>
                <a:schemeClr val="tx1"/>
              </a:fgClr>
              <a:bgClr>
                <a:schemeClr val="bg1"/>
              </a:bgClr>
            </a:pattFill>
            <a:ln>
              <a:solidFill>
                <a:sysClr val="windowText" lastClr="000000"/>
              </a:solidFill>
            </a:ln>
            <a:effectLst/>
          </c:spPr>
          <c:cat>
            <c:numRef>
              <c:f>'[Адаптація 07.10.2025.xlsx]in vivo субстрати'!$B$11:$B$15</c:f>
              <c:numCache>
                <c:formatCode>General</c:formatCode>
                <c:ptCount val="5"/>
                <c:pt idx="0">
                  <c:v>1</c:v>
                </c:pt>
                <c:pt idx="1">
                  <c:v>2</c:v>
                </c:pt>
                <c:pt idx="2">
                  <c:v>3</c:v>
                </c:pt>
                <c:pt idx="3">
                  <c:v>4</c:v>
                </c:pt>
                <c:pt idx="4">
                  <c:v>5</c:v>
                </c:pt>
              </c:numCache>
            </c:numRef>
          </c:cat>
          <c:val>
            <c:numRef>
              <c:f>'[Адаптація 07.10.2025.xlsx]in vivo субстрати'!$C$11:$C$15</c:f>
              <c:numCache>
                <c:formatCode>General</c:formatCode>
                <c:ptCount val="5"/>
                <c:pt idx="0">
                  <c:v>36</c:v>
                </c:pt>
                <c:pt idx="1">
                  <c:v>29.5</c:v>
                </c:pt>
                <c:pt idx="2">
                  <c:v>73</c:v>
                </c:pt>
                <c:pt idx="3">
                  <c:v>68.5</c:v>
                </c:pt>
                <c:pt idx="4">
                  <c:v>78</c:v>
                </c:pt>
              </c:numCache>
            </c:numRef>
          </c:val>
          <c:extLst xmlns:c16r2="http://schemas.microsoft.com/office/drawing/2015/06/chart">
            <c:ext xmlns:c16="http://schemas.microsoft.com/office/drawing/2014/chart" uri="{C3380CC4-5D6E-409C-BE32-E72D297353CC}">
              <c16:uniqueId val="{00000000-88DE-4F3F-B1D8-8673D91EC5BD}"/>
            </c:ext>
          </c:extLst>
        </c:ser>
        <c:ser>
          <c:idx val="1"/>
          <c:order val="1"/>
          <c:tx>
            <c:strRef>
              <c:f>'[Адаптація 07.10.2025.xlsx]in vivo субстрати'!$D$10</c:f>
              <c:strCache>
                <c:ptCount val="1"/>
                <c:pt idx="0">
                  <c:v>Гарант</c:v>
                </c:pt>
              </c:strCache>
            </c:strRef>
          </c:tx>
          <c:spPr>
            <a:solidFill>
              <a:schemeClr val="bg2">
                <a:lumMod val="75000"/>
              </a:schemeClr>
            </a:solidFill>
            <a:ln>
              <a:solidFill>
                <a:sysClr val="windowText" lastClr="000000"/>
              </a:solidFill>
            </a:ln>
            <a:effectLst/>
          </c:spPr>
          <c:cat>
            <c:numRef>
              <c:f>'[Адаптація 07.10.2025.xlsx]in vivo субстрати'!$B$11:$B$15</c:f>
              <c:numCache>
                <c:formatCode>General</c:formatCode>
                <c:ptCount val="5"/>
                <c:pt idx="0">
                  <c:v>1</c:v>
                </c:pt>
                <c:pt idx="1">
                  <c:v>2</c:v>
                </c:pt>
                <c:pt idx="2">
                  <c:v>3</c:v>
                </c:pt>
                <c:pt idx="3">
                  <c:v>4</c:v>
                </c:pt>
                <c:pt idx="4">
                  <c:v>5</c:v>
                </c:pt>
              </c:numCache>
            </c:numRef>
          </c:cat>
          <c:val>
            <c:numRef>
              <c:f>'[Адаптація 07.10.2025.xlsx]in vivo субстрати'!$D$11:$D$15</c:f>
              <c:numCache>
                <c:formatCode>General</c:formatCode>
                <c:ptCount val="5"/>
                <c:pt idx="0">
                  <c:v>36.300000000000004</c:v>
                </c:pt>
                <c:pt idx="1">
                  <c:v>30</c:v>
                </c:pt>
                <c:pt idx="2">
                  <c:v>67.5</c:v>
                </c:pt>
                <c:pt idx="3">
                  <c:v>65</c:v>
                </c:pt>
                <c:pt idx="4">
                  <c:v>73.3</c:v>
                </c:pt>
              </c:numCache>
            </c:numRef>
          </c:val>
          <c:extLst xmlns:c16r2="http://schemas.microsoft.com/office/drawing/2015/06/chart">
            <c:ext xmlns:c16="http://schemas.microsoft.com/office/drawing/2014/chart" uri="{C3380CC4-5D6E-409C-BE32-E72D297353CC}">
              <c16:uniqueId val="{00000001-88DE-4F3F-B1D8-8673D91EC5BD}"/>
            </c:ext>
          </c:extLst>
        </c:ser>
        <c:dLbls/>
        <c:gapWidth val="219"/>
        <c:overlap val="-27"/>
        <c:axId val="93486080"/>
        <c:axId val="93508736"/>
      </c:barChart>
      <c:catAx>
        <c:axId val="93486080"/>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337493334729085"/>
              <c:y val="0.8422216136026478"/>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508736"/>
        <c:crosses val="autoZero"/>
        <c:auto val="1"/>
        <c:lblAlgn val="ctr"/>
        <c:lblOffset val="100"/>
      </c:catAx>
      <c:valAx>
        <c:axId val="93508736"/>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0"/>
              <c:y val="1.5084572761738121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486080"/>
        <c:crosses val="autoZero"/>
        <c:crossBetween val="between"/>
      </c:valAx>
      <c:spPr>
        <a:noFill/>
        <a:ln>
          <a:noFill/>
        </a:ln>
        <a:effectLst/>
      </c:spPr>
    </c:plotArea>
    <c:legend>
      <c:legendPos val="b"/>
      <c:layout>
        <c:manualLayout>
          <c:xMode val="edge"/>
          <c:yMode val="edge"/>
          <c:x val="0"/>
          <c:y val="0.88165422800410842"/>
          <c:w val="0.99207130358705142"/>
          <c:h val="0.11595937464338696"/>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8.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277260730044056"/>
          <c:y val="8.2397003745318331E-2"/>
          <c:w val="0.87351683865163154"/>
          <c:h val="0.62338258279512759"/>
        </c:manualLayout>
      </c:layout>
      <c:barChart>
        <c:barDir val="col"/>
        <c:grouping val="clustered"/>
        <c:ser>
          <c:idx val="0"/>
          <c:order val="0"/>
          <c:tx>
            <c:strRef>
              <c:f>'[Адаптація 07.10.2025.xlsx]in vivo субстрати'!$F$10</c:f>
              <c:strCache>
                <c:ptCount val="1"/>
                <c:pt idx="0">
                  <c:v>Ярило </c:v>
                </c:pt>
              </c:strCache>
            </c:strRef>
          </c:tx>
          <c:spPr>
            <a:pattFill prst="dkDnDiag">
              <a:fgClr>
                <a:schemeClr val="tx1"/>
              </a:fgClr>
              <a:bgClr>
                <a:schemeClr val="bg1"/>
              </a:bgClr>
            </a:pattFill>
            <a:ln>
              <a:solidFill>
                <a:sysClr val="windowText" lastClr="000000"/>
              </a:solidFill>
            </a:ln>
            <a:effectLst/>
          </c:spPr>
          <c:cat>
            <c:numRef>
              <c:f>'[Адаптація 07.10.2025.xlsx]in vivo субстрати'!$E$11:$E$15</c:f>
              <c:numCache>
                <c:formatCode>General</c:formatCode>
                <c:ptCount val="5"/>
                <c:pt idx="0">
                  <c:v>1</c:v>
                </c:pt>
                <c:pt idx="1">
                  <c:v>2</c:v>
                </c:pt>
                <c:pt idx="2">
                  <c:v>3</c:v>
                </c:pt>
                <c:pt idx="3">
                  <c:v>4</c:v>
                </c:pt>
                <c:pt idx="4">
                  <c:v>5</c:v>
                </c:pt>
              </c:numCache>
            </c:numRef>
          </c:cat>
          <c:val>
            <c:numRef>
              <c:f>'[Адаптація 07.10.2025.xlsx]in vivo субстрати'!$F$11:$F$15</c:f>
              <c:numCache>
                <c:formatCode>General</c:formatCode>
                <c:ptCount val="5"/>
                <c:pt idx="0">
                  <c:v>40</c:v>
                </c:pt>
                <c:pt idx="1">
                  <c:v>32</c:v>
                </c:pt>
                <c:pt idx="2">
                  <c:v>64</c:v>
                </c:pt>
                <c:pt idx="3">
                  <c:v>58.5</c:v>
                </c:pt>
                <c:pt idx="4">
                  <c:v>72.7</c:v>
                </c:pt>
              </c:numCache>
            </c:numRef>
          </c:val>
          <c:extLst xmlns:c16r2="http://schemas.microsoft.com/office/drawing/2015/06/chart">
            <c:ext xmlns:c16="http://schemas.microsoft.com/office/drawing/2014/chart" uri="{C3380CC4-5D6E-409C-BE32-E72D297353CC}">
              <c16:uniqueId val="{00000000-4408-4F7A-A04E-690913EE4C35}"/>
            </c:ext>
          </c:extLst>
        </c:ser>
        <c:ser>
          <c:idx val="1"/>
          <c:order val="1"/>
          <c:tx>
            <c:strRef>
              <c:f>'[Адаптація 07.10.2025.xlsx]in vivo субстрати'!$G$10</c:f>
              <c:strCache>
                <c:ptCount val="1"/>
                <c:pt idx="0">
                  <c:v>Загрей</c:v>
                </c:pt>
              </c:strCache>
            </c:strRef>
          </c:tx>
          <c:spPr>
            <a:solidFill>
              <a:schemeClr val="bg2">
                <a:lumMod val="75000"/>
              </a:schemeClr>
            </a:solidFill>
            <a:ln>
              <a:solidFill>
                <a:sysClr val="windowText" lastClr="000000"/>
              </a:solidFill>
            </a:ln>
            <a:effectLst/>
          </c:spPr>
          <c:cat>
            <c:numRef>
              <c:f>'[Адаптація 07.10.2025.xlsx]in vivo субстрати'!$E$11:$E$15</c:f>
              <c:numCache>
                <c:formatCode>General</c:formatCode>
                <c:ptCount val="5"/>
                <c:pt idx="0">
                  <c:v>1</c:v>
                </c:pt>
                <c:pt idx="1">
                  <c:v>2</c:v>
                </c:pt>
                <c:pt idx="2">
                  <c:v>3</c:v>
                </c:pt>
                <c:pt idx="3">
                  <c:v>4</c:v>
                </c:pt>
                <c:pt idx="4">
                  <c:v>5</c:v>
                </c:pt>
              </c:numCache>
            </c:numRef>
          </c:cat>
          <c:val>
            <c:numRef>
              <c:f>'[Адаптація 07.10.2025.xlsx]in vivo субстрати'!$G$11:$G$15</c:f>
              <c:numCache>
                <c:formatCode>General</c:formatCode>
                <c:ptCount val="5"/>
                <c:pt idx="0">
                  <c:v>36.9</c:v>
                </c:pt>
                <c:pt idx="1">
                  <c:v>29.5</c:v>
                </c:pt>
                <c:pt idx="2">
                  <c:v>63.5</c:v>
                </c:pt>
                <c:pt idx="3">
                  <c:v>58.5</c:v>
                </c:pt>
                <c:pt idx="4">
                  <c:v>70.7</c:v>
                </c:pt>
              </c:numCache>
            </c:numRef>
          </c:val>
          <c:extLst xmlns:c16r2="http://schemas.microsoft.com/office/drawing/2015/06/chart">
            <c:ext xmlns:c16="http://schemas.microsoft.com/office/drawing/2014/chart" uri="{C3380CC4-5D6E-409C-BE32-E72D297353CC}">
              <c16:uniqueId val="{00000001-4408-4F7A-A04E-690913EE4C35}"/>
            </c:ext>
          </c:extLst>
        </c:ser>
        <c:dLbls/>
        <c:gapWidth val="219"/>
        <c:overlap val="-27"/>
        <c:axId val="93555712"/>
        <c:axId val="93570176"/>
      </c:barChart>
      <c:catAx>
        <c:axId val="93555712"/>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3532911753906436"/>
              <c:y val="0.82546166366075768"/>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570176"/>
        <c:crosses val="autoZero"/>
        <c:auto val="1"/>
        <c:lblAlgn val="ctr"/>
        <c:lblOffset val="100"/>
      </c:catAx>
      <c:valAx>
        <c:axId val="93570176"/>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0"/>
              <c:y val="1.5084572761738121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555712"/>
        <c:crosses val="autoZero"/>
        <c:crossBetween val="between"/>
      </c:valAx>
      <c:spPr>
        <a:noFill/>
        <a:ln>
          <a:noFill/>
        </a:ln>
        <a:effectLst/>
      </c:spPr>
    </c:plotArea>
    <c:legend>
      <c:legendPos val="b"/>
      <c:layout>
        <c:manualLayout>
          <c:xMode val="edge"/>
          <c:yMode val="edge"/>
          <c:x val="1.1865704286963834E-3"/>
          <c:y val="0.88915036383064461"/>
          <c:w val="0.99207130358705142"/>
          <c:h val="0.10159050806955748"/>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99.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277260730044056"/>
          <c:y val="6.267806267806264E-2"/>
          <c:w val="0.87351683865163154"/>
          <c:h val="0.67362720685555466"/>
        </c:manualLayout>
      </c:layout>
      <c:barChart>
        <c:barDir val="col"/>
        <c:grouping val="clustered"/>
        <c:ser>
          <c:idx val="0"/>
          <c:order val="0"/>
          <c:tx>
            <c:strRef>
              <c:f>'[Адаптація 07.10.2025.xlsx]in vivo субстрати'!$C$19</c:f>
              <c:strCache>
                <c:ptCount val="1"/>
                <c:pt idx="0">
                  <c:v>Добриня </c:v>
                </c:pt>
              </c:strCache>
            </c:strRef>
          </c:tx>
          <c:spPr>
            <a:pattFill prst="dkDnDiag">
              <a:fgClr>
                <a:schemeClr val="tx1"/>
              </a:fgClr>
              <a:bgClr>
                <a:schemeClr val="bg1"/>
              </a:bgClr>
            </a:pattFill>
            <a:ln>
              <a:solidFill>
                <a:sysClr val="windowText" lastClr="000000"/>
              </a:solidFill>
            </a:ln>
            <a:effectLst/>
          </c:spPr>
          <c:cat>
            <c:numRef>
              <c:f>'[Адаптація 07.10.2025.xlsx]in vivo субстрати'!$B$20:$B$24</c:f>
              <c:numCache>
                <c:formatCode>General</c:formatCode>
                <c:ptCount val="5"/>
                <c:pt idx="0">
                  <c:v>1</c:v>
                </c:pt>
                <c:pt idx="1">
                  <c:v>2</c:v>
                </c:pt>
                <c:pt idx="2">
                  <c:v>3</c:v>
                </c:pt>
                <c:pt idx="3">
                  <c:v>4</c:v>
                </c:pt>
                <c:pt idx="4">
                  <c:v>5</c:v>
                </c:pt>
              </c:numCache>
            </c:numRef>
          </c:cat>
          <c:val>
            <c:numRef>
              <c:f>'[Адаптація 07.10.2025.xlsx]in vivo субстрати'!$C$20:$C$24</c:f>
              <c:numCache>
                <c:formatCode>General</c:formatCode>
                <c:ptCount val="5"/>
                <c:pt idx="0">
                  <c:v>28.1</c:v>
                </c:pt>
                <c:pt idx="1">
                  <c:v>21.5</c:v>
                </c:pt>
                <c:pt idx="2">
                  <c:v>67</c:v>
                </c:pt>
                <c:pt idx="3">
                  <c:v>65.5</c:v>
                </c:pt>
                <c:pt idx="4">
                  <c:v>75</c:v>
                </c:pt>
              </c:numCache>
            </c:numRef>
          </c:val>
          <c:extLst xmlns:c16r2="http://schemas.microsoft.com/office/drawing/2015/06/chart">
            <c:ext xmlns:c16="http://schemas.microsoft.com/office/drawing/2014/chart" uri="{C3380CC4-5D6E-409C-BE32-E72D297353CC}">
              <c16:uniqueId val="{00000000-AF7D-4CAA-8206-3B114C896A53}"/>
            </c:ext>
          </c:extLst>
        </c:ser>
        <c:ser>
          <c:idx val="1"/>
          <c:order val="1"/>
          <c:tx>
            <c:strRef>
              <c:f>'[Адаптація 07.10.2025.xlsx]in vivo субстрати'!$D$19</c:f>
              <c:strCache>
                <c:ptCount val="1"/>
                <c:pt idx="0">
                  <c:v>Гарант</c:v>
                </c:pt>
              </c:strCache>
            </c:strRef>
          </c:tx>
          <c:spPr>
            <a:solidFill>
              <a:schemeClr val="bg2">
                <a:lumMod val="75000"/>
              </a:schemeClr>
            </a:solidFill>
            <a:ln>
              <a:solidFill>
                <a:sysClr val="windowText" lastClr="000000"/>
              </a:solidFill>
            </a:ln>
            <a:effectLst/>
          </c:spPr>
          <c:cat>
            <c:numRef>
              <c:f>'[Адаптація 07.10.2025.xlsx]in vivo субстрати'!$B$20:$B$24</c:f>
              <c:numCache>
                <c:formatCode>General</c:formatCode>
                <c:ptCount val="5"/>
                <c:pt idx="0">
                  <c:v>1</c:v>
                </c:pt>
                <c:pt idx="1">
                  <c:v>2</c:v>
                </c:pt>
                <c:pt idx="2">
                  <c:v>3</c:v>
                </c:pt>
                <c:pt idx="3">
                  <c:v>4</c:v>
                </c:pt>
                <c:pt idx="4">
                  <c:v>5</c:v>
                </c:pt>
              </c:numCache>
            </c:numRef>
          </c:cat>
          <c:val>
            <c:numRef>
              <c:f>'[Адаптація 07.10.2025.xlsx]in vivo субстрати'!$D$20:$D$24</c:f>
              <c:numCache>
                <c:formatCode>General</c:formatCode>
                <c:ptCount val="5"/>
                <c:pt idx="0">
                  <c:v>28.5</c:v>
                </c:pt>
                <c:pt idx="1">
                  <c:v>25.5</c:v>
                </c:pt>
                <c:pt idx="2" formatCode="0.0">
                  <c:v>63.5</c:v>
                </c:pt>
                <c:pt idx="3">
                  <c:v>61</c:v>
                </c:pt>
                <c:pt idx="4" formatCode="0.0">
                  <c:v>68.5</c:v>
                </c:pt>
              </c:numCache>
            </c:numRef>
          </c:val>
          <c:extLst xmlns:c16r2="http://schemas.microsoft.com/office/drawing/2015/06/chart">
            <c:ext xmlns:c16="http://schemas.microsoft.com/office/drawing/2014/chart" uri="{C3380CC4-5D6E-409C-BE32-E72D297353CC}">
              <c16:uniqueId val="{00000001-AF7D-4CAA-8206-3B114C896A53}"/>
            </c:ext>
          </c:extLst>
        </c:ser>
        <c:dLbls/>
        <c:gapWidth val="219"/>
        <c:overlap val="-27"/>
        <c:axId val="93600768"/>
        <c:axId val="93619328"/>
      </c:barChart>
      <c:catAx>
        <c:axId val="93600768"/>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87450414670573"/>
              <c:y val="0.84222148700621491"/>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619328"/>
        <c:crosses val="autoZero"/>
        <c:auto val="1"/>
        <c:lblAlgn val="ctr"/>
        <c:lblOffset val="100"/>
      </c:catAx>
      <c:valAx>
        <c:axId val="93619328"/>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0"/>
              <c:y val="1.5084572761738121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600768"/>
        <c:crosses val="autoZero"/>
        <c:crossBetween val="between"/>
      </c:valAx>
      <c:spPr>
        <a:noFill/>
        <a:ln>
          <a:noFill/>
        </a:ln>
        <a:effectLst/>
      </c:spPr>
    </c:plotArea>
    <c:legend>
      <c:legendPos val="b"/>
      <c:layout>
        <c:manualLayout>
          <c:xMode val="edge"/>
          <c:yMode val="edge"/>
          <c:x val="0"/>
          <c:y val="0.85308406846256135"/>
          <c:w val="0.99207130358705142"/>
          <c:h val="0.12626030049492931"/>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100.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277260730044056"/>
          <c:y val="8.2397003745318331E-2"/>
          <c:w val="0.87351683865163154"/>
          <c:h val="0.62338258279512759"/>
        </c:manualLayout>
      </c:layout>
      <c:barChart>
        <c:barDir val="col"/>
        <c:grouping val="clustered"/>
        <c:ser>
          <c:idx val="0"/>
          <c:order val="0"/>
          <c:tx>
            <c:strRef>
              <c:f>'[Адаптація 07.10.2025.xlsx]in vivo субстрати'!$F$19</c:f>
              <c:strCache>
                <c:ptCount val="1"/>
                <c:pt idx="0">
                  <c:v>Ярило </c:v>
                </c:pt>
              </c:strCache>
            </c:strRef>
          </c:tx>
          <c:spPr>
            <a:pattFill prst="dkDnDiag">
              <a:fgClr>
                <a:schemeClr val="tx1"/>
              </a:fgClr>
              <a:bgClr>
                <a:schemeClr val="bg1"/>
              </a:bgClr>
            </a:pattFill>
            <a:ln>
              <a:solidFill>
                <a:sysClr val="windowText" lastClr="000000"/>
              </a:solidFill>
            </a:ln>
            <a:effectLst/>
          </c:spPr>
          <c:cat>
            <c:numRef>
              <c:f>'[Адаптація 07.10.2025.xlsx]in vivo субстрати'!$E$20:$E$24</c:f>
              <c:numCache>
                <c:formatCode>General</c:formatCode>
                <c:ptCount val="5"/>
                <c:pt idx="0">
                  <c:v>1</c:v>
                </c:pt>
                <c:pt idx="1">
                  <c:v>2</c:v>
                </c:pt>
                <c:pt idx="2">
                  <c:v>3</c:v>
                </c:pt>
                <c:pt idx="3">
                  <c:v>4</c:v>
                </c:pt>
                <c:pt idx="4">
                  <c:v>5</c:v>
                </c:pt>
              </c:numCache>
            </c:numRef>
          </c:cat>
          <c:val>
            <c:numRef>
              <c:f>'[Адаптація 07.10.2025.xlsx]in vivo субстрати'!$F$20:$F$24</c:f>
              <c:numCache>
                <c:formatCode>General</c:formatCode>
                <c:ptCount val="5"/>
                <c:pt idx="0">
                  <c:v>35.5</c:v>
                </c:pt>
                <c:pt idx="1">
                  <c:v>28</c:v>
                </c:pt>
                <c:pt idx="2">
                  <c:v>61</c:v>
                </c:pt>
                <c:pt idx="3">
                  <c:v>54.5</c:v>
                </c:pt>
                <c:pt idx="4">
                  <c:v>68.7</c:v>
                </c:pt>
              </c:numCache>
            </c:numRef>
          </c:val>
          <c:extLst xmlns:c16r2="http://schemas.microsoft.com/office/drawing/2015/06/chart">
            <c:ext xmlns:c16="http://schemas.microsoft.com/office/drawing/2014/chart" uri="{C3380CC4-5D6E-409C-BE32-E72D297353CC}">
              <c16:uniqueId val="{00000000-147E-4A97-A4C0-1FE75061B03F}"/>
            </c:ext>
          </c:extLst>
        </c:ser>
        <c:ser>
          <c:idx val="1"/>
          <c:order val="1"/>
          <c:tx>
            <c:strRef>
              <c:f>'[Адаптація 07.10.2025.xlsx]in vivo субстрати'!$G$19</c:f>
              <c:strCache>
                <c:ptCount val="1"/>
                <c:pt idx="0">
                  <c:v>Загрей</c:v>
                </c:pt>
              </c:strCache>
            </c:strRef>
          </c:tx>
          <c:spPr>
            <a:solidFill>
              <a:schemeClr val="bg2">
                <a:lumMod val="75000"/>
              </a:schemeClr>
            </a:solidFill>
            <a:ln>
              <a:solidFill>
                <a:sysClr val="windowText" lastClr="000000"/>
              </a:solidFill>
            </a:ln>
            <a:effectLst/>
          </c:spPr>
          <c:cat>
            <c:numRef>
              <c:f>'[Адаптація 07.10.2025.xlsx]in vivo субстрати'!$E$20:$E$24</c:f>
              <c:numCache>
                <c:formatCode>General</c:formatCode>
                <c:ptCount val="5"/>
                <c:pt idx="0">
                  <c:v>1</c:v>
                </c:pt>
                <c:pt idx="1">
                  <c:v>2</c:v>
                </c:pt>
                <c:pt idx="2">
                  <c:v>3</c:v>
                </c:pt>
                <c:pt idx="3">
                  <c:v>4</c:v>
                </c:pt>
                <c:pt idx="4">
                  <c:v>5</c:v>
                </c:pt>
              </c:numCache>
            </c:numRef>
          </c:cat>
          <c:val>
            <c:numRef>
              <c:f>'[Адаптація 07.10.2025.xlsx]in vivo субстрати'!$G$20:$G$24</c:f>
              <c:numCache>
                <c:formatCode>General</c:formatCode>
                <c:ptCount val="5"/>
                <c:pt idx="0">
                  <c:v>28.5</c:v>
                </c:pt>
                <c:pt idx="1">
                  <c:v>25</c:v>
                </c:pt>
                <c:pt idx="2">
                  <c:v>60.5</c:v>
                </c:pt>
                <c:pt idx="3">
                  <c:v>56.5</c:v>
                </c:pt>
                <c:pt idx="4">
                  <c:v>67.7</c:v>
                </c:pt>
              </c:numCache>
            </c:numRef>
          </c:val>
          <c:extLst xmlns:c16r2="http://schemas.microsoft.com/office/drawing/2015/06/chart">
            <c:ext xmlns:c16="http://schemas.microsoft.com/office/drawing/2014/chart" uri="{C3380CC4-5D6E-409C-BE32-E72D297353CC}">
              <c16:uniqueId val="{00000001-147E-4A97-A4C0-1FE75061B03F}"/>
            </c:ext>
          </c:extLst>
        </c:ser>
        <c:dLbls/>
        <c:gapWidth val="219"/>
        <c:overlap val="-27"/>
        <c:axId val="93649920"/>
        <c:axId val="93680768"/>
      </c:barChart>
      <c:catAx>
        <c:axId val="93649920"/>
        <c:scaling>
          <c:orientation val="minMax"/>
        </c:scaling>
        <c:axPos val="b"/>
        <c:title>
          <c:tx>
            <c:rich>
              <a:bodyPr rot="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Варіанти досліду</a:t>
                </a:r>
              </a:p>
            </c:rich>
          </c:tx>
          <c:layout>
            <c:manualLayout>
              <c:xMode val="edge"/>
              <c:yMode val="edge"/>
              <c:x val="0.8296917131188819"/>
              <c:y val="0.80936692782203623"/>
            </c:manualLayout>
          </c:layout>
          <c:spPr>
            <a:noFill/>
            <a:ln>
              <a:noFill/>
            </a:ln>
            <a:effectLst/>
          </c:spPr>
        </c:title>
        <c:numFmt formatCode="General" sourceLinked="1"/>
        <c:majorTickMark val="in"/>
        <c:tickLblPos val="nextTo"/>
        <c:spPr>
          <a:noFill/>
          <a:ln w="952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680768"/>
        <c:crosses val="autoZero"/>
        <c:auto val="1"/>
        <c:lblAlgn val="ctr"/>
        <c:lblOffset val="100"/>
      </c:catAx>
      <c:valAx>
        <c:axId val="93680768"/>
        <c:scaling>
          <c:orientation val="minMax"/>
          <c:max val="100"/>
        </c:scaling>
        <c:axPos val="l"/>
        <c:majorGridlines>
          <c:spPr>
            <a:ln w="9525" cap="flat" cmpd="sng" algn="ctr">
              <a:solidFill>
                <a:schemeClr val="tx1">
                  <a:lumMod val="15000"/>
                  <a:lumOff val="85000"/>
                </a:schemeClr>
              </a:solidFill>
              <a:round/>
            </a:ln>
            <a:effectLst/>
          </c:spPr>
        </c:majorGridlines>
        <c:title>
          <c:tx>
            <c:rich>
              <a:bodyPr rot="0" spcFirstLastPara="1" vertOverflow="ellipsis"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uk-UA" sz="1000"/>
                  <a:t>%</a:t>
                </a:r>
              </a:p>
            </c:rich>
          </c:tx>
          <c:layout>
            <c:manualLayout>
              <c:xMode val="edge"/>
              <c:yMode val="edge"/>
              <c:x val="0"/>
              <c:y val="1.5084572761738121E-2"/>
            </c:manualLayout>
          </c:layout>
          <c:spPr>
            <a:noFill/>
            <a:ln>
              <a:noFill/>
            </a:ln>
            <a:effectLst/>
          </c:spPr>
        </c:title>
        <c:numFmt formatCode="General" sourceLinked="0"/>
        <c:majorTickMark val="in"/>
        <c:tickLblPos val="nextTo"/>
        <c:spPr>
          <a:noFill/>
          <a:ln>
            <a:solidFill>
              <a:schemeClr val="tx1"/>
            </a:solid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93649920"/>
        <c:crosses val="autoZero"/>
        <c:crossBetween val="between"/>
      </c:valAx>
      <c:spPr>
        <a:noFill/>
        <a:ln>
          <a:noFill/>
        </a:ln>
        <a:effectLst/>
      </c:spPr>
    </c:plotArea>
    <c:legend>
      <c:legendPos val="b"/>
      <c:layout>
        <c:manualLayout>
          <c:xMode val="edge"/>
          <c:yMode val="edge"/>
          <c:x val="1.1865704286963834E-3"/>
          <c:y val="0.86288135830268164"/>
          <c:w val="0.99207130358705142"/>
          <c:h val="0.12785891106418087"/>
        </c:manualLayout>
      </c:layout>
      <c:spPr>
        <a:noFill/>
        <a:ln>
          <a:noFill/>
        </a:ln>
        <a:effectLst/>
      </c:spPr>
      <c:txPr>
        <a:bodyPr rot="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solidFill>
      <a:round/>
    </a:ln>
    <a:effectLst/>
  </c:spPr>
  <c:txPr>
    <a:bodyPr/>
    <a:lstStyle/>
    <a:p>
      <a:pPr>
        <a:defRPr sz="120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2E142A2C-CD16-42D6-873A-C26D2A0506FA}" vid="{1BDDFF52-6CD6-40A5-AB3C-68EB2F1E4D0A}"/>
    </a:ext>
  </a:extLst>
</a:theme>
</file>

<file path=word/theme/themeOverride1.xml><?xml version="1.0" encoding="utf-8"?>
<a:themeOverride xmlns:a="http://schemas.openxmlformats.org/drawingml/2006/main">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Override>
</file>

<file path=word/theme/themeOverride2.xml><?xml version="1.0" encoding="utf-8"?>
<a:themeOverride xmlns:a="http://schemas.openxmlformats.org/drawingml/2006/main">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Override>
</file>

<file path=word/theme/themeOverride3.xml><?xml version="1.0" encoding="utf-8"?>
<a:themeOverride xmlns:a="http://schemas.openxmlformats.org/drawingml/2006/main">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Override>
</file>

<file path=word/theme/themeOverride4.xml><?xml version="1.0" encoding="utf-8"?>
<a:themeOverride xmlns:a="http://schemas.openxmlformats.org/drawingml/2006/main">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Override>
</file>

<file path=word/theme/themeOverride5.xml><?xml version="1.0" encoding="utf-8"?>
<a:themeOverride xmlns:a="http://schemas.openxmlformats.org/drawingml/2006/main">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Override>
</file>

<file path=word/theme/themeOverride6.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2.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3.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4.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5.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6.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7.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8.xml><?xml version="1.0" encoding="utf-8"?>
<a:themeOverride xmlns:a="http://schemas.openxmlformats.org/drawingml/2006/main">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D0F4F2-7C53-44A1-B1B0-D565AD5E3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7172</TotalTime>
  <Pages>371</Pages>
  <Words>79311</Words>
  <Characters>452073</Characters>
  <Application>Microsoft Office Word</Application>
  <DocSecurity>0</DocSecurity>
  <Lines>3767</Lines>
  <Paragraphs>1060</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530324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Samofalov</dc:creator>
  <cp:keywords/>
  <dc:description/>
  <cp:lastModifiedBy>HP1</cp:lastModifiedBy>
  <cp:revision>4</cp:revision>
  <cp:lastPrinted>2026-06-18T11:47:00Z</cp:lastPrinted>
  <dcterms:created xsi:type="dcterms:W3CDTF">2025-11-27T09:14:00Z</dcterms:created>
  <dcterms:modified xsi:type="dcterms:W3CDTF">2026-06-19T04:25:00Z</dcterms:modified>
</cp:coreProperties>
</file>